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5, 2025</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213995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November 5, 2025, the Registrant issued a press release reporting its third-quarter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2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rPr>
              <w:t>Press Release dated November 5, 2025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294005</wp:posOffset>
            </wp:positionV>
            <wp:extent cx="205740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 All American Reports Third-Quarter 2025 Results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Announces Closing of Acquisitions Totaling 100% Equity Interest in EPIC</w:t>
      </w:r>
    </w:p>
    <w:p>
      <w:pPr>
        <w:spacing w:after="0" w:line="21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Houston, TX – November 5, 2025 – Plains All American Pipeline, L.P. (Nasdaq: PAA) and Plains GP Holdings (Nasdaq: PAGP) today reported third-quarter 2025 results and provided the following highlights and 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Third-Quarter Results and Highlights</w:t>
      </w:r>
    </w:p>
    <w:p>
      <w:pPr>
        <w:spacing w:after="0" w:line="27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$441 million and net cash provided by operating activities of $817 million.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solid Adjusted EBITDA attributable to PAA of $669 million.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the quarter with 3.3x leverage ratio, toward the low-end of our target range of 3.25x - 3.75x.</w:t>
      </w:r>
    </w:p>
    <w:p>
      <w:pPr>
        <w:spacing w:after="0" w:line="1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Plains successfully raised $1.25 billion in aggregate senior unsecured notes with proceeds allocated toward redeeming senior notes maturing in October 2025 and to partially fund recently announced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ind w:left="660" w:right="40" w:hanging="328"/>
        <w:spacing w:after="0" w:line="23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Plains completed the previously announced acquisition of a 55% equity interest in EPIC Crude Holdings, LP (“EPIC”), the entity that owns and operates the EPIC Crude Oil Pipeline (the “EPIC Pipeline”), from subsidiaries of Diamondback Energy, Inc. and Kinetik Holdings Inc.</w:t>
      </w:r>
    </w:p>
    <w:p>
      <w:pPr>
        <w:spacing w:after="0" w:line="226"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Plains completed the acquisition of the remaining 45% operated equity interest in EPIC, from a portfolio company of Ares Private Equity funds for a purchase price of approximately $1.33 billion, inclusive of approximately $500 million of debt. Additionally, Plains has agreed to a potential earnout payment of up to $157 million tied to certain expansions of the pipeline system by 2028. This transaction, along with the transaction described above, results in PAA owning a 100% equity interest in EPIC.</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the remaining 45% interest in EPIC allows us to accelerate and increase synergy capture on the full system, including meaningful 2026 cost savings. We expect solid mid-teens returns with a 2026 EBITDA multiple of ~10x, improving significantly over the next few years. Going forward we intend to rename the system Cactus III, reflecting integration with our existing Cactus long-haul systems that we have operated for years.</w:t>
      </w:r>
    </w:p>
    <w:p>
      <w:pPr>
        <w:spacing w:after="0" w:line="20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leverage ratio toward the midpoint of the target range (~3.5x) post announced acquisitions and upon closing our previously announced NGL divestiture (expected by the end of the first quarter 2026).</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full-year 2025 Adjusted EBITDA attributable to Plains to be in the range of $2.84 to $2.89 billion, which includes approximately $40 million of contribution from our acquisition of EPIC.</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made significant progress in our journey of becoming the premier crude oil midstream provider. The pending divestiture of our NGL business, acquisition of EPIC, and streamlining efforts across the broader organization will provide tailwinds for the business despite near term macro volatility. We remain committed to our capital allocation framework and returning cash to unitholders. Our approximately 9.5% distribution yield is well supported with distribution coverage and offers an attractive opportunity to participate in energy markets where we expect improving oil market fundamentals” said Willie Chiang, Chairman, 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Considerations for Pending Sale of Canadian NGL Business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17, 2025, we entered into a definitive agreement to sell substantially all of our NGL business in Canada (the “Canadian NGL Business”) to Keyera Corp. This transaction is expected to close in the first quarter of 2026 and is subject to the satisfaction or waiver of customary closing conditions, including receipt of regulatory approvals. While we will divest the Canadian NGL Business as part of the transaction, we will retain substantially all NGL assets in the United States and will also retain all crude oil assets in Canada.</w:t>
      </w:r>
    </w:p>
    <w:p>
      <w:pPr>
        <w:spacing w:after="0" w:line="20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that the operations of the Canadian NGL Business meet the criteria for classification as held for sale and for discontinued operations reporting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GAAP Results </w:t>
            </w:r>
            <w:r>
              <w:rPr>
                <w:rFonts w:ascii="Times New Roman" w:cs="Times New Roman" w:eastAsia="Times New Roman" w:hAnsi="Times New Roman"/>
                <w:sz w:val="21"/>
                <w:szCs w:val="21"/>
                <w:b w:val="1"/>
                <w:bCs w:val="1"/>
                <w:i w:val="1"/>
                <w:iCs w:val="1"/>
                <w:color w:val="auto"/>
                <w:vertAlign w:val="superscript"/>
              </w:rPr>
              <w:t>(1)</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spacing w:after="0" w:line="20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Non-GAAP Results </w:t>
            </w:r>
            <w:r>
              <w:rPr>
                <w:rFonts w:ascii="Times New Roman" w:cs="Times New Roman" w:eastAsia="Times New Roman" w:hAnsi="Times New Roman"/>
                <w:sz w:val="21"/>
                <w:szCs w:val="21"/>
                <w:b w:val="1"/>
                <w:bCs w:val="1"/>
                <w:i w:val="1"/>
                <w:iCs w:val="1"/>
                <w:color w:val="auto"/>
                <w:vertAlign w:val="superscript"/>
              </w:rPr>
              <w:t>(1) (3)</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04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attributable to PAA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3"/>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Assets &amp; Liabilities) </w:t>
            </w:r>
            <w:r>
              <w:rPr>
                <w:rFonts w:ascii="Times New Roman" w:cs="Times New Roman" w:eastAsia="Times New Roman" w:hAnsi="Times New Roman"/>
                <w:sz w:val="23"/>
                <w:szCs w:val="23"/>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ind w:left="340" w:right="70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 See the tables attached hereto for additional information.</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(the “Permian JV”), Cactus II Pipeline LLC and Red River Pipeline LLC joint ventures.</w:t>
      </w:r>
    </w:p>
    <w:p>
      <w:pPr>
        <w:spacing w:after="0" w:line="36" w:lineRule="exact"/>
        <w:rPr>
          <w:rFonts w:ascii="Times New Roman" w:cs="Times New Roman" w:eastAsia="Times New Roman" w:hAnsi="Times New Roman"/>
          <w:sz w:val="23"/>
          <w:szCs w:val="23"/>
          <w:color w:val="auto"/>
          <w:vertAlign w:val="superscript"/>
        </w:rPr>
      </w:pPr>
    </w:p>
    <w:p>
      <w:pPr>
        <w:jc w:val="both"/>
        <w:ind w:left="340" w:right="26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nine months ended September 30, 2025 includes the impact of a net cash outflow of $865 million for bolt-on acquisitions.</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Disaggregation of Adjusted EBITDA by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40" w:type="dxa"/>
            <w:vAlign w:val="bottom"/>
          </w:tcPr>
          <w:p>
            <w:pPr>
              <w:spacing w:after="0"/>
              <w:rPr>
                <w:sz w:val="16"/>
                <w:szCs w:val="16"/>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140" w:type="dxa"/>
            <w:vAlign w:val="bottom"/>
          </w:tcPr>
          <w:p>
            <w:pPr>
              <w:spacing w:after="0"/>
              <w:rPr>
                <w:sz w:val="18"/>
                <w:szCs w:val="18"/>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NGL</w:t>
            </w:r>
          </w:p>
        </w:tc>
      </w:tr>
      <w:tr>
        <w:trPr>
          <w:trHeight w:val="250"/>
        </w:trPr>
        <w:tc>
          <w:tcPr>
            <w:tcW w:w="80" w:type="dxa"/>
            <w:vAlign w:val="bottom"/>
          </w:tcPr>
          <w:p>
            <w:pPr>
              <w:spacing w:after="0"/>
              <w:rPr>
                <w:sz w:val="21"/>
                <w:szCs w:val="21"/>
                <w:color w:val="auto"/>
              </w:rPr>
            </w:pPr>
          </w:p>
        </w:tc>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6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ind w:right="154"/>
              <w:spacing w:after="0" w:line="203"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40" w:type="dxa"/>
            <w:vAlign w:val="bottom"/>
          </w:tcPr>
          <w:p>
            <w:pPr>
              <w:spacing w:after="0"/>
              <w:rPr>
                <w:sz w:val="24"/>
                <w:szCs w:val="24"/>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140" w:type="dxa"/>
            <w:vAlign w:val="bottom"/>
          </w:tcPr>
          <w:p>
            <w:pPr>
              <w:spacing w:after="0"/>
              <w:rPr>
                <w:sz w:val="18"/>
                <w:szCs w:val="18"/>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NGL</w:t>
            </w:r>
          </w:p>
        </w:tc>
      </w:tr>
      <w:tr>
        <w:trPr>
          <w:trHeight w:val="250"/>
        </w:trPr>
        <w:tc>
          <w:tcPr>
            <w:tcW w:w="80" w:type="dxa"/>
            <w:vAlign w:val="bottom"/>
          </w:tcPr>
          <w:p>
            <w:pPr>
              <w:spacing w:after="0"/>
              <w:rPr>
                <w:sz w:val="21"/>
                <w:szCs w:val="21"/>
                <w:color w:val="auto"/>
              </w:rPr>
            </w:pPr>
          </w:p>
        </w:tc>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6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ind w:right="154"/>
              <w:spacing w:after="0" w:line="203" w:lineRule="exact"/>
              <w:rPr>
                <w:sz w:val="20"/>
                <w:szCs w:val="20"/>
                <w:color w:val="auto"/>
              </w:rPr>
            </w:pPr>
            <w:r>
              <w:rPr>
                <w:rFonts w:ascii="Times New Roman" w:cs="Times New Roman" w:eastAsia="Times New Roman" w:hAnsi="Times New Roman"/>
                <w:sz w:val="18"/>
                <w:szCs w:val="18"/>
                <w:color w:val="auto"/>
              </w:rPr>
              <w:t>326</w:t>
            </w: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3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jc w:val="both"/>
        <w:ind w:left="340" w:right="240" w:hanging="332"/>
        <w:spacing w:after="0" w:line="241" w:lineRule="auto"/>
        <w:tabs>
          <w:tab w:leader="none" w:pos="32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7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Third-quarter 2025 Adjusted EBITDA from Crude Oil increased 3% versus comparable 2024 results. Favorable results in the 2025 period from (i) contributions from recently completed bolt-on acquisitions, (ii) higher volumes on our pipelines and (iii) tariff escalations were offset by the impact of (iv) certain Permian long-haul pipeline contract rate resets and (v) lower commodity prices.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Third-quarter 2025 Adjusted EBITDA from NGL decreased 4% versus comparable 2024 results primarily due to lower sales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PAA and PAGP will hold a joint conference call at 9:00 a.m. CT on Wednesday, November 5, 2025 to discuss third-quarter performance and related items.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https://edge.media-server.com/mmc/p/6uxwghj4/</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20"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 amounts related to Other income/(expense).</w:t>
      </w:r>
    </w:p>
    <w:p>
      <w:pPr>
        <w:spacing w:after="0" w:line="14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4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Measures and Discontinued Operations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36,854</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34,086</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63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35,971</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6"/>
        </w:trPr>
        <w:tc>
          <w:tcPr>
            <w:tcW w:w="63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(expense)/benefit from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19"/>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8"/>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2"/>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UNIT: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6"/>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2"/>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9"/>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13"/>
        </w:trPr>
        <w:tc>
          <w:tcPr>
            <w:tcW w:w="6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37"/>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Plains entities have issued promissory notes by and among such entities to facilitate financing. “Interest expense, net” and “Other income, net” each include $23 million and</w:t>
      </w:r>
    </w:p>
    <w:p>
      <w:pPr>
        <w:spacing w:after="0" w:line="3" w:lineRule="exact"/>
        <w:rPr>
          <w:rFonts w:ascii="Times New Roman" w:cs="Times New Roman" w:eastAsia="Times New Roman" w:hAnsi="Times New Roman"/>
          <w:sz w:val="19"/>
          <w:szCs w:val="19"/>
          <w:color w:val="auto"/>
          <w:vertAlign w:val="superscript"/>
        </w:rPr>
      </w:pPr>
    </w:p>
    <w:p>
      <w:pPr>
        <w:ind w:left="340" w:right="20"/>
        <w:spacing w:after="0" w:line="25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$65 million for the three and nine months ended September 30, 2025, respectively, and $16 million and $31 million for the three and nine months ended September 30, 2024, respectively, related to interest on such related party promissory notes. These amounts offset and do not impact Net Income or Non-GAAP metrics such as Adjusted EBITDA, Implied DCF and Adjusted Free Cash Flow.</w:t>
      </w:r>
    </w:p>
    <w:p>
      <w:pPr>
        <w:spacing w:after="0" w:line="169" w:lineRule="exact"/>
        <w:rPr>
          <w:rFonts w:ascii="Times New Roman" w:cs="Times New Roman" w:eastAsia="Times New Roman" w:hAnsi="Times New Roman"/>
          <w:sz w:val="19"/>
          <w:szCs w:val="19"/>
          <w:color w:val="auto"/>
          <w:vertAlign w:val="superscript"/>
        </w:rPr>
      </w:pPr>
    </w:p>
    <w:p>
      <w:pPr>
        <w:ind w:left="5440" w:hanging="106"/>
        <w:spacing w:after="0"/>
        <w:tabs>
          <w:tab w:leader="none" w:pos="5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$1,180 and $348, respectively)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1"/>
                <w:szCs w:val="2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165"/>
        </w:trPr>
        <w:tc>
          <w:tcPr>
            <w:tcW w:w="3880" w:type="dxa"/>
            <w:vAlign w:val="bottom"/>
            <w:shd w:val="clear" w:color="auto" w:fill="CCEEFF"/>
          </w:tcPr>
          <w:p>
            <w:pPr>
              <w:spacing w:after="0"/>
              <w:rPr>
                <w:sz w:val="14"/>
                <w:szCs w:val="14"/>
                <w:color w:val="auto"/>
              </w:rPr>
            </w:pPr>
          </w:p>
        </w:tc>
        <w:tc>
          <w:tcPr>
            <w:tcW w:w="4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partners’ capital</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13,096</w:t>
            </w: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r>
    </w:tbl>
    <w:p>
      <w:pPr>
        <w:spacing w:after="0" w:line="126" w:lineRule="exact"/>
        <w:rPr>
          <w:sz w:val="20"/>
          <w:szCs w:val="20"/>
          <w:color w:val="auto"/>
        </w:rPr>
      </w:pPr>
    </w:p>
    <w:p>
      <w:pPr>
        <w:ind w:left="340" w:right="400" w:hanging="332"/>
        <w:spacing w:after="0" w:line="230" w:lineRule="auto"/>
        <w:tabs>
          <w:tab w:leader="none" w:pos="327"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Cash on hand at September 30, 2025 was utilized to redeem senior notes on October 3, 2025. Includes current assets of discontinued operations of $434 million and $415 million as of September 30, 2025 and December 31, 2024, respectively.</w:t>
      </w:r>
    </w:p>
    <w:p>
      <w:pPr>
        <w:spacing w:after="0" w:line="11"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current liabilities of discontinued operations of $283 million and $350 million as of September 30, 2025 and December 31, 2024,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CAPITALIZATION RATIOS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percentages)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48"/>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r>
      <w:tr>
        <w:trPr>
          <w:trHeight w:val="248"/>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70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17,434</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8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240" w:type="dxa"/>
            <w:vAlign w:val="bottom"/>
          </w:tcPr>
          <w:p>
            <w:pPr>
              <w:spacing w:after="0"/>
              <w:rPr>
                <w:sz w:val="19"/>
                <w:szCs w:val="19"/>
                <w:color w:val="auto"/>
              </w:rPr>
            </w:pPr>
          </w:p>
        </w:tc>
        <w:tc>
          <w:tcPr>
            <w:tcW w:w="3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240" w:type="dxa"/>
            <w:vAlign w:val="bottom"/>
            <w:shd w:val="clear" w:color="auto" w:fill="CCEEFF"/>
          </w:tcPr>
          <w:p>
            <w:pPr>
              <w:spacing w:after="0"/>
              <w:rPr>
                <w:sz w:val="19"/>
                <w:szCs w:val="19"/>
                <w:color w:val="auto"/>
              </w:rPr>
            </w:pPr>
          </w:p>
        </w:tc>
        <w:tc>
          <w:tcPr>
            <w:tcW w:w="3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220" w:type="dxa"/>
            <w:vAlign w:val="bottom"/>
            <w:tcBorders>
              <w:bottom w:val="single" w:sz="8" w:color="auto"/>
            </w:tcBorders>
            <w:gridSpan w:val="2"/>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9"/>
                <w:szCs w:val="9"/>
                <w:color w:val="auto"/>
                <w:w w:val="94"/>
              </w:rPr>
              <w:t>(1)</w:t>
            </w:r>
          </w:p>
        </w:tc>
        <w:tc>
          <w:tcPr>
            <w:tcW w:w="6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tc>
        <w:tc>
          <w:tcPr>
            <w:tcW w:w="3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760" w:type="dxa"/>
            <w:vAlign w:val="bottom"/>
            <w:gridSpan w:val="3"/>
            <w:vMerge w:val="continue"/>
          </w:tcPr>
          <w:p>
            <w:pPr>
              <w:spacing w:after="0"/>
              <w:rPr>
                <w:sz w:val="6"/>
                <w:szCs w:val="6"/>
                <w:color w:val="auto"/>
              </w:rPr>
            </w:pPr>
          </w:p>
        </w:tc>
        <w:tc>
          <w:tcPr>
            <w:tcW w:w="3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 more -</w:t>
            </w:r>
          </w:p>
        </w:tc>
        <w:tc>
          <w:tcPr>
            <w:tcW w:w="3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gridSpan w:val="2"/>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34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ind w:right="4640"/>
        <w:spacing w:after="0" w:line="27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COMMON UNIT </w:t>
      </w:r>
      <w:r>
        <w:rPr>
          <w:rFonts w:ascii="Times New Roman" w:cs="Times New Roman" w:eastAsia="Times New Roman" w:hAnsi="Times New Roman"/>
          <w:sz w:val="18"/>
          <w:szCs w:val="18"/>
          <w:color w:val="auto"/>
        </w:rPr>
        <w:t>(in millions, except per unit data)</w:t>
      </w: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80" w:type="dxa"/>
            <w:vAlign w:val="bottom"/>
            <w:gridSpan w:val="4"/>
          </w:tcPr>
          <w:p>
            <w:pPr>
              <w:jc w:val="right"/>
              <w:ind w:right="52"/>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right"/>
              <w:ind w:right="491"/>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6"/>
        </w:trPr>
        <w:tc>
          <w:tcPr>
            <w:tcW w:w="638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income from continuing operations allocated to common unitholders - Basic and</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3"/>
        </w:trPr>
        <w:tc>
          <w:tcPr>
            <w:tcW w:w="63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(2)</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57"/>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5"/>
        </w:trPr>
        <w:tc>
          <w:tcPr>
            <w:tcW w:w="63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allocated to common unitholders - Basic</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638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56"/>
        </w:trPr>
        <w:tc>
          <w:tcPr>
            <w:tcW w:w="388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48"/>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9"/>
        </w:trPr>
        <w:tc>
          <w:tcPr>
            <w:tcW w:w="6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(4) (5)</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3"/>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1"/>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127" w:lineRule="exact"/>
        <w:rPr>
          <w:sz w:val="20"/>
          <w:szCs w:val="20"/>
          <w:color w:val="auto"/>
        </w:rPr>
      </w:pPr>
    </w:p>
    <w:p>
      <w:pPr>
        <w:ind w:left="340" w:right="120" w:hanging="332"/>
        <w:spacing w:after="0" w:line="233"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49" w:lineRule="exact"/>
        <w:rPr>
          <w:rFonts w:ascii="Times New Roman" w:cs="Times New Roman" w:eastAsia="Times New Roman" w:hAnsi="Times New Roman"/>
          <w:sz w:val="22"/>
          <w:szCs w:val="22"/>
          <w:color w:val="auto"/>
          <w:vertAlign w:val="superscript"/>
        </w:rPr>
      </w:pPr>
    </w:p>
    <w:p>
      <w:pPr>
        <w:ind w:left="340" w:right="140" w:hanging="332"/>
        <w:spacing w:after="0" w:line="237"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40" w:right="140" w:hanging="332"/>
        <w:spacing w:after="0" w:line="227"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income from discontinued operations allocated to common unitholders is Income from discontinued operations, net of tax as presented on our Condensed Consolidated Statements of Operations.</w:t>
      </w:r>
    </w:p>
    <w:p>
      <w:pPr>
        <w:spacing w:after="0" w:line="48" w:lineRule="exact"/>
        <w:rPr>
          <w:rFonts w:ascii="Times New Roman" w:cs="Times New Roman" w:eastAsia="Times New Roman" w:hAnsi="Times New Roman"/>
          <w:sz w:val="22"/>
          <w:szCs w:val="22"/>
          <w:color w:val="auto"/>
          <w:vertAlign w:val="superscript"/>
        </w:rPr>
      </w:pPr>
    </w:p>
    <w:p>
      <w:pPr>
        <w:ind w:left="340" w:right="320" w:hanging="332"/>
        <w:spacing w:after="0" w:line="227"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each of the three and nine months ended September 30, 2025 and 2024 as the effect was antidilutive.</w:t>
      </w:r>
    </w:p>
    <w:p>
      <w:pPr>
        <w:spacing w:after="0" w:line="34" w:lineRule="exact"/>
        <w:rPr>
          <w:rFonts w:ascii="Times New Roman" w:cs="Times New Roman" w:eastAsia="Times New Roman" w:hAnsi="Times New Roman"/>
          <w:sz w:val="22"/>
          <w:szCs w:val="22"/>
          <w:color w:val="auto"/>
          <w:vertAlign w:val="superscript"/>
        </w:rPr>
      </w:pPr>
    </w:p>
    <w:p>
      <w:pPr>
        <w:ind w:left="340" w:hanging="332"/>
        <w:spacing w:after="0" w:line="241"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(Gain)/loss on foreign currency revaluation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8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57"/>
        </w:trPr>
        <w:tc>
          <w:tcPr>
            <w:tcW w:w="38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70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56"/>
        </w:trPr>
        <w:tc>
          <w:tcPr>
            <w:tcW w:w="388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56"/>
        </w:trPr>
        <w:tc>
          <w:tcPr>
            <w:tcW w:w="38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 -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388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388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8"/>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130" w:lineRule="exact"/>
        <w:rPr>
          <w:sz w:val="20"/>
          <w:szCs w:val="20"/>
          <w:color w:val="auto"/>
        </w:rPr>
      </w:pPr>
    </w:p>
    <w:p>
      <w:pPr>
        <w:ind w:left="340" w:hanging="332"/>
        <w:spacing w:after="0" w:line="239" w:lineRule="auto"/>
        <w:tabs>
          <w:tab w:leader="none" w:pos="37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Plains entities have issued promissory notes by and among such entities to facilitate financing. For the nine months ended September 30, 2025 and 2024, “Net cash used in investing activities” includes a cash outflow of approximately $330 million and $629 million, respectively, associated with our investment in related party notes. An equal and offsetting cash inflow associated with our issuance of related party notes is included in “Net cash provided by/(used in) financing activities.”</w:t>
      </w:r>
    </w:p>
    <w:p>
      <w:pPr>
        <w:spacing w:after="0" w:line="6"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2025 period includes a net cash outflow of $865 million for bolt-on acquisitions.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8"/>
                <w:szCs w:val="18"/>
                <w:b w:val="1"/>
                <w:bCs w:val="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40" w:type="dxa"/>
            <w:vAlign w:val="bottom"/>
            <w:gridSpan w:val="4"/>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5"/>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20" w:type="dxa"/>
            <w:vAlign w:val="bottom"/>
            <w:gridSpan w:val="4"/>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6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NGL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Maintenance capital expenditures </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Investment and Maintenance capital</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1"/>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“Discontinued Operations Detail” section for amounts attributable to discontinued operations.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Financial Data by NGL” section for amounts attributable to discontinued operations.</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 (2)</w:t>
      </w:r>
      <w:r>
        <w:rPr>
          <w:rFonts w:ascii="Times New Roman" w:cs="Times New Roman" w:eastAsia="Times New Roman" w:hAnsi="Times New Roman"/>
          <w:sz w:val="18"/>
          <w:szCs w:val="18"/>
          <w:b w:val="1"/>
          <w:bCs w:val="1"/>
          <w:color w:val="auto"/>
        </w:rPr>
        <w:t xml:space="preserve">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6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9"/>
        </w:trPr>
        <w:tc>
          <w:tcPr>
            <w:tcW w:w="63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w w:val="99"/>
              </w:rPr>
              <w:t xml:space="preserve">Selected items impacting comparability - Adjusted net income attributable to PAA </w:t>
            </w:r>
            <w:r>
              <w:rPr>
                <w:rFonts w:ascii="Times New Roman" w:cs="Times New Roman" w:eastAsia="Times New Roman" w:hAnsi="Times New Roman"/>
                <w:sz w:val="23"/>
                <w:szCs w:val="23"/>
                <w:color w:val="auto"/>
                <w:w w:val="99"/>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29"/>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3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(4)</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(5) (6)</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0"/>
        </w:trPr>
        <w:tc>
          <w:tcPr>
            <w:tcW w:w="38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126" w:lineRule="exact"/>
        <w:rPr>
          <w:sz w:val="20"/>
          <w:szCs w:val="20"/>
          <w:color w:val="auto"/>
        </w:rPr>
      </w:pPr>
    </w:p>
    <w:p>
      <w:pPr>
        <w:ind w:left="340" w:right="160" w:hanging="332"/>
        <w:spacing w:after="0" w:line="239"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28"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3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5" w:lineRule="exact"/>
        <w:rPr>
          <w:rFonts w:ascii="Times New Roman" w:cs="Times New Roman" w:eastAsia="Times New Roman" w:hAnsi="Times New Roman"/>
          <w:sz w:val="19"/>
          <w:szCs w:val="19"/>
          <w:color w:val="auto"/>
          <w:vertAlign w:val="superscript"/>
        </w:rPr>
      </w:pPr>
    </w:p>
    <w:p>
      <w:pPr>
        <w:ind w:left="340" w:right="120" w:hanging="332"/>
        <w:spacing w:after="0" w:line="221"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adjusted net income allocated to common unitholders.</w:t>
      </w:r>
    </w:p>
    <w:p>
      <w:pPr>
        <w:spacing w:after="0" w:line="41" w:lineRule="exact"/>
        <w:rPr>
          <w:rFonts w:ascii="Times New Roman" w:cs="Times New Roman" w:eastAsia="Times New Roman" w:hAnsi="Times New Roman"/>
          <w:sz w:val="19"/>
          <w:szCs w:val="19"/>
          <w:color w:val="auto"/>
          <w:vertAlign w:val="superscript"/>
        </w:rPr>
      </w:pPr>
    </w:p>
    <w:p>
      <w:pPr>
        <w:ind w:left="340" w:right="360" w:hanging="332"/>
        <w:spacing w:after="0" w:line="221"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and nine months ended September 30, 2025 and 2024 as the effect was antidilutive.</w:t>
      </w:r>
    </w:p>
    <w:p>
      <w:pPr>
        <w:spacing w:after="0" w:line="42" w:lineRule="exact"/>
        <w:rPr>
          <w:rFonts w:ascii="Times New Roman" w:cs="Times New Roman" w:eastAsia="Times New Roman" w:hAnsi="Times New Roman"/>
          <w:sz w:val="19"/>
          <w:szCs w:val="19"/>
          <w:color w:val="auto"/>
          <w:vertAlign w:val="superscript"/>
        </w:rPr>
      </w:pPr>
    </w:p>
    <w:p>
      <w:pPr>
        <w:ind w:left="340" w:right="100" w:hanging="332"/>
        <w:spacing w:after="0" w:line="239"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Common Unit to Adjusted Net Income Per Common Unit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30"/>
        </w:trPr>
        <w:tc>
          <w:tcPr>
            <w:tcW w:w="6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(2)</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9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Adjusted Net Income Per Common Unit” tables for additional information.</w:t>
      </w:r>
    </w:p>
    <w:p>
      <w:pPr>
        <w:spacing w:after="0" w:line="178" w:lineRule="exact"/>
        <w:rPr>
          <w:rFonts w:ascii="Times New Roman" w:cs="Times New Roman" w:eastAsia="Times New Roman" w:hAnsi="Times New Roman"/>
          <w:sz w:val="9"/>
          <w:szCs w:val="9"/>
          <w:color w:val="auto"/>
        </w:rPr>
      </w:pP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6"/>
        </w:trPr>
        <w:tc>
          <w:tcPr>
            <w:tcW w:w="6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(Gains)/losses on asset sales, net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(Gains)/losses on asset sales, net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6"/>
        </w:trPr>
        <w:tc>
          <w:tcPr>
            <w:tcW w:w="6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(1) (4)</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0"/>
        </w:trPr>
        <w:tc>
          <w:tcPr>
            <w:tcW w:w="63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r>
      <w:tr>
        <w:trPr>
          <w:trHeight w:val="21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2"/>
        </w:trPr>
        <w:tc>
          <w:tcPr>
            <w:tcW w:w="6380" w:type="dxa"/>
            <w:vAlign w:val="bottom"/>
          </w:tcPr>
          <w:p>
            <w:pPr>
              <w:ind w:left="40"/>
              <w:spacing w:after="0" w:line="213"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r>
      <w:tr>
        <w:trPr>
          <w:trHeight w:val="216"/>
        </w:trPr>
        <w:tc>
          <w:tcPr>
            <w:tcW w:w="6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6"/>
        </w:trPr>
        <w:tc>
          <w:tcPr>
            <w:tcW w:w="6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income tax expense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3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63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(8)</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0"/>
        </w:trPr>
        <w:tc>
          <w:tcPr>
            <w:tcW w:w="63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16"/>
        </w:trPr>
        <w:tc>
          <w:tcPr>
            <w:tcW w:w="638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(8)</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35"/>
        </w:trPr>
        <w:tc>
          <w:tcPr>
            <w:tcW w:w="63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9"/>
        </w:trPr>
        <w:tc>
          <w:tcPr>
            <w:tcW w:w="63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(1) (9)</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(1) (10)</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0.9525</w:t>
            </w: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(8)</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1.61x</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1.92x</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1.69x</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1.95x</w:t>
            </w:r>
          </w:p>
        </w:tc>
      </w:tr>
      <w:tr>
        <w:trPr>
          <w:trHeight w:val="279"/>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5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34"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certain Plains entities.</w:t>
      </w:r>
    </w:p>
    <w:p>
      <w:pPr>
        <w:spacing w:after="0" w:line="35"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8"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35" w:lineRule="exact"/>
        <w:rPr>
          <w:rFonts w:ascii="Times New Roman" w:cs="Times New Roman" w:eastAsia="Times New Roman" w:hAnsi="Times New Roman"/>
          <w:sz w:val="17"/>
          <w:szCs w:val="17"/>
          <w:color w:val="auto"/>
          <w:vertAlign w:val="superscript"/>
        </w:rPr>
      </w:pPr>
    </w:p>
    <w:p>
      <w:pPr>
        <w:ind w:left="340" w:right="40" w:hanging="332"/>
        <w:spacing w:after="0" w:line="219" w:lineRule="auto"/>
        <w:tabs>
          <w:tab w:leader="none" w:pos="331"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34" w:lineRule="exact"/>
        <w:rPr>
          <w:rFonts w:ascii="Times New Roman" w:cs="Times New Roman" w:eastAsia="Times New Roman" w:hAnsi="Times New Roman"/>
          <w:sz w:val="17"/>
          <w:szCs w:val="17"/>
          <w:color w:val="auto"/>
          <w:vertAlign w:val="superscript"/>
        </w:rPr>
      </w:pPr>
    </w:p>
    <w:p>
      <w:pPr>
        <w:ind w:left="340" w:right="260" w:hanging="332"/>
        <w:spacing w:after="0" w:line="219" w:lineRule="auto"/>
        <w:tabs>
          <w:tab w:leader="none" w:pos="331"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34"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35" w:lineRule="exact"/>
        <w:rPr>
          <w:rFonts w:ascii="Times New Roman" w:cs="Times New Roman" w:eastAsia="Times New Roman" w:hAnsi="Times New Roman"/>
          <w:sz w:val="17"/>
          <w:szCs w:val="17"/>
          <w:color w:val="auto"/>
          <w:vertAlign w:val="superscript"/>
        </w:rPr>
      </w:pPr>
    </w:p>
    <w:p>
      <w:pPr>
        <w:ind w:left="340" w:right="200" w:hanging="332"/>
        <w:spacing w:after="0" w:line="232" w:lineRule="auto"/>
        <w:tabs>
          <w:tab w:leader="none" w:pos="332"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9" w:lineRule="exact"/>
        <w:rPr>
          <w:rFonts w:ascii="Times New Roman" w:cs="Times New Roman" w:eastAsia="Times New Roman" w:hAnsi="Times New Roman"/>
          <w:sz w:val="17"/>
          <w:szCs w:val="17"/>
          <w:color w:val="auto"/>
          <w:vertAlign w:val="superscript"/>
        </w:rPr>
      </w:pP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Common Unit to Implied DCF Per Common Unit and Common Unit Equivalent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(2) (3)</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29"/>
        </w:trPr>
        <w:tc>
          <w:tcPr>
            <w:tcW w:w="62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(2) (4)</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0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480" w:hanging="332"/>
        <w:spacing w:after="0" w:line="21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of 704 million, 702 million, 704 million and 702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as well as weighted average Series A preferred units outstanding of 58 million, 71 million, 60 million and 71 million for the periods presented, respectively.</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176"/>
        </w:trPr>
        <w:tc>
          <w:tcPr>
            <w:tcW w:w="6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40"/>
              <w:spacing w:after="0" w:line="234"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 (3)</w:t>
            </w: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(5)</w:t>
            </w:r>
          </w:p>
        </w:tc>
        <w:tc>
          <w:tcPr>
            <w:tcW w:w="72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(1) (5) (7)</w:t>
            </w:r>
          </w:p>
        </w:tc>
        <w:tc>
          <w:tcPr>
            <w:tcW w:w="72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(5)</w:t>
            </w: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(1) (8)</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(1) (9)</w:t>
            </w: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155"/>
        </w:trPr>
        <w:tc>
          <w:tcPr>
            <w:tcW w:w="62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720" w:type="dxa"/>
            <w:vAlign w:val="bottom"/>
            <w:vMerge w:val="restart"/>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(1) (9)</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50" w:lineRule="exact"/>
        <w:rPr>
          <w:rFonts w:ascii="Times New Roman" w:cs="Times New Roman" w:eastAsia="Times New Roman" w:hAnsi="Times New Roman"/>
          <w:sz w:val="21"/>
          <w:szCs w:val="21"/>
          <w:color w:val="auto"/>
          <w:vertAlign w:val="superscript"/>
        </w:rPr>
      </w:pPr>
    </w:p>
    <w:p>
      <w:pPr>
        <w:ind w:left="340" w:right="80" w:hanging="332"/>
        <w:spacing w:after="0" w:line="222"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nine months ended September 30, 2025 includes a net cash outflow of $865 million for bolt-on acquisitions.</w:t>
      </w:r>
    </w:p>
    <w:p>
      <w:pPr>
        <w:spacing w:after="0" w:line="64"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50" w:lineRule="exact"/>
        <w:rPr>
          <w:rFonts w:ascii="Times New Roman" w:cs="Times New Roman" w:eastAsia="Times New Roman" w:hAnsi="Times New Roman"/>
          <w:sz w:val="21"/>
          <w:szCs w:val="21"/>
          <w:color w:val="auto"/>
          <w:vertAlign w:val="superscript"/>
        </w:rPr>
      </w:pPr>
    </w:p>
    <w:p>
      <w:pPr>
        <w:ind w:left="340" w:right="18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7"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2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6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 (2)</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(3)</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72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0"/>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(4)</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9"/>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(5)</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9"/>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Rail fleet amortization expense related to discontinued operations </w:t>
            </w:r>
            <w:r>
              <w:rPr>
                <w:rFonts w:ascii="Times New Roman" w:cs="Times New Roman" w:eastAsia="Times New Roman" w:hAnsi="Times New Roman"/>
                <w:sz w:val="22"/>
                <w:szCs w:val="22"/>
                <w:color w:val="auto"/>
                <w:vertAlign w:val="superscript"/>
              </w:rPr>
              <w:t>(6)</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(7)</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9"/>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(8)</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0"/>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Line 901 incident </w:t>
            </w:r>
            <w:r>
              <w:rPr>
                <w:rFonts w:ascii="Times New Roman" w:cs="Times New Roman" w:eastAsia="Times New Roman" w:hAnsi="Times New Roman"/>
                <w:sz w:val="22"/>
                <w:szCs w:val="22"/>
                <w:color w:val="auto"/>
                <w:vertAlign w:val="superscript"/>
              </w:rPr>
              <w:t>(9)</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9"/>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Transaction-related expenses </w:t>
            </w:r>
            <w:r>
              <w:rPr>
                <w:rFonts w:ascii="Times New Roman" w:cs="Times New Roman" w:eastAsia="Times New Roman" w:hAnsi="Times New Roman"/>
                <w:sz w:val="22"/>
                <w:szCs w:val="22"/>
                <w:color w:val="auto"/>
                <w:vertAlign w:val="superscript"/>
              </w:rPr>
              <w:t>(10)</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72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3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7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2"/>
        </w:trPr>
        <w:tc>
          <w:tcPr>
            <w:tcW w:w="6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72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75" w:lineRule="exact"/>
        <w:rPr>
          <w:sz w:val="20"/>
          <w:szCs w:val="20"/>
          <w:color w:val="auto"/>
        </w:rPr>
      </w:pPr>
    </w:p>
    <w:p>
      <w:pPr>
        <w:ind w:left="340" w:right="540" w:hanging="332"/>
        <w:spacing w:after="0" w:line="234" w:lineRule="auto"/>
        <w:tabs>
          <w:tab w:leader="none" w:pos="32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ind w:left="320" w:hanging="312"/>
        <w:spacing w:after="0" w:line="198" w:lineRule="auto"/>
        <w:tabs>
          <w:tab w:leader="none" w:pos="32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37" w:lineRule="exact"/>
        <w:rPr>
          <w:rFonts w:ascii="Times New Roman" w:cs="Times New Roman" w:eastAsia="Times New Roman" w:hAnsi="Times New Roman"/>
          <w:sz w:val="17"/>
          <w:szCs w:val="17"/>
          <w:color w:val="auto"/>
          <w:vertAlign w:val="superscript"/>
        </w:rPr>
      </w:pPr>
    </w:p>
    <w:p>
      <w:pPr>
        <w:ind w:left="340" w:right="40" w:hanging="332"/>
        <w:spacing w:after="0" w:line="229" w:lineRule="auto"/>
        <w:tabs>
          <w:tab w:leader="none" w:pos="32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25" w:lineRule="exact"/>
        <w:rPr>
          <w:rFonts w:ascii="Times New Roman" w:cs="Times New Roman" w:eastAsia="Times New Roman" w:hAnsi="Times New Roman"/>
          <w:sz w:val="17"/>
          <w:szCs w:val="17"/>
          <w:color w:val="auto"/>
          <w:vertAlign w:val="superscript"/>
        </w:rPr>
      </w:pPr>
    </w:p>
    <w:p>
      <w:pPr>
        <w:ind w:left="340" w:right="160" w:hanging="332"/>
        <w:spacing w:after="0" w:line="232" w:lineRule="auto"/>
        <w:tabs>
          <w:tab w:leader="none" w:pos="32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5" w:lineRule="exact"/>
        <w:rPr>
          <w:rFonts w:ascii="Times New Roman" w:cs="Times New Roman" w:eastAsia="Times New Roman" w:hAnsi="Times New Roman"/>
          <w:sz w:val="17"/>
          <w:szCs w:val="17"/>
          <w:color w:val="auto"/>
          <w:vertAlign w:val="superscript"/>
        </w:rPr>
      </w:pPr>
    </w:p>
    <w:p>
      <w:pPr>
        <w:ind w:left="340" w:hanging="332"/>
        <w:spacing w:after="0"/>
        <w:tabs>
          <w:tab w:leader="none" w:pos="32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7" w:lineRule="exact"/>
        <w:rPr>
          <w:rFonts w:ascii="Times New Roman" w:cs="Times New Roman" w:eastAsia="Times New Roman" w:hAnsi="Times New Roman"/>
          <w:sz w:val="17"/>
          <w:szCs w:val="17"/>
          <w:color w:val="auto"/>
          <w:vertAlign w:val="superscript"/>
        </w:rPr>
      </w:pPr>
    </w:p>
    <w:p>
      <w:pPr>
        <w:ind w:left="340" w:right="100" w:hanging="332"/>
        <w:spacing w:after="0" w:line="232" w:lineRule="auto"/>
        <w:tabs>
          <w:tab w:leader="none" w:pos="32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spacing w:after="0" w:line="25" w:lineRule="exact"/>
        <w:rPr>
          <w:rFonts w:ascii="Times New Roman" w:cs="Times New Roman" w:eastAsia="Times New Roman" w:hAnsi="Times New Roman"/>
          <w:sz w:val="17"/>
          <w:szCs w:val="17"/>
          <w:color w:val="auto"/>
          <w:vertAlign w:val="superscript"/>
        </w:rPr>
      </w:pPr>
    </w:p>
    <w:p>
      <w:pPr>
        <w:ind w:left="340" w:right="60" w:hanging="332"/>
        <w:spacing w:after="0" w:line="232" w:lineRule="auto"/>
        <w:tabs>
          <w:tab w:leader="none" w:pos="32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25" w:lineRule="exact"/>
        <w:rPr>
          <w:rFonts w:ascii="Times New Roman" w:cs="Times New Roman" w:eastAsia="Times New Roman" w:hAnsi="Times New Roman"/>
          <w:sz w:val="17"/>
          <w:szCs w:val="17"/>
          <w:color w:val="auto"/>
          <w:vertAlign w:val="superscript"/>
        </w:rPr>
      </w:pPr>
    </w:p>
    <w:p>
      <w:pPr>
        <w:ind w:left="340" w:right="140" w:hanging="332"/>
        <w:spacing w:after="0" w:line="231" w:lineRule="auto"/>
        <w:tabs>
          <w:tab w:leader="none" w:pos="328"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ind w:left="320" w:hanging="312"/>
        <w:spacing w:after="0" w:line="232" w:lineRule="auto"/>
        <w:tabs>
          <w:tab w:leader="none" w:pos="32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costs recognized during the period related to the Line 901 incident that occurred in May 2015, net of amounts we believe are probable of recovery from insurance.</w:t>
      </w:r>
    </w:p>
    <w:p>
      <w:pPr>
        <w:spacing w:after="0" w:line="37" w:lineRule="exact"/>
        <w:rPr>
          <w:rFonts w:ascii="Times New Roman" w:cs="Times New Roman" w:eastAsia="Times New Roman" w:hAnsi="Times New Roman"/>
          <w:sz w:val="17"/>
          <w:szCs w:val="17"/>
          <w:color w:val="auto"/>
          <w:vertAlign w:val="superscript"/>
        </w:rPr>
      </w:pPr>
    </w:p>
    <w:p>
      <w:pPr>
        <w:ind w:left="320" w:hanging="312"/>
        <w:spacing w:after="0" w:line="186" w:lineRule="auto"/>
        <w:tabs>
          <w:tab w:leader="none" w:pos="32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related to acquisitions completed during the first nine months of 2025.</w:t>
      </w:r>
    </w:p>
    <w:p>
      <w:pPr>
        <w:spacing w:after="0" w:line="159" w:lineRule="exact"/>
        <w:rPr>
          <w:rFonts w:ascii="Times New Roman" w:cs="Times New Roman" w:eastAsia="Times New Roman" w:hAnsi="Times New Roman"/>
          <w:sz w:val="17"/>
          <w:szCs w:val="17"/>
          <w:color w:val="auto"/>
          <w:vertAlign w:val="superscript"/>
        </w:rPr>
      </w:pP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CRUDE OIL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r>
      <w:tr>
        <w:trPr>
          <w:trHeight w:val="230"/>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(34,014)</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 / Adjusted EBITDA from Crude Oil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maintenance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NGL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4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NGL Segment Adjusted EBITDA </w:t>
            </w:r>
            <w:r>
              <w:rPr>
                <w:rFonts w:ascii="Times New Roman" w:cs="Times New Roman" w:eastAsia="Times New Roman" w:hAnsi="Times New Roman"/>
                <w:sz w:val="23"/>
                <w:szCs w:val="23"/>
                <w:color w:val="auto"/>
                <w:vertAlign w:val="superscript"/>
              </w:rPr>
              <w:t>(4)</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16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NGL</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continuing operations</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discontinued operations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maintenance capital expenditures</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55" w:lineRule="exact"/>
        <w:rPr>
          <w:rFonts w:ascii="Times New Roman" w:cs="Times New Roman" w:eastAsia="Times New Roman" w:hAnsi="Times New Roman"/>
          <w:sz w:val="23"/>
          <w:szCs w:val="23"/>
          <w:color w:val="auto"/>
          <w:vertAlign w:val="superscript"/>
        </w:rPr>
      </w:pPr>
    </w:p>
    <w:p>
      <w:pPr>
        <w:ind w:left="340" w:right="400" w:hanging="332"/>
        <w:spacing w:after="0" w:line="21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5"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excludes amounts related to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120" w:hanging="332"/>
        <w:spacing w:after="0" w:line="21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table for a reconciliation to the most directly comparable measure as reported in accordance with GAAP.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 DETAIL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from Discontinued Operations, Net of Tax: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from NGL Discontinued Operations:</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8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from discontinued operations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 from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attributable to discontinued operations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Rail fleet amortization expense related to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 EBITDA from NGL Discontinued Operations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Capital from NGL Discontinued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40" w:type="dxa"/>
            <w:vAlign w:val="bottom"/>
            <w:gridSpan w:val="5"/>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investment capital expenditures from discontinued operations</w:t>
            </w:r>
          </w:p>
        </w:tc>
        <w:tc>
          <w:tcPr>
            <w:tcW w:w="12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auto"/>
            </w:tcBorders>
            <w:shd w:val="clear" w:color="auto" w:fill="CCEEFF"/>
          </w:tcPr>
          <w:p>
            <w:pPr>
              <w:spacing w:after="0"/>
              <w:rPr>
                <w:sz w:val="19"/>
                <w:szCs w:val="19"/>
                <w:color w:val="auto"/>
              </w:rPr>
            </w:pPr>
          </w:p>
        </w:tc>
      </w:tr>
      <w:tr>
        <w:trPr>
          <w:trHeight w:val="48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0" w:type="dxa"/>
            <w:vAlign w:val="bottom"/>
            <w:gridSpan w:val="2"/>
          </w:tcPr>
          <w:p>
            <w:pPr>
              <w:jc w:val="center"/>
              <w:ind w:right="862"/>
              <w:spacing w:after="0"/>
              <w:rPr>
                <w:sz w:val="20"/>
                <w:szCs w:val="20"/>
                <w:color w:val="auto"/>
              </w:rPr>
            </w:pPr>
            <w:r>
              <w:rPr>
                <w:rFonts w:ascii="Times New Roman" w:cs="Times New Roman" w:eastAsia="Times New Roman" w:hAnsi="Times New Roman"/>
                <w:sz w:val="18"/>
                <w:szCs w:val="18"/>
                <w:color w:val="auto"/>
                <w:w w:val="99"/>
              </w:rPr>
              <w:t>- more -</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3"/>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2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840" w:type="dxa"/>
            <w:vAlign w:val="bottom"/>
            <w:gridSpan w:val="3"/>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380" w:type="dxa"/>
            <w:vAlign w:val="bottom"/>
          </w:tcPr>
          <w:p>
            <w:pPr>
              <w:spacing w:after="0"/>
              <w:rPr>
                <w:sz w:val="24"/>
                <w:szCs w:val="24"/>
                <w:color w:val="auto"/>
              </w:rPr>
            </w:pPr>
          </w:p>
        </w:tc>
        <w:tc>
          <w:tcPr>
            <w:tcW w:w="2520" w:type="dxa"/>
            <w:vAlign w:val="bottom"/>
            <w:gridSpan w:val="7"/>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w w:val="99"/>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2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Volumes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pipeline tariff (by region)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29"/>
        </w:trPr>
        <w:tc>
          <w:tcPr>
            <w:tcW w:w="62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62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6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Western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6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62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Volumes </w:t>
            </w:r>
            <w:r>
              <w:rPr>
                <w:rFonts w:ascii="Times New Roman" w:cs="Times New Roman" w:eastAsia="Times New Roman" w:hAnsi="Times New Roman"/>
                <w:sz w:val="23"/>
                <w:szCs w:val="23"/>
                <w:color w:val="auto"/>
                <w:vertAlign w:val="superscript"/>
              </w:rPr>
              <w:t>(3)</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fractionation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NGL pipeline tariff</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from assets associated with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62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628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(3)</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30" w:lineRule="exact"/>
        <w:rPr>
          <w:sz w:val="20"/>
          <w:szCs w:val="20"/>
          <w:color w:val="auto"/>
        </w:rPr>
      </w:pPr>
    </w:p>
    <w:p>
      <w:pPr>
        <w:ind w:left="340" w:right="440" w:hanging="332"/>
        <w:spacing w:after="0" w:line="22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Reconciliation” table for a reconciliation to the most directly comparable measure as reported in accordance with GAAP.</w:t>
      </w:r>
    </w:p>
    <w:p>
      <w:pPr>
        <w:spacing w:after="0" w:line="36" w:lineRule="exact"/>
        <w:rPr>
          <w:rFonts w:ascii="Times New Roman" w:cs="Times New Roman" w:eastAsia="Times New Roman" w:hAnsi="Times New Roman"/>
          <w:sz w:val="23"/>
          <w:szCs w:val="23"/>
          <w:color w:val="auto"/>
          <w:vertAlign w:val="superscript"/>
        </w:rPr>
      </w:pPr>
    </w:p>
    <w:p>
      <w:pPr>
        <w:ind w:left="340" w:hanging="332"/>
        <w:spacing w:after="0" w:line="235"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0" w:type="dxa"/>
            <w:vAlign w:val="bottom"/>
          </w:tcPr>
          <w:p>
            <w:pPr>
              <w:spacing w:after="0"/>
              <w:rPr>
                <w:sz w:val="1"/>
                <w:szCs w:val="1"/>
                <w:color w:val="auto"/>
              </w:rPr>
            </w:pPr>
          </w:p>
        </w:tc>
      </w:tr>
      <w:tr>
        <w:trPr>
          <w:trHeight w:val="21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0" w:type="dxa"/>
            <w:vAlign w:val="bottom"/>
          </w:tcPr>
          <w:p>
            <w:pPr>
              <w:spacing w:after="0"/>
              <w:rPr>
                <w:sz w:val="1"/>
                <w:szCs w:val="1"/>
                <w:color w:val="auto"/>
              </w:rPr>
            </w:pPr>
          </w:p>
        </w:tc>
      </w:tr>
      <w:tr>
        <w:trPr>
          <w:trHeight w:val="213"/>
        </w:trPr>
        <w:tc>
          <w:tcPr>
            <w:tcW w:w="4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Field operating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4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0" w:type="dxa"/>
            <w:vAlign w:val="bottom"/>
          </w:tcPr>
          <w:p>
            <w:pPr>
              <w:spacing w:after="0"/>
              <w:rPr>
                <w:sz w:val="1"/>
                <w:szCs w:val="1"/>
                <w:color w:val="auto"/>
              </w:rPr>
            </w:pPr>
          </w:p>
        </w:tc>
      </w:tr>
      <w:tr>
        <w:trPr>
          <w:trHeight w:val="259"/>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4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income/(expense),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45"/>
        </w:trPr>
        <w:tc>
          <w:tcPr>
            <w:tcW w:w="40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 NET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36,854</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34,086</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Field operating costs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35,976</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8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38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Deferred income tax (expense)/benefit from continuing</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38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33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liabilities of discontinued</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assets of discontinued operations of $434 million and $</w:t>
      </w:r>
      <w:r>
        <w:rPr>
          <w:rFonts w:ascii="Times New Roman" w:cs="Times New Roman" w:eastAsia="Times New Roman" w:hAnsi="Times New Roman"/>
          <w:sz w:val="16"/>
          <w:szCs w:val="16"/>
          <w:color w:val="auto"/>
        </w:rPr>
        <w:t>415</w:t>
      </w:r>
      <w:r>
        <w:rPr>
          <w:rFonts w:ascii="Times New Roman" w:cs="Times New Roman" w:eastAsia="Times New Roman" w:hAnsi="Times New Roman"/>
          <w:sz w:val="18"/>
          <w:szCs w:val="18"/>
          <w:color w:val="auto"/>
        </w:rPr>
        <w:t xml:space="preserve"> million as of September 30, 2025 and December 31, 2024, respectively.</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203" w:lineRule="auto"/>
        <w:tabs>
          <w:tab w:leader="none" w:pos="3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$283 million and $350 million as of September 30, 2025 and December 31, 2024, respectively.</w:t>
      </w:r>
    </w:p>
    <w:p>
      <w:pPr>
        <w:spacing w:after="0" w:line="157" w:lineRule="exact"/>
        <w:rPr>
          <w:rFonts w:ascii="Times New Roman" w:cs="Times New Roman" w:eastAsia="Times New Roman" w:hAnsi="Times New Roman"/>
          <w:sz w:val="22"/>
          <w:szCs w:val="22"/>
          <w:color w:val="auto"/>
          <w:vertAlign w:val="superscript"/>
        </w:rPr>
      </w:pPr>
    </w:p>
    <w:p>
      <w:pPr>
        <w:ind w:left="5440" w:hanging="106"/>
        <w:spacing w:after="0"/>
        <w:tabs>
          <w:tab w:leader="none" w:pos="5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CLASS A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8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1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8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3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 exchange of</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AAP Management Units</w:t>
            </w:r>
          </w:p>
        </w:tc>
        <w:tc>
          <w:tcPr>
            <w:tcW w:w="166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6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Net income attributable to PAGP from discontinued operations including incremental</w:t>
            </w:r>
          </w:p>
        </w:tc>
        <w:tc>
          <w:tcPr>
            <w:tcW w:w="720" w:type="dxa"/>
            <w:vAlign w:val="bottom"/>
            <w:vMerge w:val="restart"/>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 from assumed exchange of AAP Management Units</w:t>
            </w:r>
          </w:p>
        </w:tc>
        <w:tc>
          <w:tcPr>
            <w:tcW w:w="7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Management Units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166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8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8"/>
                <w:szCs w:val="18"/>
                <w:color w:val="auto"/>
              </w:rPr>
              <w:t>- more -</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80" w:type="dxa"/>
            <w:vAlign w:val="bottom"/>
            <w:gridSpan w:val="2"/>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380" w:type="dxa"/>
            <w:vAlign w:val="bottom"/>
          </w:tcPr>
          <w:p>
            <w:pPr>
              <w:spacing w:after="0"/>
              <w:rPr>
                <w:sz w:val="24"/>
                <w:szCs w:val="24"/>
                <w:color w:val="auto"/>
              </w:rPr>
            </w:pPr>
          </w:p>
        </w:tc>
        <w:tc>
          <w:tcPr>
            <w:tcW w:w="2520" w:type="dxa"/>
            <w:vAlign w:val="bottom"/>
            <w:gridSpan w:val="7"/>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w w:val="99"/>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Page 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8" w:lineRule="exact"/>
        <w:rPr>
          <w:sz w:val="20"/>
          <w:szCs w:val="20"/>
          <w:color w:val="auto"/>
        </w:rPr>
      </w:pPr>
    </w:p>
    <w:p>
      <w:pPr>
        <w:ind w:left="660" w:right="2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7"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6" w:lineRule="exact"/>
        <w:rPr>
          <w:rFonts w:ascii="Times New Roman" w:cs="Times New Roman" w:eastAsia="Times New Roman" w:hAnsi="Times New Roman"/>
          <w:sz w:val="17"/>
          <w:szCs w:val="17"/>
          <w:color w:val="auto"/>
        </w:rPr>
      </w:pPr>
    </w:p>
    <w:p>
      <w:pPr>
        <w:ind w:left="660" w:right="40" w:hanging="328"/>
        <w:spacing w:after="0" w:line="25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Canadian NGL Business divestiture and the EPIC acquisition;</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5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Page 26</w:t>
      </w:r>
    </w:p>
    <w:p>
      <w:pPr>
        <w:spacing w:after="0" w:line="200" w:lineRule="exact"/>
        <w:rPr>
          <w:sz w:val="20"/>
          <w:szCs w:val="20"/>
          <w:color w:val="auto"/>
        </w:rPr>
      </w:pPr>
    </w:p>
    <w:p>
      <w:pPr>
        <w:spacing w:after="0" w:line="241" w:lineRule="exact"/>
        <w:rPr>
          <w:sz w:val="20"/>
          <w:szCs w:val="20"/>
          <w:color w:val="auto"/>
        </w:rPr>
      </w:pPr>
    </w:p>
    <w:p>
      <w:pPr>
        <w:ind w:left="660" w:right="24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Page 27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Ross Hovde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3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Roman"/>
      <w:start w:val="5"/>
    </w:lvl>
  </w:abstractNum>
  <w:abstractNum w:abstractNumId="7">
    <w:nsid w:val="431BD7B7"/>
    <w:multiLevelType w:val="hybridMultilevel"/>
    <w:lvl w:ilvl="0">
      <w:lvlJc w:val="left"/>
      <w:lvlText w:val="(%1)"/>
      <w:numFmt w:val="decimal"/>
      <w:start w:val="1"/>
    </w:lvl>
    <w:lvl w:ilvl="1">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lvl w:ilvl="1">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lvl w:ilvl="1">
      <w:lvlJc w:val="left"/>
      <w:lvlText w:val="-"/>
      <w:numFmt w:val="bullet"/>
      <w:start w:val="1"/>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2025-11-05T07:47:55Z</dcterms:created>
  <dcterms:modified xsi:type="dcterms:W3CDTF">2025-11-05T07:47:55Z</dcterms:modified>
</cp:coreProperties>
</file>