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6712-1_s3.htm"/>
        <w:bookmarkStart w:id="1" w:name="kstm2667121_s3"/>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2">
                <wp:simplePos x="0" y="0"/>
                <wp:positionH relativeFrom="page">
                  <wp:posOffset>617855</wp:posOffset>
                </wp:positionH>
                <wp:positionV relativeFrom="page">
                  <wp:posOffset>9383395</wp:posOffset>
                </wp:positionV>
                <wp:extent cx="7560310" cy="381000"/>
                <wp:effectExtent l="0" t="0" r="0" b="0"/>
                <wp:wrapNone/>
                <wp:docPr id="1" name="Frame6"/>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is not complete and may be changed. Securities may not be sold pursuant to this preliminary prospectus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is not complete and may be changed. Securities may not be sold pursuant to this preliminary prospectus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lineRule="atLeast" w:line="200" w:before="557" w:after="437"/>
        <w:ind w:left="540" w:right="0" w:hanging="0"/>
        <w:jc w:val="center"/>
        <w:rPr>
          <w:rFonts w:ascii="Times New Roman;Times;serif" w:hAnsi="Times New Roman;Times;serif"/>
          <w:b/>
          <w:i w:val="false"/>
          <w:caps w:val="false"/>
          <w:smallCaps w:val="false"/>
          <w:color w:val="000000"/>
          <w:spacing w:val="-4"/>
          <w:sz w:val="19"/>
        </w:rPr>
      </w:pPr>
      <w:r>
        <w:rPr>
          <w:rFonts w:ascii="Times New Roman;Times;serif" w:hAnsi="Times New Roman;Times;serif"/>
          <w:b/>
          <w:i w:val="false"/>
          <w:caps w:val="false"/>
          <w:smallCaps w:val="false"/>
          <w:color w:val="000000"/>
          <w:spacing w:val="-4"/>
          <w:sz w:val="19"/>
        </w:rPr>
        <w:t xml:space="preserve">As filed with the Securities and Exchange Commission on March 30, 2026 </w:t>
      </w:r>
    </w:p>
    <w:p>
      <w:pPr>
        <w:pStyle w:val="TextBody"/>
        <w:bidi w:val="0"/>
        <w:spacing w:lineRule="atLeast" w:line="200" w:before="80" w:after="283"/>
        <w:jc w:val="right"/>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Registration No. 333-      </w:t>
      </w:r>
      <w:r>
        <w:rPr>
          <w:rFonts w:ascii="Times New Roman;Times;serif" w:hAnsi="Times New Roman;Times;serif"/>
          <w:b/>
          <w:i w:val="false"/>
          <w:caps w:val="false"/>
          <w:smallCaps w:val="false"/>
          <w:color w:val="000000"/>
          <w:sz w:val="19"/>
        </w:rPr>
        <w:t>​</w:t>
      </w:r>
    </w:p>
    <w:p>
      <w:pPr>
        <w:pStyle w:val="TextBody"/>
        <w:bidi w:val="0"/>
        <w:spacing w:before="53"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3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30" w:before="6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UNITED STATES</w:t>
      </w:r>
      <w:r>
        <w:rPr>
          <w:rFonts w:ascii="Times New Roman;Times;serif" w:hAnsi="Times New Roman;Times;serif"/>
          <w:b/>
          <w:i w:val="false"/>
          <w:caps w:val="false"/>
          <w:smallCaps w:val="false"/>
          <w:color w:val="000000"/>
          <w:sz w:val="32"/>
        </w:rPr>
        <w:t xml:space="preserve"> </w:t>
        <w:br/>
      </w:r>
      <w:r>
        <w:rPr>
          <w:rFonts w:ascii="Times New Roman;Times;serif" w:hAnsi="Times New Roman;Times;serif"/>
          <w:b/>
          <w:i w:val="false"/>
          <w:caps w:val="false"/>
          <w:smallCaps w:val="false"/>
          <w:color w:val="000000"/>
          <w:spacing w:val="-6"/>
          <w:sz w:val="32"/>
        </w:rPr>
        <w:t>SECURITIES AND EXCHANGE COMMISSION</w:t>
      </w:r>
      <w:r>
        <w:rPr>
          <w:rFonts w:ascii="Times New Roman;Times;serif" w:hAnsi="Times New Roman;Times;serif"/>
          <w:b/>
          <w:i w:val="false"/>
          <w:caps w:val="false"/>
          <w:smallCaps w:val="false"/>
          <w:color w:val="000000"/>
          <w:sz w:val="32"/>
        </w:rPr>
        <w:t xml:space="preserve"> </w:t>
      </w:r>
    </w:p>
    <w:p>
      <w:pPr>
        <w:pStyle w:val="TextBody"/>
        <w:bidi w:val="0"/>
        <w:spacing w:lineRule="atLeast" w:line="200" w:before="16"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Washington, D.C. 20549</w:t>
      </w:r>
      <w:r>
        <w:rPr>
          <w:rFonts w:ascii="Times New Roman;Times;serif" w:hAnsi="Times New Roman;Times;serif"/>
          <w:b/>
          <w:i w:val="false"/>
          <w:caps w:val="false"/>
          <w:smallCaps w:val="false"/>
          <w:color w:val="000000"/>
          <w:spacing w:val="4"/>
          <w:sz w:val="19"/>
        </w:rPr>
        <w:t xml:space="preserve"> </w:t>
      </w:r>
    </w:p>
    <w:p>
      <w:pPr>
        <w:pStyle w:val="TextBody"/>
        <w:bidi w:val="0"/>
        <w:spacing w:before="8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30" w:before="8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Form S-3</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00" w:before="16"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REGISTRATION STATEMENT</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UNDER</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THE SECURITIES ACT OF 1933</w:t>
      </w:r>
      <w:r>
        <w:rPr>
          <w:rFonts w:ascii="Times New Roman;Times;serif" w:hAnsi="Times New Roman;Times;serif"/>
          <w:b/>
          <w:i w:val="false"/>
          <w:caps w:val="false"/>
          <w:smallCaps w:val="false"/>
          <w:color w:val="000000"/>
          <w:spacing w:val="4"/>
          <w:sz w:val="19"/>
        </w:rPr>
        <w:t xml:space="preserve"> </w:t>
      </w:r>
    </w:p>
    <w:p>
      <w:pPr>
        <w:pStyle w:val="TextBody"/>
        <w:bidi w:val="0"/>
        <w:spacing w:before="6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30" w:before="8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PLAINS GP HOLDINGS, L.P.</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170" w:before="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(Exact name of registrant as specified in its charter)</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tbl>
      <w:tblPr>
        <w:tblW w:w="6735" w:type="dxa"/>
        <w:jc w:val="left"/>
        <w:tblInd w:w="540" w:type="dxa"/>
        <w:tblLayout w:type="fixed"/>
        <w:tblCellMar>
          <w:top w:w="0" w:type="dxa"/>
          <w:left w:w="0" w:type="dxa"/>
          <w:bottom w:w="0" w:type="dxa"/>
          <w:right w:w="0" w:type="dxa"/>
        </w:tblCellMar>
      </w:tblPr>
      <w:tblGrid>
        <w:gridCol w:w="124"/>
        <w:gridCol w:w="4288"/>
        <w:gridCol w:w="109"/>
        <w:gridCol w:w="109"/>
        <w:gridCol w:w="1951"/>
        <w:gridCol w:w="154"/>
      </w:tblGrid>
      <w:tr>
        <w:trPr/>
        <w:tc>
          <w:tcPr>
            <w:tcW w:w="124" w:type="dxa"/>
            <w:tcBorders/>
            <w:vAlign w:val="center"/>
          </w:tcPr>
          <w:p>
            <w:pPr>
              <w:pStyle w:val="TableContents"/>
              <w:bidi w:val="0"/>
              <w:spacing w:before="0" w:after="283"/>
              <w:jc w:val="left"/>
              <w:rPr/>
            </w:pPr>
            <w:r>
              <w:rPr/>
              <w:t>​</w:t>
            </w:r>
          </w:p>
        </w:tc>
        <w:tc>
          <w:tcPr>
            <w:tcW w:w="4288" w:type="dxa"/>
            <w:tcBorders/>
            <w:vAlign w:val="center"/>
          </w:tcPr>
          <w:p>
            <w:pPr>
              <w:pStyle w:val="TableContents"/>
              <w:bidi w:val="0"/>
              <w:spacing w:before="0" w:after="0"/>
              <w:jc w:val="center"/>
              <w:rPr>
                <w:b/>
                <w:sz w:val="19"/>
              </w:rPr>
            </w:pPr>
            <w:r>
              <w:rPr>
                <w:b/>
                <w:spacing w:val="-4"/>
                <w:sz w:val="19"/>
              </w:rPr>
              <w:t>Delaware</w:t>
            </w:r>
            <w:r>
              <w:rPr>
                <w:b/>
                <w:sz w:val="19"/>
              </w:rPr>
              <w:t xml:space="preserve"> </w:t>
            </w:r>
          </w:p>
          <w:p>
            <w:pPr>
              <w:pStyle w:val="TableContents"/>
              <w:bidi w:val="0"/>
              <w:spacing w:lineRule="atLeast" w:line="160" w:before="0" w:after="0"/>
              <w:jc w:val="center"/>
              <w:rPr/>
            </w:pPr>
            <w:r>
              <w:rPr>
                <w:spacing w:val="3"/>
              </w:rPr>
              <w:t>(State or other jurisdiction of incorporation</w:t>
            </w:r>
            <w:r>
              <w:rPr/>
              <w:t xml:space="preserve"> </w:t>
              <w:br/>
            </w:r>
            <w:r>
              <w:rPr>
                <w:spacing w:val="3"/>
              </w:rPr>
              <w:t xml:space="preserve">or organization)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51" w:type="dxa"/>
            <w:tcBorders/>
            <w:vAlign w:val="center"/>
          </w:tcPr>
          <w:p>
            <w:pPr>
              <w:pStyle w:val="TableContents"/>
              <w:bidi w:val="0"/>
              <w:spacing w:before="0" w:after="0"/>
              <w:jc w:val="center"/>
              <w:rPr>
                <w:b/>
                <w:sz w:val="19"/>
              </w:rPr>
            </w:pPr>
            <w:r>
              <w:rPr>
                <w:b/>
                <w:spacing w:val="-4"/>
                <w:sz w:val="19"/>
              </w:rPr>
              <w:t>90-1005472</w:t>
            </w:r>
            <w:r>
              <w:rPr>
                <w:b/>
                <w:sz w:val="19"/>
              </w:rPr>
              <w:t xml:space="preserve"> </w:t>
            </w:r>
          </w:p>
          <w:p>
            <w:pPr>
              <w:pStyle w:val="TableContents"/>
              <w:bidi w:val="0"/>
              <w:spacing w:lineRule="atLeast" w:line="180" w:before="0" w:after="0"/>
              <w:jc w:val="center"/>
              <w:rPr/>
            </w:pPr>
            <w:r>
              <w:rPr>
                <w:spacing w:val="3"/>
              </w:rPr>
              <w:t xml:space="preserve">(I.R.S. Employer </w:t>
            </w:r>
            <w:r>
              <w:rPr/>
              <w:br/>
            </w:r>
            <w:r>
              <w:rPr>
                <w:spacing w:val="3"/>
              </w:rPr>
              <w:t>Identification No.)</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174" w:after="283"/>
        <w:ind w:left="540" w:right="0" w:hanging="0"/>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 xml:space="preserve">333 Clay Street, Suite 1600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 xml:space="preserve">Houston, Texas 77002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(713) 646-4100</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170" w:before="2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(Address, including zip code, and telephone number, including area code, of registrant’s principal executive offices)</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lineRule="atLeast" w:line="200" w:before="2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 xml:space="preserve">Richard McGee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 xml:space="preserve">Executive Vice President, General Counsel and Secretary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 xml:space="preserve">333 Clay Street, Suite 1600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 xml:space="preserve">Houston, Texas 77002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(713) 646-4100</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170" w:before="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address, including zip code, and telephone number, including area code, of agent for service)</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lineRule="atLeast" w:line="200" w:before="2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Copies to:</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 xml:space="preserve">David P. Oelman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 xml:space="preserve">Scott D. Rubinsky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 xml:space="preserve">Vinson &amp; Elkins L.L.P.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 xml:space="preserve">845 Texas Avenue, Suite 4700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 xml:space="preserve">Houston, Texas 77002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(713) 758-2222</w:t>
      </w:r>
      <w:r>
        <w:rPr>
          <w:rFonts w:ascii="Times New Roman;Times;serif" w:hAnsi="Times New Roman;Times;serif"/>
          <w:b/>
          <w:i w:val="false"/>
          <w:caps w:val="false"/>
          <w:smallCaps w:val="false"/>
          <w:color w:val="000000"/>
          <w:spacing w:val="4"/>
          <w:sz w:val="19"/>
        </w:rPr>
        <w:t xml:space="preserve"> </w:t>
      </w:r>
    </w:p>
    <w:p>
      <w:pPr>
        <w:pStyle w:val="TextBody"/>
        <w:bidi w:val="0"/>
        <w:spacing w:before="65"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82"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Approximate date of commencement of proposed sale to the public:</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From time to time after the effective date of this registration statement.</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the only securities being registered on this Form are being offered pursuant to dividend or interest reinvestment plans, please check the following box: ☐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6528" w:type="dxa"/>
        <w:jc w:val="left"/>
        <w:tblInd w:w="540" w:type="dxa"/>
        <w:tblLayout w:type="fixed"/>
        <w:tblCellMar>
          <w:top w:w="0" w:type="dxa"/>
          <w:left w:w="0" w:type="dxa"/>
          <w:bottom w:w="0" w:type="dxa"/>
          <w:right w:w="0" w:type="dxa"/>
        </w:tblCellMar>
      </w:tblPr>
      <w:tblGrid>
        <w:gridCol w:w="124"/>
        <w:gridCol w:w="2776"/>
        <w:gridCol w:w="109"/>
        <w:gridCol w:w="109"/>
        <w:gridCol w:w="3256"/>
        <w:gridCol w:w="154"/>
      </w:tblGrid>
      <w:tr>
        <w:trPr/>
        <w:tc>
          <w:tcPr>
            <w:tcW w:w="124"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90" w:before="0" w:after="0"/>
              <w:ind w:left="2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1524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1524000" cy="350520"/>
                              </a:xfrm>
                              <a:prstGeom prst="rect"/>
                              <a:solidFill>
                                <a:srgbClr val="FFFFFF"/>
                              </a:solidFill>
                            </wps:spPr>
                            <wps:txbx>
                              <w:txbxContent>
                                <w:p>
                                  <w:pPr>
                                    <w:pStyle w:val="TextBody"/>
                                    <w:bidi w:val="0"/>
                                    <w:spacing w:lineRule="atLeast" w:line="190" w:before="0" w:after="283"/>
                                    <w:jc w:val="left"/>
                                    <w:rPr/>
                                  </w:pPr>
                                  <w:r>
                                    <w:rPr>
                                      <w:spacing w:val="4"/>
                                    </w:rPr>
                                    <w:t>Large accelerated filer</w:t>
                                  </w:r>
                                  <w:r>
                                    <w:rPr/>
                                    <w:t xml:space="preserve"> </w:t>
                                    <w:br/>
                                  </w:r>
                                </w:p>
                              </w:txbxContent>
                            </wps:txbx>
                            <wps:bodyPr anchor="t" lIns="0" tIns="0" rIns="0" bIns="0">
                              <a:noAutofit/>
                            </wps:bodyPr>
                          </wps:wsp>
                        </a:graphicData>
                      </a:graphic>
                    </wp:anchor>
                  </w:drawing>
                </mc:Choice>
                <mc:Fallback>
                  <w:pict>
                    <v:rect style="position:absolute;rotation:-0;width:1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4"/>
                              </w:rPr>
                              <w:t>Large 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56" w:type="dxa"/>
            <w:tcBorders/>
            <w:vAlign w:val="center"/>
          </w:tcPr>
          <w:p>
            <w:pPr>
              <w:pStyle w:val="TableContents"/>
              <w:bidi w:val="0"/>
              <w:spacing w:lineRule="atLeast" w:line="190" w:before="0" w:after="0"/>
              <w:ind w:left="2880" w:right="0" w:hanging="0"/>
              <w:jc w:val="left"/>
              <w:rPr>
                <w:spacing w:val="4"/>
              </w:rPr>
            </w:pPr>
            <w:r>
              <w:rPr>
                <w:spacing w:val="4"/>
              </w:rPr>
              <w:t xml:space="preserve">☐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18288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828800" cy="350520"/>
                              </a:xfrm>
                              <a:prstGeom prst="rect"/>
                              <a:solidFill>
                                <a:srgbClr val="FFFFFF"/>
                              </a:solidFill>
                            </wps:spPr>
                            <wps:txbx>
                              <w:txbxContent>
                                <w:p>
                                  <w:pPr>
                                    <w:pStyle w:val="TextBody"/>
                                    <w:bidi w:val="0"/>
                                    <w:spacing w:lineRule="atLeast" w:line="190" w:before="0" w:after="283"/>
                                    <w:jc w:val="left"/>
                                    <w:rPr/>
                                  </w:pPr>
                                  <w:r>
                                    <w:rPr>
                                      <w:spacing w:val="4"/>
                                    </w:rPr>
                                    <w:t>Accelerated filer</w:t>
                                  </w:r>
                                  <w:r>
                                    <w:rPr/>
                                    <w:t xml:space="preserve"> </w:t>
                                    <w:br/>
                                  </w:r>
                                </w:p>
                              </w:txbxContent>
                            </wps:txbx>
                            <wps:bodyPr anchor="t" lIns="0" tIns="0" rIns="0" bIns="0">
                              <a:noAutofit/>
                            </wps:bodyPr>
                          </wps:wsp>
                        </a:graphicData>
                      </a:graphic>
                    </wp:anchor>
                  </w:drawing>
                </mc:Choice>
                <mc:Fallback>
                  <w:pict>
                    <v:rect style="position:absolute;rotation:-0;width:14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4"/>
                              </w:rPr>
                              <w:t>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90" w:before="0" w:after="0"/>
              <w:ind w:left="2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1524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524000" cy="350520"/>
                              </a:xfrm>
                              <a:prstGeom prst="rect"/>
                              <a:solidFill>
                                <a:srgbClr val="FFFFFF"/>
                              </a:solidFill>
                            </wps:spPr>
                            <wps:txbx>
                              <w:txbxContent>
                                <w:p>
                                  <w:pPr>
                                    <w:pStyle w:val="TextBody"/>
                                    <w:bidi w:val="0"/>
                                    <w:spacing w:lineRule="atLeast" w:line="190" w:before="0" w:after="283"/>
                                    <w:jc w:val="left"/>
                                    <w:rPr/>
                                  </w:pPr>
                                  <w:r>
                                    <w:rPr>
                                      <w:spacing w:val="4"/>
                                    </w:rPr>
                                    <w:t>Non-accelerated filer</w:t>
                                  </w:r>
                                  <w:r>
                                    <w:rPr/>
                                    <w:t xml:space="preserve"> </w:t>
                                    <w:br/>
                                  </w:r>
                                </w:p>
                              </w:txbxContent>
                            </wps:txbx>
                            <wps:bodyPr anchor="t" lIns="0" tIns="0" rIns="0" bIns="0">
                              <a:noAutofit/>
                            </wps:bodyPr>
                          </wps:wsp>
                        </a:graphicData>
                      </a:graphic>
                    </wp:anchor>
                  </w:drawing>
                </mc:Choice>
                <mc:Fallback>
                  <w:pict>
                    <v:rect style="position:absolute;rotation:-0;width:1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4"/>
                              </w:rPr>
                              <w:t>Non-accelerated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56" w:type="dxa"/>
            <w:tcBorders/>
            <w:vAlign w:val="center"/>
          </w:tcPr>
          <w:p>
            <w:pPr>
              <w:pStyle w:val="TableContents"/>
              <w:bidi w:val="0"/>
              <w:spacing w:lineRule="atLeast" w:line="190" w:before="0" w:after="0"/>
              <w:ind w:left="2880" w:right="0" w:hanging="0"/>
              <w:jc w:val="left"/>
              <w:rPr>
                <w:spacing w:val="4"/>
              </w:rPr>
            </w:pPr>
            <w:r>
              <w:rPr>
                <w:spacing w:val="4"/>
              </w:rPr>
              <w:t xml:space="preserve">☐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18288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828800" cy="350520"/>
                              </a:xfrm>
                              <a:prstGeom prst="rect"/>
                              <a:solidFill>
                                <a:srgbClr val="FFFFFF"/>
                              </a:solidFill>
                            </wps:spPr>
                            <wps:txbx>
                              <w:txbxContent>
                                <w:p>
                                  <w:pPr>
                                    <w:pStyle w:val="TextBody"/>
                                    <w:bidi w:val="0"/>
                                    <w:spacing w:lineRule="atLeast" w:line="190" w:before="0" w:after="283"/>
                                    <w:jc w:val="left"/>
                                    <w:rPr/>
                                  </w:pPr>
                                  <w:r>
                                    <w:rPr>
                                      <w:spacing w:val="4"/>
                                    </w:rPr>
                                    <w:t>Smaller reporting company</w:t>
                                  </w:r>
                                  <w:r>
                                    <w:rPr/>
                                    <w:t xml:space="preserve"> </w:t>
                                    <w:br/>
                                  </w:r>
                                </w:p>
                              </w:txbxContent>
                            </wps:txbx>
                            <wps:bodyPr anchor="t" lIns="0" tIns="0" rIns="0" bIns="0">
                              <a:noAutofit/>
                            </wps:bodyPr>
                          </wps:wsp>
                        </a:graphicData>
                      </a:graphic>
                    </wp:anchor>
                  </w:drawing>
                </mc:Choice>
                <mc:Fallback>
                  <w:pict>
                    <v:rect style="position:absolute;rotation:-0;width:14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4"/>
                              </w:rPr>
                              <w:t>Smaller reporting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56" w:type="dxa"/>
            <w:tcBorders/>
            <w:vAlign w:val="center"/>
          </w:tcPr>
          <w:p>
            <w:pPr>
              <w:pStyle w:val="TableContents"/>
              <w:bidi w:val="0"/>
              <w:spacing w:lineRule="atLeast" w:line="190" w:before="0" w:after="0"/>
              <w:ind w:left="2880" w:right="0" w:hanging="0"/>
              <w:jc w:val="left"/>
              <w:rPr/>
            </w:pPr>
            <w:r>
              <w:rPr>
                <w:spacing w:val="4"/>
              </w:rPr>
              <w:t>☐</w:t>
            </w:r>
            <w:r>
              <w:rPr/>
              <w:t xml:space="preserve">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18288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828800" cy="350520"/>
                              </a:xfrm>
                              <a:prstGeom prst="rect"/>
                              <a:solidFill>
                                <a:srgbClr val="FFFFFF"/>
                              </a:solidFill>
                            </wps:spPr>
                            <wps:txbx>
                              <w:txbxContent>
                                <w:p>
                                  <w:pPr>
                                    <w:pStyle w:val="TextBody"/>
                                    <w:bidi w:val="0"/>
                                    <w:spacing w:lineRule="atLeast" w:line="190" w:before="0" w:after="283"/>
                                    <w:jc w:val="left"/>
                                    <w:rPr/>
                                  </w:pPr>
                                  <w:r>
                                    <w:rPr>
                                      <w:spacing w:val="4"/>
                                    </w:rPr>
                                    <w:t>Emerging growth company</w:t>
                                  </w:r>
                                  <w:r>
                                    <w:rPr/>
                                    <w:t xml:space="preserve"> </w:t>
                                    <w:br/>
                                  </w:r>
                                </w:p>
                              </w:txbxContent>
                            </wps:txbx>
                            <wps:bodyPr anchor="t" lIns="0" tIns="0" rIns="0" bIns="0">
                              <a:noAutofit/>
                            </wps:bodyPr>
                          </wps:wsp>
                        </a:graphicData>
                      </a:graphic>
                    </wp:anchor>
                  </w:drawing>
                </mc:Choice>
                <mc:Fallback>
                  <w:pict>
                    <v:rect style="position:absolute;rotation:-0;width:14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4"/>
                              </w:rPr>
                              <w:t>Emerging growth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196"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tLeast" w:line="200" w:before="60" w:after="283"/>
        <w:ind w:left="540" w:right="0" w:firstLine="400"/>
        <w:jc w:val="left"/>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r>
        <w:rPr>
          <w:rFonts w:ascii="Times New Roman;Times;serif" w:hAnsi="Times New Roman;Times;serif"/>
          <w:b/>
          <w:i w:val="false"/>
          <w:caps w:val="false"/>
          <w:smallCaps w:val="false"/>
          <w:color w:val="000000"/>
          <w:spacing w:val="4"/>
          <w:sz w:val="19"/>
        </w:rPr>
        <w:t xml:space="preserve"> </w:t>
      </w:r>
    </w:p>
    <w:p>
      <w:pPr>
        <w:pStyle w:val="TextBody"/>
        <w:bidi w:val="0"/>
        <w:spacing w:before="75"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32"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753" w:right="0" w:hanging="0"/>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Subject to completion, dated March 30,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PRELIMINARY 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192" w:after="283"/>
        <w:jc w:val="center"/>
        <w:rPr>
          <w:caps w:val="false"/>
          <w:smallCaps w:val="false"/>
          <w:color w:val="000000"/>
        </w:rPr>
      </w:pPr>
      <w:r>
        <w:rPr>
          <w:caps w:val="false"/>
          <w:smallCaps w:val="false"/>
          <w:color w:val="000000"/>
        </w:rPr>
        <w:drawing>
          <wp:inline distT="0" distB="0" distL="0" distR="0">
            <wp:extent cx="2790825" cy="61912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2790825" cy="61912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326"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Class A Shares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Representing Limited Partner Interests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Class A shares representing limited partner interests (“Class A shares”) in Plains GP Holdings, L.P., a Delaware limited partnership, from time to time in one or more offerings and in amounts, at prices and on terms to be determined by market conditions and other factors at the time of our offerings. The aggregate offering price of the Class A shares sold by us under this prospectus will not exceed $938,900,000.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the Class A shares to or through one or more underwriters, dealers or agents, or directly to purchasers, on a continuous or delayed basis. This prospectus describes only the general terms of the Class A shares and the general manner in which we will offer the Class A shares. The specific terms of any Class A shares we offer will be included in a supplement to this prospectus. The prospectus supplement will also describe the specific manner in which we will offer the Class A shares.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read this prospectus and any applicable prospectus supplement and the documents incorporated by reference herein or therein carefully before you invest in any of our Class A shares. You should also read the documents we have referred you to in the “Where You Can Find More Information” section of this prospectus for information about us, including our financial statements.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Class A shares are listed on the Nasdaq Global Select Market (“NASDAQ”) under the symbol “PAGP.” </w:t>
      </w:r>
    </w:p>
    <w:p>
      <w:pPr>
        <w:pStyle w:val="TextBody"/>
        <w:bidi w:val="0"/>
        <w:spacing w:lineRule="atLeast" w:line="230" w:before="160" w:after="283"/>
        <w:ind w:left="1753" w:right="0" w:firstLine="400"/>
        <w:jc w:val="left"/>
        <w:rPr/>
      </w:pPr>
      <w:r>
        <w:rPr>
          <w:rFonts w:ascii="Times New Roman;Times;serif" w:hAnsi="Times New Roman;Times;serif"/>
          <w:b/>
          <w:i w:val="false"/>
          <w:caps w:val="false"/>
          <w:smallCaps w:val="false"/>
          <w:color w:val="000000"/>
          <w:spacing w:val="-4"/>
          <w:sz w:val="20"/>
        </w:rPr>
        <w:t xml:space="preserve">Limited partnerships are inherently different than corporations, and investing in our Class A shares involves a high degree of risk. You should carefully consider the risks relating to investing in our Class A shares and each of the other risk factors described under “Risk Factors” on page </w:t>
      </w:r>
      <w:hyperlink w:anchor="tRIFA">
        <w:r>
          <w:rPr>
            <w:rStyle w:val="InternetLink"/>
          </w:rPr>
          <w:t>2</w:t>
        </w:r>
      </w:hyperlink>
      <w:r>
        <w:rPr>
          <w:rFonts w:ascii="Times New Roman;Times;serif" w:hAnsi="Times New Roman;Times;serif"/>
          <w:b/>
          <w:i w:val="false"/>
          <w:caps w:val="false"/>
          <w:smallCaps w:val="false"/>
          <w:color w:val="000000"/>
          <w:spacing w:val="-4"/>
          <w:sz w:val="20"/>
        </w:rPr>
        <w:t xml:space="preserve"> of this prospectus before you make an investment in our Class A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75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U.S. Securities and Exchange Commission (the “SEC”) nor any state securities commission has approved or disapproved of the Class A shares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693"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is           ,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29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7845" w:type="dxa"/>
        <w:jc w:val="left"/>
        <w:tblInd w:w="1393" w:type="dxa"/>
        <w:tblLayout w:type="fixed"/>
        <w:tblCellMar>
          <w:top w:w="0" w:type="dxa"/>
          <w:left w:w="0" w:type="dxa"/>
          <w:bottom w:w="28" w:type="dxa"/>
          <w:right w:w="0" w:type="dxa"/>
        </w:tblCellMar>
      </w:tblPr>
      <w:tblGrid>
        <w:gridCol w:w="6736"/>
        <w:gridCol w:w="109"/>
        <w:gridCol w:w="109"/>
        <w:gridCol w:w="109"/>
        <w:gridCol w:w="109"/>
        <w:gridCol w:w="410"/>
        <w:gridCol w:w="109"/>
        <w:gridCol w:w="154"/>
      </w:tblGrid>
      <w:tr>
        <w:trPr/>
        <w:tc>
          <w:tcPr>
            <w:tcW w:w="67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736"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ii</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736" w:type="dxa"/>
            <w:tcBorders/>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WYCF">
              <w:r>
                <w:rPr>
                  <w:rStyle w:val="InternetLink"/>
                  <w:spacing w:val="4"/>
                </w:rPr>
                <w:t>iii</w:t>
              </w:r>
            </w:hyperlink>
            <w:hyperlink w:anchor="t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736" w:type="dxa"/>
            <w:tcBorders/>
            <w:shd w:fill="CCEEFF" w:val="clear"/>
            <w:tcMar>
              <w:bottom w:w="0" w:type="dxa"/>
            </w:tcMar>
            <w:vAlign w:val="center"/>
          </w:tcPr>
          <w:p>
            <w:pPr>
              <w:pStyle w:val="TableContents"/>
              <w:bidi w:val="0"/>
              <w:spacing w:before="0" w:after="0"/>
              <w:jc w:val="left"/>
              <w:rPr/>
            </w:pPr>
            <w:hyperlink w:anchor="tFOST">
              <w:r>
                <w:rPr>
                  <w:rStyle w:val="InternetLink"/>
                  <w:spacing w:val="4"/>
                </w:rPr>
                <w:t xml:space="preserve">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FOST">
              <w:r>
                <w:rPr>
                  <w:rStyle w:val="InternetLink"/>
                  <w:spacing w:val="4"/>
                </w:rPr>
                <w:t>iv</w:t>
              </w:r>
            </w:hyperlink>
            <w:hyperlink w:anchor="tFOS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736" w:type="dxa"/>
            <w:tcBorders/>
            <w:tcMar>
              <w:bottom w:w="0" w:type="dxa"/>
            </w:tcMar>
            <w:vAlign w:val="center"/>
          </w:tcPr>
          <w:p>
            <w:pPr>
              <w:pStyle w:val="TableContents"/>
              <w:bidi w:val="0"/>
              <w:spacing w:before="0" w:after="0"/>
              <w:jc w:val="left"/>
              <w:rPr/>
            </w:pPr>
            <w:hyperlink w:anchor="tAPGH">
              <w:r>
                <w:rPr>
                  <w:rStyle w:val="InternetLink"/>
                  <w:spacing w:val="4"/>
                </w:rPr>
                <w:t xml:space="preserve">About Plains GP Holdings, L.P.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APGH">
              <w:r>
                <w:rPr>
                  <w:rStyle w:val="InternetLink"/>
                  <w:spacing w:val="4"/>
                </w:rPr>
                <w:t>1</w:t>
              </w:r>
            </w:hyperlink>
            <w:hyperlink w:anchor="tAPGH">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736" w:type="dxa"/>
            <w:tcBorders/>
            <w:shd w:fill="CCEEFF" w:val="clear"/>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RIFA">
              <w:r>
                <w:rPr>
                  <w:rStyle w:val="InternetLink"/>
                  <w:spacing w:val="4"/>
                </w:rPr>
                <w:t>2</w:t>
              </w:r>
            </w:hyperlink>
            <w:hyperlink w:anchor="t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736" w:type="dxa"/>
            <w:tcBorders/>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UOP">
              <w:r>
                <w:rPr>
                  <w:rStyle w:val="InternetLink"/>
                  <w:spacing w:val="4"/>
                </w:rPr>
                <w:t>3</w:t>
              </w:r>
            </w:hyperlink>
            <w:hyperlink w:anchor="t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736" w:type="dxa"/>
            <w:tcBorders/>
            <w:shd w:fill="CCEEFF" w:val="clear"/>
            <w:tcMar>
              <w:bottom w:w="0" w:type="dxa"/>
            </w:tcMar>
            <w:vAlign w:val="center"/>
          </w:tcPr>
          <w:p>
            <w:pPr>
              <w:pStyle w:val="TableContents"/>
              <w:bidi w:val="0"/>
              <w:spacing w:before="0" w:after="0"/>
              <w:jc w:val="left"/>
              <w:rPr/>
            </w:pPr>
            <w:hyperlink w:anchor="tDOOS">
              <w:r>
                <w:rPr>
                  <w:rStyle w:val="InternetLink"/>
                  <w:spacing w:val="4"/>
                </w:rPr>
                <w:t xml:space="preserve">Description of Our Shares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DOOS">
              <w:r>
                <w:rPr>
                  <w:rStyle w:val="InternetLink"/>
                  <w:spacing w:val="4"/>
                </w:rPr>
                <w:t>4</w:t>
              </w:r>
            </w:hyperlink>
            <w:hyperlink w:anchor="tDOO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736" w:type="dxa"/>
            <w:tcBorders/>
            <w:tcMar>
              <w:bottom w:w="0" w:type="dxa"/>
            </w:tcMar>
            <w:vAlign w:val="center"/>
          </w:tcPr>
          <w:p>
            <w:pPr>
              <w:pStyle w:val="TableContents"/>
              <w:bidi w:val="0"/>
              <w:spacing w:before="0" w:after="0"/>
              <w:jc w:val="left"/>
              <w:rPr/>
            </w:pPr>
            <w:hyperlink w:anchor="tMUFI">
              <w:r>
                <w:rPr>
                  <w:rStyle w:val="InternetLink"/>
                  <w:spacing w:val="4"/>
                </w:rPr>
                <w:t xml:space="preserve">Material U.S. Federal Income Tax Consequences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MUFI">
              <w:r>
                <w:rPr>
                  <w:rStyle w:val="InternetLink"/>
                  <w:spacing w:val="4"/>
                </w:rPr>
                <w:t>5</w:t>
              </w:r>
            </w:hyperlink>
            <w:hyperlink w:anchor="tMUF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736" w:type="dxa"/>
            <w:tcBorders/>
            <w:shd w:fill="CCEEFF" w:val="clear"/>
            <w:tcMar>
              <w:bottom w:w="0" w:type="dxa"/>
            </w:tcMar>
            <w:vAlign w:val="center"/>
          </w:tcPr>
          <w:p>
            <w:pPr>
              <w:pStyle w:val="TableContents"/>
              <w:bidi w:val="0"/>
              <w:spacing w:before="0" w:after="0"/>
              <w:jc w:val="left"/>
              <w:rPr/>
            </w:pPr>
            <w:hyperlink w:anchor="tIIPG">
              <w:r>
                <w:rPr>
                  <w:rStyle w:val="InternetLink"/>
                  <w:spacing w:val="4"/>
                </w:rPr>
                <w:t xml:space="preserve">Investment in Plains GP Holdings, L.P. by Employee Benefit Plans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IIPG">
              <w:r>
                <w:rPr>
                  <w:rStyle w:val="InternetLink"/>
                  <w:spacing w:val="4"/>
                </w:rPr>
                <w:t>11</w:t>
              </w:r>
            </w:hyperlink>
            <w:hyperlink w:anchor="tIIPG">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736" w:type="dxa"/>
            <w:tcBorders/>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POD">
              <w:r>
                <w:rPr>
                  <w:rStyle w:val="InternetLink"/>
                  <w:spacing w:val="4"/>
                </w:rPr>
                <w:t>13</w:t>
              </w:r>
            </w:hyperlink>
            <w:hyperlink w:anchor="tP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736" w:type="dxa"/>
            <w:tcBorders/>
            <w:shd w:fill="CCEEFF" w:val="clear"/>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LEMA">
              <w:r>
                <w:rPr>
                  <w:rStyle w:val="InternetLink"/>
                  <w:spacing w:val="4"/>
                </w:rPr>
                <w:t>15</w:t>
              </w:r>
            </w:hyperlink>
            <w:hyperlink w:anchor="t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736" w:type="dxa"/>
            <w:tcBorders/>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EXP">
              <w:r>
                <w:rPr>
                  <w:rStyle w:val="InternetLink"/>
                  <w:spacing w:val="4"/>
                </w:rPr>
                <w:t>15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8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In making your investment decision, you should rely only on the information contained in or incorporated by reference into this prospectus. We have not authorized anyone to provide you with additional or different information. If any other person provides you with additional, different or inconsistent information, you should not rely on it. This prospectus and any prospectus supplement hereto is not an offer to sell or the solicitation of an offer to buy any securities other than the securities to which it relates and is not an offer to sell or the solicitation of an offer to buy securities in any jurisdiction where an offer or sale of such securities is not permitted.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information in this prospectus is not complete. You should not assume that the information contained in this prospectus is accurate as of any date other than the date on the front cover of this prospectus. You should not assume that the information contained in the documents incorporated by reference into this prospectus is accurate as of any date other than the respective dates of those documents. Our business, financial condition, results of operations and prospects may have changed since those dates. You should review carefully all of the detailed information appearing in this prospectus, any prospectus supplement, any free writing prospectus relating to this offering and the documents we have incorporated by reference before making any investment decision.</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TP"/>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on Form S-3 that we filed with the SEC utilizing a “shelf” registration process. Under this shelf registration process, we may, over time, offer and sell up to $938,900,000 in total aggregate offering price of our Class A shares in one or more offerings. This prospectus generally describes Plains GP Holdings, L.P. and the Class A shares. Each time we sell securities with this prospectus, we will provide you with a prospectus supplement that will contain specific information about the terms of that offering. Such prospectus supplements may add to,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WYCF"/>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 Our business, financial condition, results of operations and prospects may have changed since such dates.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the documents listed below and any future filings we make with the SEC under Section 13(a), 13(c), 14 or 15(d) of the Securities Exchange Act of 1934, as amended (the “Exchange Act”) (excluding, in each case, any information furnished rather than filed), including all such documents we may file with the SEC after the initial filing date of the registration statement of which this prospectus is a part and prior to the effectiveness of the registration statement and, following the effectiveness of the registration statement, until all offerings under the registration statement and the prospectus are completed or terminated: </w:t>
      </w:r>
    </w:p>
    <w:p>
      <w:pPr>
        <w:pStyle w:val="TextBody"/>
        <w:bidi w:val="0"/>
        <w:spacing w:lineRule="atLeast" w:line="240" w:before="120" w:after="0"/>
        <w:ind w:left="1993" w:right="0" w:hanging="0"/>
        <w:jc w:val="left"/>
        <w:rPr/>
      </w:pPr>
      <w:hyperlink r:id="rId3">
        <w:r>
          <w:rPr>
            <w:rStyle w:val="InternetLink"/>
          </w:rPr>
          <w:t>our 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 on Form 8-K/A filed on </w:t>
      </w:r>
      <w:hyperlink r:id="rId4">
        <w:r>
          <w:rPr>
            <w:rStyle w:val="InternetLink"/>
          </w:rPr>
          <w:t>January 16, 2026</w:t>
        </w:r>
      </w:hyperlink>
      <w:r>
        <w:rPr>
          <w:rFonts w:ascii="Times New Roman;Times;serif" w:hAnsi="Times New Roman;Times;serif"/>
          <w:b w:val="false"/>
          <w:i w:val="false"/>
          <w:caps w:val="false"/>
          <w:smallCaps w:val="false"/>
          <w:color w:val="000000"/>
          <w:spacing w:val="4"/>
          <w:sz w:val="20"/>
        </w:rPr>
        <w:t xml:space="preserve"> and our Current Report on Form 8-K filed on </w:t>
      </w:r>
      <w:hyperlink r:id="rId5">
        <w:r>
          <w:rPr>
            <w:rStyle w:val="InternetLink"/>
          </w:rPr>
          <w:t>March 3,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information specifically incorporated by reference into our </w:t>
      </w:r>
      <w:hyperlink r:id="rId6">
        <w:r>
          <w:rPr>
            <w:rStyle w:val="InternetLink"/>
          </w:rPr>
          <w:t>Annual Report on Form 10-K for the year ended December 31, 2024</w:t>
        </w:r>
      </w:hyperlink>
      <w:r>
        <w:rPr>
          <w:rFonts w:ascii="Times New Roman;Times;serif" w:hAnsi="Times New Roman;Times;serif"/>
          <w:b w:val="false"/>
          <w:i w:val="false"/>
          <w:caps w:val="false"/>
          <w:smallCaps w:val="false"/>
          <w:color w:val="000000"/>
          <w:spacing w:val="4"/>
          <w:sz w:val="20"/>
        </w:rPr>
        <w:t xml:space="preserve"> from our </w:t>
      </w:r>
      <w:hyperlink r:id="rId7">
        <w:r>
          <w:rPr>
            <w:rStyle w:val="InternetLink"/>
          </w:rPr>
          <w:t>proxy statement on Schedule 14A filed on April 11, 2025</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Class A shares contained in </w:t>
      </w:r>
      <w:hyperlink r:id="rId8">
        <w:r>
          <w:rPr>
            <w:rStyle w:val="InternetLink"/>
          </w:rPr>
          <w:t>Exhibit 4.16</w:t>
        </w:r>
      </w:hyperlink>
      <w:r>
        <w:rPr>
          <w:rFonts w:ascii="Times New Roman;Times;serif" w:hAnsi="Times New Roman;Times;serif"/>
          <w:b w:val="false"/>
          <w:i w:val="false"/>
          <w:caps w:val="false"/>
          <w:smallCaps w:val="false"/>
          <w:color w:val="000000"/>
          <w:spacing w:val="4"/>
          <w:sz w:val="20"/>
        </w:rPr>
        <w:t xml:space="preserve"> of our Annual Report on Form 10-K for the year ended December 31, 2025, </w:t>
      </w:r>
      <w:hyperlink r:id="rId9">
        <w:r>
          <w:rPr>
            <w:rStyle w:val="InternetLink"/>
          </w:rPr>
          <w:t>Form 8-A/A filed on November 16, 2016, Form 8-A filed on December 11, 2020</w:t>
        </w:r>
      </w:hyperlink>
      <w:r>
        <w:rPr>
          <w:rFonts w:ascii="Times New Roman;Times;serif" w:hAnsi="Times New Roman;Times;serif"/>
          <w:b w:val="false"/>
          <w:i w:val="false"/>
          <w:caps w:val="false"/>
          <w:smallCaps w:val="false"/>
          <w:color w:val="000000"/>
          <w:spacing w:val="4"/>
          <w:sz w:val="20"/>
        </w:rPr>
        <w:t xml:space="preserve">, and any subsequent amendment or report filed for the purpose of updating such description. </w:t>
      </w:r>
      <w:r>
        <mc:AlternateContent>
          <mc:Choice Requires="wps">
            <w:drawing>
              <wp:anchor behindDoc="0" distT="7620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copy of any document incorporated by reference into this prospectus and any exhibit specifically incorporated by reference in those documents, at no cost, by writing or telephoning us at the following address or phone number: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Plains GP Holdings, 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Investor Relations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333 Clay Street, Suite 1600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Houston, Texas 77002</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(713) 646-4100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periodic reports, current reports, proxy statements and other information with the SEC. The SEC maintains an internet site that contains information we have filed electronically with the SEC, which you can access over the internet at http://www.sec.gov. Our SEC filings are also available free of charge on our website at www.plains.com under “Investors” as soon as reasonably practicable after we electronically file such material with the SEC. Information contained on our website is not incorporated by reference into this prospectus, and you should not consider information contained on our website as part of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FOST"/>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statements included or incorporated by reference in this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expected receipt of, and amounts of, distributions from Plains AAP, L.P. (“AAP”), and the effect thereof on our ability to pay distributions to our Class A shareholders; </w:t>
      </w:r>
      <w:r>
        <mc:AlternateContent>
          <mc:Choice Requires="wps">
            <w:drawing>
              <wp:anchor behindDoc="0" distT="7493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the sale of all of the issued and outstanding shares of Plains Midstream Canada ULC, Plains All American Pipeline, L.P.’s (“PAA”) wholly-owned subsidiary that owns substantially all of PAA’s natural gas liquids (“NGL”) business in Canada (the “Canadian NGL Business divestiture”), including the risk that the Canadian NGL Business divestiture is not consummated on the terms expected or on the anticipated schedule, or at all, and the effect of the announcement or pendency of the Canadian NGL Business divestiture on our business relationships, operating results, employees, stakeholders and business generally; </w:t>
      </w:r>
      <w:r>
        <mc:AlternateContent>
          <mc:Choice Requires="wps">
            <w:drawing>
              <wp:anchor behindDoc="0" distT="7493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 </w:t>
      </w:r>
      <w:r>
        <mc:AlternateContent>
          <mc:Choice Requires="wps">
            <w:drawing>
              <wp:anchor behindDoc="0" distT="7493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declines in global crude oil demand and/or crude oil prices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 </w:t>
      </w:r>
      <w:r>
        <mc:AlternateContent>
          <mc:Choice Requires="wps">
            <w:drawing>
              <wp:anchor behindDoc="0" distT="7493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refinery capacity and other factors affecting demand for various grades of crude oil and NGL and resulting changes in pricing conditions or transportation throughput requirements;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unanticipated changes in crude oil and NGL market structure, grade differentials and volatility (or lack thereof);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of, and PAA’s ability to consummate, acquisitions, divestitures, joint ventures or other strategic opportunities and realize benefits therefrom, including the Canadian NGL Business divestiture;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successful operation of joint ventures and joint operating arrangements PAA enters into from time to time, whether relating to assets operated by PAA or by third parties, and the successful integration and future performance of acquired assets or businesses; </w:t>
      </w:r>
      <w:r>
        <mc:AlternateContent>
          <mc:Choice Requires="wps">
            <w:drawing>
              <wp:anchor behindDoc="0" distT="762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environmental liabilities, litigation or other events that are not covered by an indemnity, insurance or existing reserves; </w:t>
      </w:r>
      <w:r>
        <mc:AlternateContent>
          <mc:Choice Requires="wps">
            <w:drawing>
              <wp:anchor behindDoc="0" distT="762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negative societal sentiment regarding the hydrocarbon energy industry and the continued development and consumption of hydrocarbons, which could influence consumer preferences and governmental or regulatory actions that adversely impact our business; </w:t>
      </w:r>
      <w:r>
        <mc:AlternateContent>
          <mc:Choice Requires="wps">
            <w:drawing>
              <wp:anchor behindDoc="0" distT="0" distB="0" distL="254000" distR="0" simplePos="0" locked="0" layoutInCell="1" allowOverlap="1" relativeHeight="28">
                <wp:simplePos x="0" y="0"/>
                <wp:positionH relativeFrom="column">
                  <wp:align>left</wp:align>
                </wp:positionH>
                <wp:positionV relativeFrom="line">
                  <wp:posOffset>635</wp:posOffset>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a natural disaster, catastrophe, terrorist attack (including eco-terrorist attacks) or other event that materially impacts our operations, including cyber or other attacks on our or our service providers’ electronic and computer systems; </w:t>
      </w:r>
      <w:r>
        <mc:AlternateContent>
          <mc:Choice Requires="wps">
            <w:drawing>
              <wp:anchor behindDoc="0" distT="7493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 interference with business operations or project construction, including the impact of extreme weather events or conditions (including hurricanes, floods, wildfires and drought); </w:t>
      </w:r>
      <w:r>
        <mc:AlternateContent>
          <mc:Choice Requires="wps">
            <w:drawing>
              <wp:anchor behindDoc="0" distT="7493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our pipelines, (ii) negatively impact our ability to develop, operate or repair midstream assets, or (iii) otherwise negatively impact our business or increase our exposure to risk; </w:t>
      </w:r>
      <w:r>
        <mc:AlternateContent>
          <mc:Choice Requires="wps">
            <w:drawing>
              <wp:anchor behindDoc="0" distT="7493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pace of development of natural gas or other infrastructure and its impact on expected crude oil production growth in the Permian Basin; </w:t>
      </w:r>
      <w:r>
        <mc:AlternateContent>
          <mc:Choice Requires="wps">
            <w:drawing>
              <wp:anchor behindDoc="0" distT="7620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 </w:t>
      </w:r>
      <w:r>
        <mc:AlternateContent>
          <mc:Choice Requires="wps">
            <w:drawing>
              <wp:anchor behindDoc="0" distT="762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loss of key personnel and inability to attract and retain new talent; </w:t>
      </w:r>
      <w:r>
        <mc:AlternateContent>
          <mc:Choice Requires="wps">
            <w:drawing>
              <wp:anchor behindDoc="0" distT="7620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disruptions to futures markets for crude oil, NGL and other petroleum products, which may impair our ability to execute our commercial or hedging strategies; </w:t>
      </w:r>
      <w:r>
        <mc:AlternateContent>
          <mc:Choice Requires="wps">
            <w:drawing>
              <wp:anchor behindDoc="0" distT="762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effectiveness of our risk management activities; </w:t>
      </w:r>
      <w:r>
        <mc:AlternateContent>
          <mc:Choice Requires="wps">
            <w:drawing>
              <wp:anchor behindDoc="0" distT="762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shortages or cost increases of supplies, materials or labor; </w:t>
      </w:r>
      <w:r>
        <mc:AlternateContent>
          <mc:Choice Requires="wps">
            <w:drawing>
              <wp:anchor behindDoc="0" distT="762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maintenance of PAA’s credit ratings and ability to receive open credit from our suppliers and trade counterparties; </w:t>
      </w:r>
      <w:r>
        <mc:AlternateContent>
          <mc:Choice Requires="wps">
            <w:drawing>
              <wp:anchor behindDoc="0" distT="762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 </w:t>
      </w:r>
      <w:r>
        <mc:AlternateContent>
          <mc:Choice Requires="wps">
            <w:drawing>
              <wp:anchor behindDoc="0" distT="7620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incurrence of costs and expenses related to unexpected or unplanned capital or maintenance expenditures, third-party claims or other factors; </w:t>
      </w:r>
      <w:r>
        <mc:AlternateContent>
          <mc:Choice Requires="wps">
            <w:drawing>
              <wp:anchor behindDoc="0" distT="7620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implement or capitalize, or delays in implementing or capitalizing, on investment capital projects, whether due to permitting delays, permitting withdrawals or other factors; </w:t>
      </w:r>
      <w:r>
        <mc:AlternateContent>
          <mc:Choice Requires="wps">
            <w:drawing>
              <wp:anchor behindDoc="0" distT="7620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implement or realize anticipated benefits from operational and organizational streamlining and efficiency efforts and initiatives; </w:t>
      </w:r>
      <w:r>
        <mc:AlternateContent>
          <mc:Choice Requires="wps">
            <w:drawing>
              <wp:anchor behindDoc="0" distT="762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 </w:t>
      </w:r>
      <w:r>
        <mc:AlternateContent>
          <mc:Choice Requires="wps">
            <w:drawing>
              <wp:anchor behindDoc="0" distT="762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amplification of other risks caused by volatile or closed financial markets, capital constraints, liquidity concerns and inflation;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00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use or availability of third-party assets upon which our operations depend and over which we have little or no control; </w:t>
      </w:r>
      <w:r>
        <mc:AlternateContent>
          <mc:Choice Requires="wps">
            <w:drawing>
              <wp:anchor behindDoc="0" distT="0" distB="0" distL="254000" distR="0" simplePos="0" locked="0" layoutInCell="1" allowOverlap="1" relativeHeight="46">
                <wp:simplePos x="0" y="0"/>
                <wp:positionH relativeFrom="column">
                  <wp:align>left</wp:align>
                </wp:positionH>
                <wp:positionV relativeFrom="line">
                  <wp:posOffset>635</wp:posOffset>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exchange rate of the Canadian dollar to the United States dollar; </w:t>
      </w:r>
      <w:r>
        <mc:AlternateContent>
          <mc:Choice Requires="wps">
            <w:drawing>
              <wp:anchor behindDoc="0" distT="7620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deferral of current revenue recognition attributable to deficiency payments received from customers who fail to ship or move their minimum contracted volumes;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significant under-utilization of our assets and facilities;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costs, or lack of availability, of insurance;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the debt and equity markets, including the price of PAA’s units at the time of vesting under its long-term incentive plans; </w:t>
      </w:r>
      <w:r>
        <mc:AlternateContent>
          <mc:Choice Requires="wps">
            <w:drawing>
              <wp:anchor behindDoc="0" distT="762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the development and operation of our assets; and </w:t>
      </w:r>
      <w:r>
        <mc:AlternateContent>
          <mc:Choice Requires="wps">
            <w:drawing>
              <wp:anchor behindDoc="0" distT="762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factors and uncertainties inherent in the transportation, storage, terminalling and marketing of crude oil, as well as in the processing, transportation, fractionation, storage and marketing of NGL.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Other factors described herein or incorporated by reference herein, as well as factors that are unknown or unpredictable, could also have a material adverse effect on future results. See “Risk Factors” beginning on page </w:t>
      </w:r>
      <w:hyperlink w:anchor="tRIFA">
        <w:r>
          <w:rPr>
            <w:rStyle w:val="InternetLink"/>
          </w:rPr>
          <w:t>2</w:t>
        </w:r>
      </w:hyperlink>
      <w:r>
        <w:rPr>
          <w:rFonts w:ascii="Times New Roman;Times;serif" w:hAnsi="Times New Roman;Times;serif"/>
          <w:b w:val="false"/>
          <w:i w:val="false"/>
          <w:caps w:val="false"/>
          <w:smallCaps w:val="false"/>
          <w:color w:val="000000"/>
          <w:spacing w:val="4"/>
          <w:sz w:val="20"/>
        </w:rPr>
        <w:t xml:space="preserve"> of this prospectus and in Item 1A. “Risk Factors” in our </w:t>
      </w:r>
      <w:hyperlink r:id="rId10">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(File No. 001-36132) and in any subsequent quarterly or current reports, which are incorporated into this prospectus by reference, for information regarding risks you should consider before making an investment decision. Except as required by applicable securities laws, we do not intend to update these forward-looking statements and information.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APGH"/>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PLAINS GP HOLDINGS, L.P.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Delaware limited partnership formed in July 2013 that has elected to be taxed as a corporation for U.S. federal income tax purposes. We do not directly own any operating assets; as of December 31, 2025, our sole source of cash flow is derived from an indirect investment in PAA, a publicly traded Delaware limited partnership.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2025, we owned an approximate 85% limited partner interest in AAP through our ownership of approximately 197.9 million Class A units of AAP (“AAP units”). We also own a 100% managing member interest in Plains All American GP LLC (“GP LLC”), a Delaware limited liability company that holds the non-economic general partner interest in AAP. AAP is a Delaware limited partnership that, as of December 31, 2025, directly owned a limited partner interest in PAA through its ownership of approximately 233.0 million PAA common units (approximately 31% of PAA’s total outstanding common units and Series A preferred units combined). AAP is the sole member of PAA GP LLC (“PAA GP”), a Delaware limited liability company that directly holds the non-economic general partner interest in PAA.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PAA’s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PAA owns an extensive network of pipeline transportation, terminalling, storage and gathering assets in key crude oil producing basins (including the Permian Basin) and transportation corridors and at major market hubs in the United States and Canada. PAA’s assets and the services it provides are primarily focused on and conducted through two operating segments: Crude Oil and NGL.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Canadian subsidiary.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prospectus, unless the context clearly indicates otherwise (taking into account the fact that we have no operating activities apart from those conducted by PAA and its subsidiaries), the terms “our,” “we,” “us,” “the Partnership” or “Plains GP Holdings, L.P.” refer to Plains GP Holdings, L.P., the registrant itself, or to Plains GP Holdings, L.P. and its consolidated subsidiaries collectively.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Principal Executive Offices and Internet Address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333 Clay Street, Suite 1600, Houston, TX 77002 and our telephone number is (713) 646-4100. Our website is located at www.plains.com.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For additional information about us, please refer to the documents set forth under “Where You Can Find More Information” in this prospectus, including our </w:t>
      </w:r>
      <w:hyperlink r:id="rId11">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and any of our subsequent quarterly reports or current reports, which are incorporated by reference herein.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RIF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An investment in our Class A shares involves a high degree of risk. Before you invest in our Class A shares, you should carefully consider the risk factors included in Item 1A. “Risk Factors” in our </w:t>
      </w:r>
      <w:hyperlink r:id="rId12">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(File No. 001-36132) and in any of our subsequent quarterly reports or current reports, which are incorporated into this prospectus by reference, together with all of the other information included in this prospectus, any prospectus supplement and the documents we incorporate by reference, in evaluating an investment in our Class A shares. If any such risks were actually to occur, our business, financial condition or results of operations could be materially adversely affected. In that case, the trading price of our Class A shares could decline, and you could lose all or part of your investment. When we offer and sell any securities pursuant to a prospectus supplement, we may include additional risk factors relevant to such securities in the prospectus supplement. Please read “Forward-Looking Statements.”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UOP"/>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to the contrary in an accompanying prospectus supplement, we intend to use the net proceeds from the sale of securities covered by this prospectus for general partnership purposes, which may include, among other things, investment in the equity of PAA (acting through AAP as provided in the Omnibus Agreement entered into on November 15, 2016 with our general partner, GP LLC, AAP, PAA GP and PAA (the “Omnibus Agreement”)), repayment of indebtedness, acquisitions, capital expenditures and additions to working capital. Any specific allocation of the net proceeds of an offering of securities to a specific purpose will be determined at the time of the offering and will be described in a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Omnibus Agreement, we have agreed to use the net proceeds from any sale of Class A shares to purchase from AAP a number of AAP units equal to the number of Class A shares sold at a price equal to the net proceeds from such sale. The Omnibus Agreement also provides that immediately following such purchase and sale, AAP will use the net proceeds it receives from such sale of AAP units to PAGP to purchase from PAA an equivalent number of common units of PAA.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DOOS"/>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OUR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Please see </w:t>
      </w:r>
      <w:hyperlink r:id="rId13">
        <w:r>
          <w:rPr>
            <w:rStyle w:val="InternetLink"/>
          </w:rPr>
          <w:t>Exhibit 4.16</w:t>
        </w:r>
      </w:hyperlink>
      <w:r>
        <w:rPr>
          <w:rFonts w:ascii="Times New Roman;Times;serif" w:hAnsi="Times New Roman;Times;serif"/>
          <w:b w:val="false"/>
          <w:i w:val="false"/>
          <w:caps w:val="false"/>
          <w:smallCaps w:val="false"/>
          <w:color w:val="000000"/>
          <w:spacing w:val="4"/>
          <w:sz w:val="20"/>
        </w:rPr>
        <w:t xml:space="preserve"> to our Annual Report on Form 10-K for the year ended December 31, 2025 and our registration statement on </w:t>
      </w:r>
      <w:hyperlink r:id="rId14">
        <w:r>
          <w:rPr>
            <w:rStyle w:val="InternetLink"/>
          </w:rPr>
          <w:t>Form 8-A/A filed on November 16, 2016</w:t>
        </w:r>
      </w:hyperlink>
      <w:r>
        <w:rPr>
          <w:rFonts w:ascii="Times New Roman;Times;serif" w:hAnsi="Times New Roman;Times;serif"/>
          <w:b w:val="false"/>
          <w:i w:val="false"/>
          <w:caps w:val="false"/>
          <w:smallCaps w:val="false"/>
          <w:color w:val="000000"/>
          <w:spacing w:val="4"/>
          <w:sz w:val="20"/>
        </w:rPr>
        <w:t xml:space="preserve"> and </w:t>
      </w:r>
      <w:hyperlink r:id="rId15">
        <w:r>
          <w:rPr>
            <w:rStyle w:val="InternetLink"/>
          </w:rPr>
          <w:t>Form 8-A filed on December 11, 2020</w:t>
        </w:r>
      </w:hyperlink>
      <w:r>
        <w:rPr>
          <w:rFonts w:ascii="Times New Roman;Times;serif" w:hAnsi="Times New Roman;Times;serif"/>
          <w:b w:val="false"/>
          <w:i w:val="false"/>
          <w:caps w:val="false"/>
          <w:smallCaps w:val="false"/>
          <w:color w:val="000000"/>
          <w:spacing w:val="4"/>
          <w:sz w:val="20"/>
        </w:rPr>
        <w:t xml:space="preserve"> (together with any amendments thereto and the other documents incorporated by reference therein), which are incorporated by reference herein, for a description of our shares, our cash distribution policy and the Second Amended and Restated Agreement of Limited Partnership of Plains GP Holdings, L.P., dated as of November 15, 2016, as it may be amended or restated from time to time (our “partnership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MUFI"/>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material U.S. federal income tax consequences related to the purchase, ownership and disposition of our Class A shares by a taxpayer that holds our Class A shares as a “capital asset” ​(generally property held for investment). This summary is based on the provisions of the Internal Revenue Code of 1986, as amended (the “Code”), U.S. Treasury regulations, administrative rulings and judicial decisions, all as in effect on the date hereof, and all of which are subject to change or differing interpretations, possibly with retroactive effect. We cannot assure you that a change in law will not significantly alter the tax considerations that we describe in this summary. We have not sought any ruling from the Internal Revenue Service, or the IRS, with respect to the statements made and the conclusions reached in the following summary, and there can be no assurance that the IRS or a court will agree with such statements and conclusions. Legal conclusions contained in this section, unless otherwise noted, are the opinion of Vinson &amp; Elkins L.L.P. This summary does not address all aspects of U.S. federal income taxation.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 (without limitation):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insurance companies or other financial institutions; </w:t>
      </w:r>
      <w:r>
        <mc:AlternateContent>
          <mc:Choice Requires="wps">
            <w:drawing>
              <wp:anchor behindDoc="0" distT="7366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or governmental organizations; </w:t>
      </w:r>
      <w:r>
        <mc:AlternateContent>
          <mc:Choice Requires="wps">
            <w:drawing>
              <wp:anchor behindDoc="0" distT="7366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qualified foreign pension funds (or any entities all of the interests of which are held by a qualified foreign pension fund); </w:t>
      </w:r>
      <w:r>
        <mc:AlternateContent>
          <mc:Choice Requires="wps">
            <w:drawing>
              <wp:anchor behindDoc="0" distT="7366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dealers in securities or foreign currencies; </w:t>
      </w:r>
      <w:r>
        <mc:AlternateContent>
          <mc:Choice Requires="wps">
            <w:drawing>
              <wp:anchor behindDoc="0" distT="7366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traders in securities that use the mark-to-market method of accounting for U.S. federal income tax purposes; </w:t>
      </w:r>
      <w:r>
        <mc:AlternateContent>
          <mc:Choice Requires="wps">
            <w:drawing>
              <wp:anchor behindDoc="0" distT="7366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whose functional currency is not the U.S. dollar; </w:t>
      </w:r>
      <w:r>
        <mc:AlternateContent>
          <mc:Choice Requires="wps">
            <w:drawing>
              <wp:anchor behindDoc="0" distT="7366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controlled foreign corporations,” “passive foreign investment companies” and corporations that accumulate earnings to avoid U.S. federal income tax; </w:t>
      </w:r>
      <w:r>
        <mc:AlternateContent>
          <mc:Choice Requires="wps">
            <w:drawing>
              <wp:anchor behindDoc="0" distT="7366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subject to the alternative minimum tax; </w:t>
      </w:r>
      <w:r>
        <mc:AlternateContent>
          <mc:Choice Requires="wps">
            <w:drawing>
              <wp:anchor behindDoc="0" distT="7366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or other pass-through entities for U.S. federal income tax purposes or holders of interests therein; </w:t>
      </w:r>
      <w:r>
        <mc:AlternateContent>
          <mc:Choice Requires="wps">
            <w:drawing>
              <wp:anchor behindDoc="0" distT="7493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deemed to sell our Class A shares under the constructive sale provisions of the Code; </w:t>
      </w:r>
      <w:r>
        <mc:AlternateContent>
          <mc:Choice Requires="wps">
            <w:drawing>
              <wp:anchor behindDoc="0" distT="7493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that acquired our Class A shares through the exercise of employee stock options or otherwise as compensation or through a tax-qualified retirement plan; </w:t>
      </w:r>
      <w:r>
        <mc:AlternateContent>
          <mc:Choice Requires="wps">
            <w:drawing>
              <wp:anchor behindDoc="0" distT="7493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former citizens or long-term residents of the United States; </w:t>
      </w:r>
      <w:r>
        <mc:AlternateContent>
          <mc:Choice Requires="wps">
            <w:drawing>
              <wp:anchor behindDoc="0" distT="7493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estate investment trusts or regulated investment companies; and </w:t>
      </w:r>
      <w:r>
        <mc:AlternateContent>
          <mc:Choice Requires="wps">
            <w:drawing>
              <wp:anchor behindDoc="0" distT="7493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that hold our Class A shares as part of a straddle, appreciated financial position, synthetic security, hedge, conversion transaction or other integrated investment or risk reduction transaction. </w:t>
      </w:r>
      <w:r>
        <mc:AlternateContent>
          <mc:Choice Requires="wps">
            <w:drawing>
              <wp:anchor behindDoc="0" distT="7493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partnership (including an entity or arrangement treated as a partnership for U.S. federal income tax purposes) holds our Class A shares,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investing in our Class A shares to consult their tax advisors regarding the U.S. federal income tax considerations of the purchase, ownership and disposition of our Class A shares by such partnership.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YOU ARE ENCOURAGED TO CONSULT YOUR TAX ADVISOR WITH RESPECT TO THE APPLICATION OF THE U.S. FEDERAL INCOME TAX LAWS (INCLUDING ANY POTENTIAL FUTURE CHANGES THERETO) TO YOUR PARTICULAR SITUATION, AS WELL AS ANY TAX CONSEQUENCES OF THE PURCHASE, OWNERSHIP AND DISPOSITION OF OUR CLASS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SHARES ARISING UNDER ANY OTHER TAX LAWS, INCLUDING THE U.S. FEDERAL ESTATE OR GIFT TAX LAWS OR UNDER THE LAWS OF ANY STATE, LOCAL, NON-U.S. OR OTHER TAXING JURISDICTION OR UNDER ANY APPLICABLE INCOME TAX TREATY.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Status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we are a Delaware limited partnership, we have elected to be treated as a corporation for U.S. federal income tax purposes. As a result, we are subject to tax as a corporation and distributions on our Class A shares will be treated as distributions on corporate stock for U.S. federal income tax purposes. No Schedule K-1 will be issued with respect to our Class A shares. Instead, holders of Class A shares will receive a Form 1099 from us or a broker with respect to distributions received on our Class A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Consequences to 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discussion in this section is addressed to holders of our Class A shares who are U.S. holders for U.S. federal income tax purposes. For the purposes of this discussion, a “U.S. holder” is a beneficial owner of our Class A shares that, for U.S. federal income tax purposes, is: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7239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treated as a corporation for U.S. federal income tax purposes) created or organized in or under the laws of the United States, any state thereof or the District of Columbia; </w:t>
      </w:r>
      <w:r>
        <mc:AlternateContent>
          <mc:Choice Requires="wps">
            <w:drawing>
              <wp:anchor behindDoc="0" distT="7239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 regardless of its source; or </w:t>
      </w:r>
      <w:r>
        <mc:AlternateContent>
          <mc:Choice Requires="wps">
            <w:drawing>
              <wp:anchor behindDoc="0" distT="7239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 the administration of which is subject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 </w:t>
      </w:r>
      <w:r>
        <mc:AlternateContent>
          <mc:Choice Requires="wps">
            <w:drawing>
              <wp:anchor behindDoc="0" distT="7239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Distributions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from the sale or exchange of such Class A shares. See “— Gain on Disposition of Class A Shares.” Non-corporate holders that receive distributions on our Class A shares that are treated as dividends for U.S. federal income tax purposes generally will be subject to U.S. federal income tax at a reduced rate (currently at a maximum rate of 20%) provided certain holding period requirements are met.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Both AAP and PAA have made elections permitted by Section 754 of the Code. As a result, our acquisition of AAP Class A units in connection with our initial public offering (our “IPO”) and in connection with exchanges since the IPO by the owners of AAP immediately prior to our IPO that continue to own an interest in AAP as of the date of this prospectus, together with any additional persons or entities, other than PAGP and GP LLC, that have become owners of AAP since the consummation of the IPO and continue to own an interest in AAP as of the date of this prospectus (the “Legacy Owners”) and their permitted transferees of their AAP Class A units and Class B shares for Class A shares have resulted in tax basis adjustments with respect to our interest in the assets of AAP (and indirectly in PAA). Such adjustments have resulted in depreciation and amortization deductions that we anticipate will offset a substantial portion of our taxable income. In addition, future exchanges of AAP Class A units and Class B shares for our Class A shares will result in additional basis adjustments with respect to our interest in the assets of AAP (and indirectly in PAA). We expect to benefit from additional tax deductions resulting from those adjustments, the amount of which will vary depending on the value of our Class A shares at the time of the exchange.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basis adjustments described above, we have not had sufficient earnings and profits for distributions made with respect to our Class A shares prior to our 2025 taxable year to qualify as dividends for U.S. federal income tax purposes. Further, we currently do not expect to have sufficient earnings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profits with respect to our 2025 taxable year for distributions made during our 2025 taxable year to qualify as dividends for U.S. federal income tax purposes. However, the income and gain that may be recognized by PAA in connection with the Canadian NGL Business divestiture may result in us having sufficient current earnings and profits for all or a portion of the distributions made with respect to our Class A shares during our 2026 taxable year to qualify as dividends for U.S. federal income tax purposes. For distributions made with respect to our Class A shares after our 2026 taxable year, it is anticipated that the basis adjustments described above will result in us not having sufficient earnings and profits for distributions on our Class A shares to qualify as dividends for U.S. federal income tax purposes for an extended period of time. If a distribution with respect to our Class A shares fails to qualify as a dividend for U.S. federal income tax purposes, such distribution will be treated first as a tax-free return of capital to the extent of the U.S. holder’s adjusted tax basis in our Class A shares and thereafter as capital gain from the sale or exchange of our Class A shares. As a result, U.S. corporate holders will be unable to utilize the corporate dividends-received deduction with respect to such distribution.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encouraged to consult your tax advisor as to the tax consequences of receiving distributions on our Class A shares that do not qualify as dividends for U.S. federal income tax purposes, including, in the case of prospective corporate investors, the inability to claim the corporate dividends received deduction with respect to such distributions.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Gain on Disposition of Class A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the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U.S. federal income tax at a reduced rate (currently at a maximum rate of 20%). The deductibility of net capital losses is subject to limitations.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Backup Withholding and Information Reporting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Consequences to 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discussion in this section is addressed to holders of our Class A shares who are non-U.S. holders for U.S. federal income tax purposes. For purposes of this discussion, a “non-U.S. holder” is a beneficial owner of our Class A shares that is an individual, corporation, estate or trust that is not a U.S. holder as defined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Distributions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with respect to our Class A shares will constitute dividends for U.S. federal income tax purposes to the extent paid from our current or accumulated earnings and profits, as determined under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federal income tax principles. To the extent these distributions exceed our current and accumulated earnings and profits, the distributions will be treated as a non-taxable return of capital to the extent of the non-U.S. holder’s tax basis in our common stock and thereafter as a capital gain from the sale or exchange of such common stock. See “— Gain on Disposition of Class A Shares.” Subject to the withholding requirements under FATCA (as defined below) and with respect to effectively connected dividends, each of which is discussed below, any distribution made to a non-U.S. holder on our Class A shares generally will be subject to U.S. withholding tax at a rate of 30% of the gross amount of the distribution unless an applicable income tax treaty provides for a lower rate. To the extent a distribution exceeds our current and accumulated earnings and profits, such distribution will reduce the non-U.S. holder’s adjusted tax basis in its Class A shares (but not below zero). The amount of any such distribution in excess of the non-U.S. holder’s adjusted tax basis in its Class A shares will be treated as gain from the sale of such shares and will have the tax consequences described below under “Gain on Disposition of Class A Shares.” The rules applicable to distributions by a United States real property holding corporation (a “USRPHC”) to non-U.S. persons that exceed current and accumulated earnings and profits are not clear. As a result, it is possible that U.S. federal income tax at a rate not less than 15% (or such lower rate as may be specified by an applicable income tax treaty for distributions from a USRPHC) may be withheld from distributions received by non-U.S. holders that exceed our current and accumulated earnings and profits. To receive the benefit of a reduced treaty rate, a non-U.S. holder must provide the applicable withholding agent with an IRS Form W-8BEN or IRS Form W-8BEN-E (or other applicable or successor form) certifying qualification for the reduced rate. Non-U.S. holders are encouraged to consult their tax advisors regarding the withholding rules applicable to distributions on our Class A shares, the requirement for claiming treaty benefits, and any procedures required to obtain a refund of any overwithheld amounts.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treated as dividends that are paid to a non-U.S. holder and that are effectively connected with a trade or business conducted by the non-U.S. holder in the United States (and, if required by an applicable income tax treaty, are treated as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withholding tax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Gain on Disposition of Class A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below under “— Backup Withholding and Information Reporting,” a non-U.S. holder generally will not be subject to U.S. federal income or withholding tax on any gain realized upon the sale or other disposition of our Class A shares unless: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an individual who is present in the United States for a period or periods aggregating 183 days or more during the calendar year in which the sale or disposition occurs and certain other conditions are met; </w:t>
      </w:r>
      <w:r>
        <mc:AlternateContent>
          <mc:Choice Requires="wps">
            <w:drawing>
              <wp:anchor behindDoc="0" distT="7874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a trade or business conducted by the non-U.S. holder in the United States (and, if required by an applicable income tax treaty, is attributable to a permanent establishment maintained by the non-U.S. holder in the United States); or </w:t>
      </w:r>
      <w:r>
        <mc:AlternateContent>
          <mc:Choice Requires="wps">
            <w:drawing>
              <wp:anchor behindDoc="0" distT="7874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Class A shares constitute a United States real property interest by reason of our status as a USRPHC for U.S. federal income tax purposes and as a result such gain is treated as effectively connected with a trade or business conducted by the non-U.S. holder in the United States. </w:t>
      </w:r>
      <w:r>
        <mc:AlternateContent>
          <mc:Choice Requires="wps">
            <w:drawing>
              <wp:anchor behindDoc="0" distT="7874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described in the first bullet point above will be subject to U.S. federal income tax at a rate of 30% (or such lower rate as specified by an applicable income tax treaty) on the amount of such gain, which generally may be offset by U.S. source capital losses provided the non-U.S. holder has timely filed U.S. federal income tax returns with respect to such losses.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continue to be “regularly traded on an established securities market” ​(within the meaning of the U.S. Treasury regulations), only a non-U.S. holder that actually or constructively owns, or owned at any time during the shorter of the five-year period ending on the date of the disposition or the non-U.S. holder’s holding period for the Class A shares, more than 5% of our Class A shares will be treated as disposing of a United States real property interest and will be taxable on gain realized on the disposition of our Class A shares as a result of our status as a USRPHC. If our Class A shares were not considered to be regularly traded on an established securities market, such non-U.S. holder (regardless of the percentage of our Class A shares owned) would be treated as disposing of a United States real property interest and would be subject to U.S. federal income tax on a taxable disposition of our Class A shares (as described in the preceding paragraph), and a 15% withholding tax would apply to the gross proceeds from such disposition.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Non-U.S. holders should consult their tax advisors with respect to the application of the foregoing rules to their ownership and disposition of our Class A shares, including regarding potentially applicable income tax treaties that may provide for different rules.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Backup Withholding and Information Reporting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distributions paid to a non-U.S. holder must be reported annually to the IRS and to each non-U.S. holder. Copies of these information returns may be made available to the tax authorities in the country in which the non-U.S. holder resides or is established. Payments of distributions to a non-U.S. holder generally will not be subject to backup withholding if the non-U.S. holder establishes an exemption by properly certifying its non-U.S. status on an IRS Form W-8BEN or IRS Form W-8BEN-E (or other applicable or successor form).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Class A shares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Withholding Requirements under FATCA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Sections 1471 through 1474 of the Code, and the U.S. Treasury regulations and administrative guidance issued thereunder (“FATCA”), impose a 30% withholding tax on “withholdable payments” ​(as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9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defined in the Code), including dividends paid on our Class A shares,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 While gross proceeds from a sale or other disposition of our Class A shares would have originally been subject to withholding under FATCA, proposed U.S. Treasury regulations provide that such payments of gross proceeds do not constitute withholdable payments. Taxpayers may generally rely on these proposed U.S. Treasury regulations until they are revoked or final U.S. Treasury regulations are issued. Non-U.S. holders are encouraged to consult their own tax advisors regarding the effects of FATCA on an investment in our Class A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CONSIDERING THE PURCHASE OF OUR CLASS A SHARES ARE URGED TO CONSULT THEIR OWN TAX ADVISORS REGARDING THE APPLICATION OF THE U.S. FEDERAL INCOME TAX LAWS (INCLUDING ANY POTENTIAL FUTURE CHANGES THERETO) TO THEIR PARTICULAR SITUATIONS AND THE APPLICABILITY AND EFFECT OF ANY OTHER TAX LAWS, INCLUDING U.S. FEDERAL ESTATE AND GIFT TAX LAWS AND ANY STATE, LOCAL OR NON-U.S. TAX LAWS AND TAX TREATIES.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IIPG"/>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INVESTMENT IN PLAINS GP HOLDINGS, L.P. BY EMPLOYEE BENEFIT PLANS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certain considerations associated with the acquisition and holding of our Class A shares by employee benefit plans that are subject to Title I of the Employee Retirement Income Security Act of 1974, as amended (“ERISA”), plans, individual retirement accounts and other arrangements that are subject to Section 4975 of the Code or employee benefit plans that are governmental plans (as defined in Section 3(32) of ERISA), certain church plans (as defined in Section 3(33) of ERISA), non-U.S. plans (as described in Section 4(b)(4) of ERISA) or other plans that are not subject to the foregoing but may be subject to provisions under any other federal, state, local, non-U.S. or other laws or regulations that are similar to such provisions of ERISA or the Code (collectively, “Similar Laws”), and entities whose underlying assets are considered to include “plan assets” of any such plan, account or arrangement (each, a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is based on the provisions of ERISA and the Code (and related regulations and administrative and judicial interpretations) as of the date of this registration statement. This summary does not purport to be complete, and no assurance can be given that future legislation, court decisions, regulations, rulings or pronouncements will not significantly modify the requirements summarized below. Any of these changes may be retroactive and may thereby apply to transactions entered into prior to the date of their enactment or release. This discussion is general in nature and is not intended to be all inclusive, nor should it be construed as investment or legal advice.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Fiduciary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ERISA and the Code impose certain duties on persons who are fiduciaries of a Plan subject to Title I of ERISA or Section 4975 of the Code (an “ERISA Plan”) and prohibit certain transactions involving the assets of an ERISA Plan and its fiduciaries or other interested parties. Under ERISA and the Code, any person who exercises any discretionary authority or control over the administration of an ERISA Plan or the management or disposition of the assets of an ERISA Plan, or who renders investment advice for a fee or other compensation to an ERISA Plan, is generally considered to be a fiduciary of the ERISA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considering an investment in our Class A shares with a portion of the assets of any Plan, the fiduciaries of a Plan should determine whether such investment is authorized by the documents and instruments governing the Plan, the applicable provisions of ERISA, the Code or any Similar Laws relating to the fiduciary’s duties to the Plan.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Among other things, consideration should be given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investment is prudent under Section 404(a)(1)(B) of ERISA and any applicable Similar Laws; </w:t>
      </w:r>
      <w:r>
        <mc:AlternateContent>
          <mc:Choice Requires="wps">
            <w:drawing>
              <wp:anchor behindDoc="0" distT="7366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in making the investment, the ERISA Plan will satisfy the diversification requirements of Section 404(a)(1)(C) of ERISA and applicable Similar Laws; </w:t>
      </w:r>
      <w:r>
        <mc:AlternateContent>
          <mc:Choice Requires="wps">
            <w:drawing>
              <wp:anchor behindDoc="0" distT="7493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investment will result in recognition of unrelated business taxable income by the Plan and, if so, the potential after-tax investment return; </w:t>
      </w:r>
      <w:r>
        <mc:AlternateContent>
          <mc:Choice Requires="wps">
            <w:drawing>
              <wp:anchor behindDoc="0" distT="7493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investment is permitted under the terms of the applicable documents governing the Plan; </w:t>
      </w:r>
      <w:r>
        <mc:AlternateContent>
          <mc:Choice Requires="wps">
            <w:drawing>
              <wp:anchor behindDoc="0" distT="7493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acquisition or holding of Class A shares will constitute a “prohibited transaction” under Section 406 of ERISA or Section 4975 of the Code (please see the discussion under “Plan Asset Issues” below); and </w:t>
      </w:r>
      <w:r>
        <mc:AlternateContent>
          <mc:Choice Requires="wps">
            <w:drawing>
              <wp:anchor behindDoc="0" distT="7493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Plan will be considered to hold, as plan assets, (i) only our Class A shares or (ii) an undivided interest in our underlying assets (please see the discussion under “Plan Asset Issues” below). </w:t>
      </w:r>
      <w:r>
        <mc:AlternateContent>
          <mc:Choice Requires="wps">
            <w:drawing>
              <wp:anchor behindDoc="0" distT="7493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Prohibited Transaction Issues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406 of ERISA and Section 4975 of the Code prohibit ERISA Plans from engaging in specified transactions involving “plan assets” with parties that are “parties in interest” within the meaning of ERISA or “disqualified persons” within the meaning of Section 4975 of the Code with respect to the Plan, unless an exemption is available. A party in interest or disqualified person who engages in a non-exempt prohibited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 may be subject to excise taxes and other penalties and liabilities under ERISA and the Code. In addition, the fiduciary of the ERISA Plan that engages in such a non-exempt prohibited transaction may be subject to excise taxes, penalties and liabilities under ERISA and the Code. The acquisition and/or holding of Class A shares by an ERISA Plan with respect to which the issuer, the initial purchaser, or a guarantor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of the foregoing, our Class A shares should not be acquired or held by any person investing “plan assets” of any Plan, unless such acquisition and holding will not constitute a non-exempt prohibited transaction under ERISA and the Code or a similar violation of any applicable Similar 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Asset Issues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considering whether the purchase of Class A shares is or could result in a prohibited transaction, a fiduciary of a Plan should consider whether the Plan will, by investing in our Class A shares, be deemed to own an undivided interest in our assets, with the result that our general partner also would be a fiduciary of the Plan and our operations would be subject to the regulatory restrictions of ERISA, including fiduciary standards and its prohibited transaction rules, as well as the prohibited transaction rules of the Code or other applicable Similar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ERISA and the Department of Labor (the “DOL”) regulations provide guidance with respect to whether the assets of an entity in which ERISA Plans acquire equity interests would be deemed “plan assets” under certain circumstances. Under these rules, an entity’s assets generally would not be considered to be “plan assets” if, among other things: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equity interests acquired by ERISA Plans are “publicly offered securities” ​(as defined in the applicable DOL regulations); i.e., the equity interests are widely held by 100 or more investors independent of the issuer and each other, are “freely transferable” ​(as defined in the applicable DOL regulations) and registered under certain provisions of the federal securities laws or sold to the ERISA Plan as part of a public offering under certain circumstances; </w:t>
      </w:r>
      <w:r>
        <mc:AlternateContent>
          <mc:Choice Requires="wps">
            <w:drawing>
              <wp:anchor behindDoc="0" distT="7747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entity is an “operating company” ​(as defined in the applicable DOL regulations); i.e., it is primarily engaged in the production or sale of a product or service other than the investment of capital either directly or through a majority-owned subsidiary or subsidiaries; or </w:t>
      </w:r>
      <w:r>
        <mc:AlternateContent>
          <mc:Choice Requires="wps">
            <w:drawing>
              <wp:anchor behindDoc="0" distT="7747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significant investment by “benefit plan investors” ​(as defined in the applicable DOL regulations) — i.e., immediately after the most recent acquisition by an ERISA Plan of any equity interest in the entity, less than 25% of the total value of each class of equity interest (disregarding certain interests held by persons (other than benefit plan investors) with discretionary authority or control over the assets of the entity or who provide investment advice for a fee (direct or indirect) with respect to such assets, and any affiliates thereof) is held by ERISA Plans, IRAs and certain other Plans (but not including governmental plans, foreign plans and certain church plans), and entities whose underlying assets are deemed to include plan assets by reason of a Plan’s investment in the entity. </w:t>
      </w:r>
      <w:r>
        <mc:AlternateContent>
          <mc:Choice Requires="wps">
            <w:drawing>
              <wp:anchor behindDoc="0" distT="7747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to the complexity of these rules and the excise taxes, penalties and liabilities that may be imposed upon persons involved in non-exempt prohibited transactions, it is particularly important that fiduciaries, or other persons considering acquiring and/or holding shares of our Class A shares on behalf of, or with the assets of, any Plan, consult with their counsel regarding the potential applicability of ERISA, Section 4975 of the Code and any Similar Laws to such investment and whether an exemption would be applicable to the acquisition and holding of our Class A shares. Purchasers of our Class A shares have the exclusive responsibility for ensuring that their acquisition and holding of our Class A shares complies with the fiduciary responsibility rules of ERISA and does not violate the prohibited transaction rules of ERISA, the Code or applicable Similar Laws. The sale of our Class A shares to a Plan is in no respect a representation by us or any of our affiliates or representatives that such an investment meets all relevant legal requirements with respect to investments by any such Plan or that such investment is appropriate for any such Plan.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POD"/>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offer and sell the Class A shares offered by this prospectus by one or more of, or a combination of, the following methods: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one or more underwriters for public offering and sale; </w:t>
      </w:r>
      <w:r>
        <mc:AlternateContent>
          <mc:Choice Requires="wps">
            <w:drawing>
              <wp:anchor behindDoc="0" distT="7493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one or more broker-dealers who may act as agent or may purchase Class A shares as principal and thereafter resell the Class A shares from time to time; </w:t>
      </w:r>
      <w:r>
        <mc:AlternateContent>
          <mc:Choice Requires="wps">
            <w:drawing>
              <wp:anchor behindDoc="0" distT="7493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 through one or more transactions (which may involve crosses and block transactions) or distributions, including exchange distributions, distributions to beneficial owners and/or secondary distributions; </w:t>
      </w:r>
      <w:r>
        <mc:AlternateContent>
          <mc:Choice Requires="wps">
            <w:drawing>
              <wp:anchor behindDoc="0" distT="7493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NASDAQ; </w:t>
      </w:r>
      <w:r>
        <mc:AlternateContent>
          <mc:Choice Requires="wps">
            <w:drawing>
              <wp:anchor behindDoc="0" distT="7493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over-the-counter market; </w:t>
      </w:r>
      <w:r>
        <mc:AlternateContent>
          <mc:Choice Requires="wps">
            <w:drawing>
              <wp:anchor behindDoc="0" distT="7493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private transactions; </w:t>
      </w:r>
      <w:r>
        <mc:AlternateContent>
          <mc:Choice Requires="wps">
            <w:drawing>
              <wp:anchor behindDoc="0" distT="7493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investors directly; </w:t>
      </w:r>
      <w:r>
        <mc:AlternateContent>
          <mc:Choice Requires="wps">
            <w:drawing>
              <wp:anchor behindDoc="0" distT="7493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short sale and delivery of such securities to close out short positions; </w:t>
      </w:r>
      <w:r>
        <mc:AlternateContent>
          <mc:Choice Requires="wps">
            <w:drawing>
              <wp:anchor behindDoc="0" distT="7493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“at the market” offerings into an existing trading market in accordance with Rule 415(a)(4) under the Securities Act; or </w:t>
      </w:r>
      <w:r>
        <mc:AlternateContent>
          <mc:Choice Requires="wps">
            <w:drawing>
              <wp:anchor behindDoc="0" distT="7493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method permitted pursuant to applicable law. </w:t>
      </w:r>
      <w:r>
        <mc:AlternateContent>
          <mc:Choice Requires="wps">
            <w:drawing>
              <wp:anchor behindDoc="0" distT="7493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determine the offering price per Class A share from time to time in connection with, and at the time of, sale. We may price the Class A shares at: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prices prevailing at the time of any sale under this registration statement; </w:t>
      </w:r>
      <w:r>
        <mc:AlternateContent>
          <mc:Choice Requires="wps">
            <w:drawing>
              <wp:anchor behindDoc="0" distT="7493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prices related to the then-current market prices; </w:t>
      </w:r>
      <w:r>
        <mc:AlternateContent>
          <mc:Choice Requires="wps">
            <w:drawing>
              <wp:anchor behindDoc="0" distT="7493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fixed price; or </w:t>
      </w:r>
      <w:r>
        <mc:AlternateContent>
          <mc:Choice Requires="wps">
            <w:drawing>
              <wp:anchor behindDoc="0" distT="7493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negotiated prices. </w:t>
      </w:r>
      <w:r>
        <mc:AlternateContent>
          <mc:Choice Requires="wps">
            <w:drawing>
              <wp:anchor behindDoc="0" distT="7493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change the price of the securities offered from time to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or allow distributors’ or sellers’ commissions that will not exceed those customary in the types of transactions involved.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authorize underwriters acting as our agent to offer and sell Class A shares upon the terms and conditions as are set forth in an applicable prospectus supplement. In connection with the sale of these Class A shares, underwriters may be deemed to have received compensation in the form of underwriting discounts or commissions and may receive commissions from purchasers of Class A shares for whom they may act as agent or to whom they sell as principals, or both. Underwriters may sell Class A shares to or through dealers. Dealers may receive compensation in the form of discounts, concessions or commissions from the underwriters and/or commissions from the purchasers of Class A shares for whom they may act as agent or to whom they sell as principals, or both. A member firm of NASDAQ may be engaged to act as our agent in the sale of Class A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Broker-dealers may also receive compensation in the form of underwriting discounts or commissions and may receive commissions from purchasers of the Class A shares for whom they may act as agents. If any broker-dealer purchases the Class A shares as principal, it may effect resales of the Class A shares from time to time to or through other broker-dealers, and other broker-dealers may receive compensation in the form of concessions or commissions from the purchasers of Class A shares for whom they may act as agents.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prospectus, we have not engaged any underwriters, broker, dealer or agent in connection with the offer and sale of Class A shares pursuant to this prospectus. To the extent required, the names of the specific managing underwriter or underwriters, if any, as well as other important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be set forth in an applicable prospectus supplement. In that event, any underwriting compensation paid to underwriters or agents in connection with the offering of the Class A shares, and any discounts, concessions or commissions allowed by underwriters to participating dealers, will be set forth in the applicable prospectus supplement. Any underwriters, brokers, dealers and agents who participate in any sale of the Class A Shares may also engage in transactions with, or perform services for, us or our affiliates in the ordinary course of their businesses. We may indemnify underwriters, brokers, dealers and agents against specific liabilities to which they may become subject in connection with the sale of the Class A shares registered under this prospectus, including liabilities under the Securities Act of 1933, as amended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Offers to purchase Class A Shares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our Class A shares into an existing trading market on the terms described in the prospectus supplement relating thereto. Underwriters and dealers who may participate in any at-the-market offerings will be described in the prospectus supplement relating thereto.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maximum compensation the underwriters will receive in connection with the sale of any Class A shares under this prospectus and the registration statement of which it forms a part will not exceed 8% of the gross proceeds from the sale.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underwriters, brokers, dealers and agents who participate in any sale of the Class A shares may also engage in transactions with, or perform services for, us or our affiliates in the ordinary course of their businesses.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FINRA views our Class A shares as interests in a direct participation program, any offering of Class A shares under the registration statement of which this prospectus forms a part will be made in compliance with Rule 2310 of the FINRA Rules.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required, this prospectus may be amended or supplemented from time to time to describe a specific plan of distribution. The place and time of delivery for the Class A shares in respect of which this prospectus is delivered will be set forth in the accompanying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offerings under this shelf registration statement and in compliance with applicable law, underwriters, brokers or dealers may engage in transactions that stabilize or maintain the market price of the Class A shares at levels above those that might otherwise prevail in the open market. Specifically, underwriters, brokers or dealers may over-allot in connection with offerings, creating a short position in the Class A shares for their own accounts. For the purpose of covering a syndicate short position or stabilizing the price of the Class A shares, the underwriters, brokers or dealers may place bids for the Class A shares or effect purchases of the Class A shares in the open market. Finally, the underwriters may impose a penalty whereby selling concessions allowed to syndicate members or other brokers or dealers for distribution of the Class A shares in offerings may be reclaimed by the syndicate if the syndicate repurchases the previously distributed Class A shares in transactions to cover short positions, in stabilization transactions or otherwise. These activities may stabilize, maintain or otherwise affect the market price of the Class A shares, which may be higher than the price that might otherwise prevail in the open market, and, if commenced, may be discontinued at any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LEMA"/>
      <w:bookmarkEnd w:id="13"/>
      <w:r>
        <w:rPr>
          <w:rFonts w:ascii="calibri;arial;sans-serif" w:hAnsi="calibri;arial;sans-serif"/>
          <w:b w:val="false"/>
          <w:i w:val="false"/>
          <w:caps w:val="false"/>
          <w:smallCaps w:val="false"/>
          <w:color w:val="000000"/>
          <w:sz w:val="16"/>
        </w:rPr>
        <w:t>​</w:t>
      </w:r>
      <w:bookmarkStart w:id="14" w:name="tEXP"/>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Class A shares will be passed upon for us by Vinson &amp; Elkins L.L.P., Houston, Texas. Vinson &amp; Elkins L.L.P. will also render an opinion on certain material U.S. federal income tax consequences regarding the Class A shares. If certain legal matters in connection with an offering of the Class A shares made by this prospectus and a related prospectus supplement are passed on by counsel for the underwriters of such offering, that counsel will be named in the applicable prospectus supplement related to that offering.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Plains GP Holdings, L.P.’s </w:t>
      </w:r>
      <w:hyperlink r:id="rId16">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have been so incorporated in reliance on the report of PricewaterhouseCoopers LLP, an independent registered public accounting firm, given on the authority of said firm as experts in auditing and accounting.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consolidated financial statements of EPIC Crude Holdings, LP incorporated in this prospectus have been so incorporated in reliance on the report of KPMG LLP, independent registered public accounting firm, given on the authority of said firm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PART II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14.   Other Expenses of Issuance and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below are the expenses (other than underwriting discounts and commissions) expected to be incurred in connection with the issuance and distribution of the Class A shares registered hereby. With the exception of the SEC registration fee, the amounts set forth below are estimates. </w:t>
      </w:r>
    </w:p>
    <w:tbl>
      <w:tblPr>
        <w:tblW w:w="5241" w:type="dxa"/>
        <w:jc w:val="left"/>
        <w:tblInd w:w="1393" w:type="dxa"/>
        <w:tblLayout w:type="fixed"/>
        <w:tblCellMar>
          <w:top w:w="0" w:type="dxa"/>
          <w:left w:w="0" w:type="dxa"/>
          <w:bottom w:w="0" w:type="dxa"/>
          <w:right w:w="0" w:type="dxa"/>
        </w:tblCellMar>
      </w:tblPr>
      <w:tblGrid>
        <w:gridCol w:w="124"/>
        <w:gridCol w:w="3115"/>
        <w:gridCol w:w="109"/>
        <w:gridCol w:w="109"/>
        <w:gridCol w:w="109"/>
        <w:gridCol w:w="226"/>
        <w:gridCol w:w="118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3115" w:type="dxa"/>
            <w:tcBorders/>
            <w:shd w:fill="CCEEFF" w:val="cle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86" w:type="dxa"/>
            <w:tcBorders/>
            <w:shd w:fill="CCEEFF" w:val="clear"/>
            <w:vAlign w:val="center"/>
          </w:tcPr>
          <w:p>
            <w:pPr>
              <w:pStyle w:val="TableContents"/>
              <w:bidi w:val="0"/>
              <w:spacing w:before="0" w:after="283"/>
              <w:jc w:val="right"/>
              <w:rPr/>
            </w:pPr>
            <w:r>
              <w:rPr/>
              <w:t>13,762.09*</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15" w:type="dxa"/>
            <w:tcBorders/>
            <w:vAlign w:val="center"/>
          </w:tcPr>
          <w:p>
            <w:pPr>
              <w:pStyle w:val="TableContents"/>
              <w:bidi w:val="0"/>
              <w:spacing w:before="0" w:after="0"/>
              <w:jc w:val="left"/>
              <w:rPr>
                <w:spacing w:val="4"/>
              </w:rPr>
            </w:pPr>
            <w:r>
              <w:rPr>
                <w:spacing w:val="4"/>
              </w:rPr>
              <w:t xml:space="preserve">Legal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3115" w:type="dxa"/>
            <w:tcBorders/>
            <w:shd w:fill="CCEEFF" w:val="clear"/>
            <w:vAlign w:val="center"/>
          </w:tcPr>
          <w:p>
            <w:pPr>
              <w:pStyle w:val="TableContents"/>
              <w:bidi w:val="0"/>
              <w:spacing w:before="0" w:after="0"/>
              <w:jc w:val="left"/>
              <w:rPr>
                <w:spacing w:val="4"/>
              </w:rPr>
            </w:pPr>
            <w:r>
              <w:rPr>
                <w:spacing w:val="4"/>
              </w:rPr>
              <w:t xml:space="preserve">Accounting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86" w:type="dxa"/>
            <w:tcBorders/>
            <w:shd w:fill="CCEEFF" w:val="clear"/>
            <w:vAlign w:val="center"/>
          </w:tcPr>
          <w:p>
            <w:pPr>
              <w:pStyle w:val="TableContents"/>
              <w:bidi w:val="0"/>
              <w:spacing w:before="0" w:after="283"/>
              <w:jc w:val="right"/>
              <w:rPr/>
            </w:pPr>
            <w:r>
              <w:rPr/>
              <w:t>​</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15" w:type="dxa"/>
            <w:tcBorders/>
            <w:vAlign w:val="center"/>
          </w:tcPr>
          <w:p>
            <w:pPr>
              <w:pStyle w:val="TableContents"/>
              <w:bidi w:val="0"/>
              <w:spacing w:before="0" w:after="0"/>
              <w:jc w:val="left"/>
              <w:rPr>
                <w:spacing w:val="4"/>
              </w:rPr>
            </w:pPr>
            <w:r>
              <w:rPr>
                <w:spacing w:val="4"/>
              </w:rPr>
              <w:t xml:space="preserve">Printing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115"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Miscellaneous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15" w:type="dxa"/>
            <w:tcBorders/>
            <w:vAlign w:val="center"/>
          </w:tcPr>
          <w:p>
            <w:pPr>
              <w:pStyle w:val="TableContents"/>
              <w:bidi w:val="0"/>
              <w:spacing w:before="0" w:after="0"/>
              <w:ind w:left="200" w:right="0" w:hanging="0"/>
              <w:jc w:val="left"/>
              <w:rPr>
                <w:spacing w:val="4"/>
              </w:rPr>
            </w:pPr>
            <w:r>
              <w:rPr>
                <w:spacing w:val="4"/>
              </w:rPr>
              <w:t xml:space="preserve">Total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Excludes registration fee offset pursuant to Rule 457(p). </w:t>
      </w:r>
      <w:r>
        <mc:AlternateContent>
          <mc:Choice Requires="wps">
            <w:drawing>
              <wp:anchor behindDoc="0" distT="93980" distB="0" distL="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fees are calculated based on the number of issuances and amount of securities offered and accordingly cannot be estimated at this time. </w:t>
      </w:r>
      <w:r>
        <mc:AlternateContent>
          <mc:Choice Requires="wps">
            <w:drawing>
              <wp:anchor behindDoc="0" distT="43180" distB="0" distL="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4pt;mso-wrap-distance-bottom:0pt;margin-top:3.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15.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17-108 of the Delaware Revised Uniform Limited Partnership Act empowers a Delaware limited partnership to indemnify and hold harmless any partner or other persons from and against all claims and demands whatsoever. Under Plains GP Holdings, L.P.’s partnership agreement and subject to specified limitations expressly in its partnership agreement, Plains GP Holdings, L.P. shall indemnify to the fullest extent permitted by Delaware law: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its general partner; </w:t>
      </w:r>
      <w:r>
        <mc:AlternateContent>
          <mc:Choice Requires="wps">
            <w:drawing>
              <wp:anchor behindDoc="0" distT="7366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departing general partner; </w:t>
      </w:r>
      <w:r>
        <mc:AlternateContent>
          <mc:Choice Requires="wps">
            <w:drawing>
              <wp:anchor behindDoc="0" distT="6858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Legacy Owners; </w:t>
      </w:r>
      <w:r>
        <mc:AlternateContent>
          <mc:Choice Requires="wps">
            <w:drawing>
              <wp:anchor behindDoc="0" distT="6858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Qualifying Interest Holders (as defined in the partnership agreement); </w:t>
      </w:r>
      <w:r>
        <mc:AlternateContent>
          <mc:Choice Requires="wps">
            <w:drawing>
              <wp:anchor behindDoc="0" distT="6858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who is or was an affiliate of its general partner, any departing general partner, the Legacy Owners or any Qualifying Interest Holder; </w:t>
      </w:r>
      <w:r>
        <mc:AlternateContent>
          <mc:Choice Requires="wps">
            <w:drawing>
              <wp:anchor behindDoc="0" distT="6731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who is or was a managing member, manager, general partner, director, officer, fiduciary, agent or trustee of its general partner or any departing general partner or any affiliate of its general partner, any departing general partner or the Legacy Owners; </w:t>
      </w:r>
      <w:r>
        <mc:AlternateContent>
          <mc:Choice Requires="wps">
            <w:drawing>
              <wp:anchor behindDoc="0" distT="6731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who is or was serving at the request of our general partner or any departing general partner or any affiliate of our general partner, any departing general partner, the Legacy Owners or a Qualifying Interest Holder as an officer, director, member, partner, fiduciary or trustee of another person; or </w:t>
      </w:r>
      <w:r>
        <mc:AlternateContent>
          <mc:Choice Requires="wps">
            <w:drawing>
              <wp:anchor behindDoc="0" distT="6731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designated by its general partner </w:t>
      </w:r>
      <w:r>
        <mc:AlternateContent>
          <mc:Choice Requires="wps">
            <w:drawing>
              <wp:anchor behindDoc="0" distT="6731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and against all losses, claims, damages or similar events arising by reason of such person’s above mentioned position with respect to Plains GP Holdings, L.P. Provided, that such person shall not be indemnified and held harmless if there has been a final and non-appealable judgment entered by a court determining that such person acted in bad faith or engaged in fraud, willful misconduct or acted with the knowledge that his or her conduct was unlawful. Any indemnification under Plains GP Holdings, L.P.’s partnership agreement will only be out of its assets. Plains GP Holdings, L.P. is authorized to purchase insurance against liabilities asserted against and expenses incurred by persons from Plains GP Holdings, L.P.’s activities, regardless of whether Plains GP Holdings, L.P. would have the power to indemnify the person against liabilities under Plains GP Holdings, L.P.’s partnership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underwriting agreements that we may enter into with respect to the offer and sale of securities covered by this registration statement will contain certain provisions for the indemnification of directors and officers and the underwriters or sales agent, as applicable, against civil liabilities under the Securities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16.   Exhibits.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882"/>
        <w:gridCol w:w="109"/>
        <w:gridCol w:w="109"/>
        <w:gridCol w:w="357"/>
        <w:gridCol w:w="109"/>
        <w:gridCol w:w="109"/>
        <w:gridCol w:w="6858"/>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82" w:type="dxa"/>
            <w:tcBorders>
              <w:bottom w:val="single" w:sz="2" w:space="0" w:color="000000"/>
            </w:tcBorders>
            <w:tcMar>
              <w:bottom w:w="43" w:type="dxa"/>
            </w:tcMar>
            <w:vAlign w:val="center"/>
          </w:tcPr>
          <w:p>
            <w:pPr>
              <w:pStyle w:val="TableContents"/>
              <w:bidi w:val="0"/>
              <w:spacing w:before="0" w:after="0"/>
              <w:jc w:val="center"/>
              <w:rPr/>
            </w:pPr>
            <w:r>
              <w:rPr>
                <w:spacing w:val="-3"/>
              </w:rPr>
              <w:t xml:space="preserve">Exhibit </w:t>
            </w:r>
            <w:r>
              <w:rPr/>
              <w:br/>
            </w: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5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858"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ind w:left="100" w:right="0" w:hanging="0"/>
              <w:jc w:val="left"/>
              <w:rPr>
                <w:spacing w:val="4"/>
              </w:rPr>
            </w:pPr>
            <w:r>
              <w:rPr>
                <w:spacing w:val="4"/>
              </w:rPr>
              <w:t xml:space="preserve">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 w:type="dxa"/>
            <w:tcBorders/>
            <w:tcMar>
              <w:bottom w:w="0" w:type="dxa"/>
            </w:tcMar>
            <w:vAlign w:val="center"/>
          </w:tcPr>
          <w:p>
            <w:pPr>
              <w:pStyle w:val="TableContents"/>
              <w:bidi w:val="0"/>
              <w:spacing w:before="0" w:after="283"/>
              <w:jc w:val="left"/>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58" w:type="dxa"/>
            <w:tcBorders/>
            <w:tcMar>
              <w:bottom w:w="0" w:type="dxa"/>
            </w:tcMar>
            <w:vAlign w:val="center"/>
          </w:tcPr>
          <w:p>
            <w:pPr>
              <w:pStyle w:val="TableContents"/>
              <w:bidi w:val="0"/>
              <w:spacing w:before="0" w:after="283"/>
              <w:jc w:val="left"/>
              <w:rPr>
                <w:spacing w:val="4"/>
              </w:rPr>
            </w:pPr>
            <w:r>
              <w:rPr>
                <w:spacing w:val="4"/>
              </w:rPr>
              <w:t xml:space="preserve">Form of Underwriting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ind w:left="100" w:right="0" w:hanging="0"/>
              <w:jc w:val="left"/>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 w:type="dxa"/>
            <w:tcBorders/>
            <w:tcMar>
              <w:bottom w:w="0" w:type="dxa"/>
            </w:tcMar>
            <w:vAlign w:val="center"/>
          </w:tcPr>
          <w:p>
            <w:pPr>
              <w:pStyle w:val="TableContents"/>
              <w:bidi w:val="0"/>
              <w:spacing w:before="0" w:after="283"/>
              <w:jc w:val="left"/>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58" w:type="dxa"/>
            <w:tcBorders/>
            <w:tcMar>
              <w:bottom w:w="0" w:type="dxa"/>
            </w:tcMar>
            <w:vAlign w:val="center"/>
          </w:tcPr>
          <w:p>
            <w:pPr>
              <w:pStyle w:val="TableContents"/>
              <w:bidi w:val="0"/>
              <w:spacing w:before="0" w:after="0"/>
              <w:jc w:val="left"/>
              <w:rPr/>
            </w:pPr>
            <w:hyperlink r:id="rId17">
              <w:r>
                <w:rPr>
                  <w:rStyle w:val="InternetLink"/>
                  <w:spacing w:val="4"/>
                </w:rPr>
                <w:t>Certificate of Limited Partnership of Plains GP Holdings, L.P. (incorporated by reference to Exhibit 3.1 to our Registration Statement on Form S-1 (333-190227) filed July 29, 2013).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ind w:left="100" w:right="0" w:hanging="0"/>
              <w:jc w:val="left"/>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 w:type="dxa"/>
            <w:tcBorders/>
            <w:tcMar>
              <w:bottom w:w="0" w:type="dxa"/>
            </w:tcMar>
            <w:vAlign w:val="center"/>
          </w:tcPr>
          <w:p>
            <w:pPr>
              <w:pStyle w:val="TableContents"/>
              <w:bidi w:val="0"/>
              <w:spacing w:before="0" w:after="283"/>
              <w:jc w:val="left"/>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58" w:type="dxa"/>
            <w:tcBorders/>
            <w:tcMar>
              <w:bottom w:w="0" w:type="dxa"/>
            </w:tcMar>
            <w:vAlign w:val="center"/>
          </w:tcPr>
          <w:p>
            <w:pPr>
              <w:pStyle w:val="TableContents"/>
              <w:bidi w:val="0"/>
              <w:spacing w:before="0" w:after="0"/>
              <w:jc w:val="left"/>
              <w:rPr/>
            </w:pPr>
            <w:hyperlink r:id="rId18">
              <w:r>
                <w:rPr>
                  <w:rStyle w:val="InternetLink"/>
                  <w:spacing w:val="4"/>
                </w:rPr>
                <w:t>Second Amended and Restated Limited Partnership Agreement of Plains GP Holdings, L.P., dated as of November 15, 2016 (incorporated by reference to Exhibit 3.2 to the Current Report on Form 8-K filed November 21, 2016).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ind w:left="100" w:right="0" w:hanging="0"/>
              <w:jc w:val="left"/>
              <w:rPr>
                <w:spacing w:val="4"/>
              </w:rPr>
            </w:pPr>
            <w:r>
              <w:rPr>
                <w:spacing w:val="4"/>
              </w:rPr>
              <w:t xml:space="preserve">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 w:type="dxa"/>
            <w:tcBorders/>
            <w:tcMar>
              <w:bottom w:w="0" w:type="dxa"/>
            </w:tcMar>
            <w:vAlign w:val="center"/>
          </w:tcPr>
          <w:p>
            <w:pPr>
              <w:pStyle w:val="TableContents"/>
              <w:bidi w:val="0"/>
              <w:spacing w:before="0" w:after="283"/>
              <w:jc w:val="left"/>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58" w:type="dxa"/>
            <w:tcBorders/>
            <w:tcMar>
              <w:bottom w:w="0" w:type="dxa"/>
            </w:tcMar>
            <w:vAlign w:val="center"/>
          </w:tcPr>
          <w:p>
            <w:pPr>
              <w:pStyle w:val="TableContents"/>
              <w:bidi w:val="0"/>
              <w:spacing w:before="0" w:after="0"/>
              <w:jc w:val="left"/>
              <w:rPr/>
            </w:pPr>
            <w:hyperlink r:id="rId19">
              <w:r>
                <w:rPr>
                  <w:rStyle w:val="InternetLink"/>
                  <w:spacing w:val="4"/>
                </w:rPr>
                <w:t>Amendment No. 1 dated April 6, 2020 to the Second Amended and Restated Agreement of Limited Partnership of Plains GP Holdings, L.P. (incorporated by reference to Exhibit 3.1 to our Current Report on Form 8-K filed April 9, 2020).</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ind w:left="100" w:right="0" w:hanging="0"/>
              <w:jc w:val="left"/>
              <w:rPr>
                <w:spacing w:val="4"/>
              </w:rPr>
            </w:pPr>
            <w:r>
              <w:rPr>
                <w:spacing w:val="4"/>
              </w:rPr>
              <w:t xml:space="preserve">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 w:type="dxa"/>
            <w:tcBorders/>
            <w:tcMar>
              <w:bottom w:w="0" w:type="dxa"/>
            </w:tcMar>
            <w:vAlign w:val="center"/>
          </w:tcPr>
          <w:p>
            <w:pPr>
              <w:pStyle w:val="TableContents"/>
              <w:bidi w:val="0"/>
              <w:spacing w:before="0" w:after="283"/>
              <w:jc w:val="left"/>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58" w:type="dxa"/>
            <w:tcBorders/>
            <w:tcMar>
              <w:bottom w:w="0" w:type="dxa"/>
            </w:tcMar>
            <w:vAlign w:val="center"/>
          </w:tcPr>
          <w:p>
            <w:pPr>
              <w:pStyle w:val="TableContents"/>
              <w:bidi w:val="0"/>
              <w:spacing w:before="0" w:after="0"/>
              <w:jc w:val="left"/>
              <w:rPr/>
            </w:pPr>
            <w:hyperlink r:id="rId20">
              <w:r>
                <w:rPr>
                  <w:rStyle w:val="InternetLink"/>
                  <w:spacing w:val="4"/>
                </w:rPr>
                <w:t>Certificate of Formation of PAA GP Holdings LLC (incorporated by reference to Exhibit 3.3 to our Registration Statement on Form S-1 (333-190227) filed July 29, 2013).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ind w:left="100" w:right="0" w:hanging="0"/>
              <w:jc w:val="left"/>
              <w:rPr>
                <w:spacing w:val="4"/>
              </w:rPr>
            </w:pPr>
            <w:r>
              <w:rPr>
                <w:spacing w:val="4"/>
              </w:rPr>
              <w:t xml:space="preserve">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 w:type="dxa"/>
            <w:tcBorders/>
            <w:tcMar>
              <w:bottom w:w="0" w:type="dxa"/>
            </w:tcMar>
            <w:vAlign w:val="center"/>
          </w:tcPr>
          <w:p>
            <w:pPr>
              <w:pStyle w:val="TableContents"/>
              <w:bidi w:val="0"/>
              <w:spacing w:before="0" w:after="283"/>
              <w:jc w:val="left"/>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58" w:type="dxa"/>
            <w:tcBorders/>
            <w:tcMar>
              <w:bottom w:w="0" w:type="dxa"/>
            </w:tcMar>
            <w:vAlign w:val="center"/>
          </w:tcPr>
          <w:p>
            <w:pPr>
              <w:pStyle w:val="TableContents"/>
              <w:bidi w:val="0"/>
              <w:spacing w:before="0" w:after="0"/>
              <w:jc w:val="left"/>
              <w:rPr/>
            </w:pPr>
            <w:hyperlink r:id="rId21">
              <w:r>
                <w:rPr>
                  <w:rStyle w:val="InternetLink"/>
                  <w:spacing w:val="4"/>
                </w:rPr>
                <w:t>Fourth Amended and Restated Limited Liability Company Agreement of PAA GP Holdings LLC dated effective as of August 19, 2021 (incorporated by reference to Exhibit 3.11 to our Annual Report on Form 10-K for the year ended December 31, 2021).</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ind w:left="100" w:right="0" w:hanging="0"/>
              <w:jc w:val="left"/>
              <w:rPr>
                <w:spacing w:val="4"/>
              </w:rPr>
            </w:pPr>
            <w:r>
              <w:rPr>
                <w:spacing w:val="4"/>
              </w:rPr>
              <w:t xml:space="preserve">3.6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 w:type="dxa"/>
            <w:tcBorders/>
            <w:tcMar>
              <w:bottom w:w="0" w:type="dxa"/>
            </w:tcMar>
            <w:vAlign w:val="center"/>
          </w:tcPr>
          <w:p>
            <w:pPr>
              <w:pStyle w:val="TableContents"/>
              <w:bidi w:val="0"/>
              <w:spacing w:before="0" w:after="283"/>
              <w:jc w:val="left"/>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58" w:type="dxa"/>
            <w:tcBorders/>
            <w:tcMar>
              <w:bottom w:w="0" w:type="dxa"/>
            </w:tcMar>
            <w:vAlign w:val="center"/>
          </w:tcPr>
          <w:p>
            <w:pPr>
              <w:pStyle w:val="TableContents"/>
              <w:bidi w:val="0"/>
              <w:spacing w:before="0" w:after="0"/>
              <w:jc w:val="left"/>
              <w:rPr/>
            </w:pPr>
            <w:hyperlink r:id="rId22">
              <w:r>
                <w:rPr>
                  <w:rStyle w:val="InternetLink"/>
                  <w:spacing w:val="4"/>
                </w:rPr>
                <w:t>Seventh Amended and Restated Agreement of Limited Partnership of Plains All American Pipeline, L.P., dated as of October 10, 2017 (incorporated by reference to Exhibit 3.1 to PAA’s Current Report on Form 8-K filed October 12, 2017).</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ind w:left="100" w:right="0" w:hanging="0"/>
              <w:jc w:val="left"/>
              <w:rPr>
                <w:spacing w:val="4"/>
              </w:rPr>
            </w:pPr>
            <w:r>
              <w:rPr>
                <w:spacing w:val="4"/>
              </w:rPr>
              <w:t xml:space="preserve">3.7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 w:type="dxa"/>
            <w:tcBorders/>
            <w:tcMar>
              <w:bottom w:w="0" w:type="dxa"/>
            </w:tcMar>
            <w:vAlign w:val="center"/>
          </w:tcPr>
          <w:p>
            <w:pPr>
              <w:pStyle w:val="TableContents"/>
              <w:bidi w:val="0"/>
              <w:spacing w:before="0" w:after="283"/>
              <w:jc w:val="left"/>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58" w:type="dxa"/>
            <w:tcBorders/>
            <w:tcMar>
              <w:bottom w:w="0" w:type="dxa"/>
            </w:tcMar>
            <w:vAlign w:val="center"/>
          </w:tcPr>
          <w:p>
            <w:pPr>
              <w:pStyle w:val="TableContents"/>
              <w:bidi w:val="0"/>
              <w:spacing w:before="0" w:after="0"/>
              <w:jc w:val="left"/>
              <w:rPr/>
            </w:pPr>
            <w:hyperlink r:id="rId23">
              <w:r>
                <w:rPr>
                  <w:rStyle w:val="InternetLink"/>
                  <w:spacing w:val="4"/>
                </w:rPr>
                <w:t>Seventh Amended and Restated Limited Liability Company Agreement of Plains All American GP LLC dated November 15, 2016 (incorporated by reference to Exhibit 3.3 to our Current Report on Form 8-K filed November 21, 2016).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ind w:left="100" w:right="0" w:hanging="0"/>
              <w:jc w:val="left"/>
              <w:rPr>
                <w:spacing w:val="4"/>
              </w:rPr>
            </w:pPr>
            <w:r>
              <w:rPr>
                <w:spacing w:val="4"/>
              </w:rPr>
              <w:t xml:space="preserve">3.8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 w:type="dxa"/>
            <w:tcBorders/>
            <w:tcMar>
              <w:bottom w:w="0" w:type="dxa"/>
            </w:tcMar>
            <w:vAlign w:val="center"/>
          </w:tcPr>
          <w:p>
            <w:pPr>
              <w:pStyle w:val="TableContents"/>
              <w:bidi w:val="0"/>
              <w:spacing w:before="0" w:after="283"/>
              <w:jc w:val="left"/>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58" w:type="dxa"/>
            <w:tcBorders/>
            <w:tcMar>
              <w:bottom w:w="0" w:type="dxa"/>
            </w:tcMar>
            <w:vAlign w:val="center"/>
          </w:tcPr>
          <w:p>
            <w:pPr>
              <w:pStyle w:val="TableContents"/>
              <w:bidi w:val="0"/>
              <w:spacing w:before="0" w:after="0"/>
              <w:jc w:val="left"/>
              <w:rPr/>
            </w:pPr>
            <w:hyperlink r:id="rId24">
              <w:r>
                <w:rPr>
                  <w:rStyle w:val="InternetLink"/>
                  <w:spacing w:val="4"/>
                </w:rPr>
                <w:t>Eighth Amended and Restated Limited Partnership Agreement of Plains AAP, L.P. dated November 15, 2016 (incorporated by reference to Exhibit 3.4 to our Current Report on Form 8-K filed November 21, 2016).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ind w:left="100" w:right="0" w:hanging="0"/>
              <w:jc w:val="left"/>
              <w:rPr>
                <w:spacing w:val="4"/>
              </w:rPr>
            </w:pPr>
            <w:r>
              <w:rPr>
                <w:spacing w:val="4"/>
              </w:rPr>
              <w:t xml:space="preserve">3.9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 w:type="dxa"/>
            <w:tcBorders/>
            <w:tcMar>
              <w:bottom w:w="0" w:type="dxa"/>
            </w:tcMar>
            <w:vAlign w:val="center"/>
          </w:tcPr>
          <w:p>
            <w:pPr>
              <w:pStyle w:val="TableContents"/>
              <w:bidi w:val="0"/>
              <w:spacing w:before="0" w:after="283"/>
              <w:jc w:val="left"/>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58" w:type="dxa"/>
            <w:tcBorders/>
            <w:tcMar>
              <w:bottom w:w="0" w:type="dxa"/>
            </w:tcMar>
            <w:vAlign w:val="center"/>
          </w:tcPr>
          <w:p>
            <w:pPr>
              <w:pStyle w:val="TableContents"/>
              <w:bidi w:val="0"/>
              <w:spacing w:before="0" w:after="0"/>
              <w:jc w:val="left"/>
              <w:rPr/>
            </w:pPr>
            <w:hyperlink r:id="rId25">
              <w:r>
                <w:rPr>
                  <w:rStyle w:val="InternetLink"/>
                  <w:spacing w:val="4"/>
                </w:rPr>
                <w:t>Amendment No. 1 dated September 26, 2018 to the Eighth Amended and Restated Limited Partnership Agreement of Plains AAP, L.P. (incorporated by reference to Exhibit 3.1 to our Current Report on Form 8-K filed October 2, 2018).</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ind w:left="100" w:right="0" w:hanging="0"/>
              <w:jc w:val="left"/>
              <w:rPr>
                <w:spacing w:val="4"/>
              </w:rPr>
            </w:pPr>
            <w:r>
              <w:rPr>
                <w:spacing w:val="4"/>
              </w:rPr>
              <w:t xml:space="preserve">3.10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 w:type="dxa"/>
            <w:tcBorders/>
            <w:tcMar>
              <w:bottom w:w="0" w:type="dxa"/>
            </w:tcMar>
            <w:vAlign w:val="center"/>
          </w:tcPr>
          <w:p>
            <w:pPr>
              <w:pStyle w:val="TableContents"/>
              <w:bidi w:val="0"/>
              <w:spacing w:before="0" w:after="283"/>
              <w:jc w:val="left"/>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58" w:type="dxa"/>
            <w:tcBorders/>
            <w:tcMar>
              <w:bottom w:w="0" w:type="dxa"/>
            </w:tcMar>
            <w:vAlign w:val="center"/>
          </w:tcPr>
          <w:p>
            <w:pPr>
              <w:pStyle w:val="TableContents"/>
              <w:bidi w:val="0"/>
              <w:spacing w:before="0" w:after="0"/>
              <w:jc w:val="left"/>
              <w:rPr/>
            </w:pPr>
            <w:hyperlink r:id="rId26">
              <w:r>
                <w:rPr>
                  <w:rStyle w:val="InternetLink"/>
                  <w:spacing w:val="4"/>
                </w:rPr>
                <w:t>Amendment No. 2 dated May 23, 2019 to the Eighth Amended and Restated Limited Partnership Agreement of Plains AAP, L.P. (incorporated by reference to Exhibit 3.1 to our Current Report on Form 8-K filed May 30, 2019).</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ind w:left="100" w:right="0" w:hanging="0"/>
              <w:jc w:val="left"/>
              <w:rPr>
                <w:spacing w:val="4"/>
              </w:rPr>
            </w:pPr>
            <w:r>
              <w:rPr>
                <w:spacing w:val="4"/>
              </w:rPr>
              <w:t xml:space="preserve">3.11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58" w:type="dxa"/>
            <w:tcBorders/>
            <w:tcMar>
              <w:bottom w:w="0" w:type="dxa"/>
            </w:tcMar>
            <w:vAlign w:val="center"/>
          </w:tcPr>
          <w:p>
            <w:pPr>
              <w:pStyle w:val="TableContents"/>
              <w:bidi w:val="0"/>
              <w:spacing w:before="0" w:after="283"/>
              <w:jc w:val="left"/>
              <w:rPr/>
            </w:pPr>
            <w:hyperlink r:id="rId27">
              <w:r>
                <w:rPr>
                  <w:rStyle w:val="InternetLink"/>
                </w:rPr>
                <w:t>Amendment No. 3 dated August 17, 2023 to the Eighth Amended and Restated Limited Partnership Agreement of Plains AAP, L.P. (incorporated by reference to Exhibit 3.1 to our Current Report on Form 8-K filed August 21, 2023).</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ind w:left="100" w:right="0" w:hanging="0"/>
              <w:jc w:val="left"/>
              <w:rPr>
                <w:spacing w:val="4"/>
              </w:rPr>
            </w:pPr>
            <w:r>
              <w:rPr>
                <w:spacing w:val="4"/>
              </w:rPr>
              <w:t xml:space="preserve">3.12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 w:type="dxa"/>
            <w:tcBorders/>
            <w:tcMar>
              <w:bottom w:w="0" w:type="dxa"/>
            </w:tcMar>
            <w:vAlign w:val="center"/>
          </w:tcPr>
          <w:p>
            <w:pPr>
              <w:pStyle w:val="TableContents"/>
              <w:bidi w:val="0"/>
              <w:spacing w:before="0" w:after="283"/>
              <w:jc w:val="left"/>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58" w:type="dxa"/>
            <w:tcBorders/>
            <w:tcMar>
              <w:bottom w:w="0" w:type="dxa"/>
            </w:tcMar>
            <w:vAlign w:val="center"/>
          </w:tcPr>
          <w:p>
            <w:pPr>
              <w:pStyle w:val="TableContents"/>
              <w:bidi w:val="0"/>
              <w:spacing w:before="0" w:after="0"/>
              <w:jc w:val="left"/>
              <w:rPr/>
            </w:pPr>
            <w:hyperlink r:id="rId28">
              <w:r>
                <w:rPr>
                  <w:rStyle w:val="InternetLink"/>
                  <w:spacing w:val="4"/>
                </w:rPr>
                <w:t>Limited Liability Company Agreement of PAA GP LLC dated December 28, 2007 (incorporated by reference to Exhibit 3.3 to PAA’s Current Report on Form 8-K filed January 4, 2008).</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ind w:left="100" w:right="0" w:hanging="0"/>
              <w:jc w:val="left"/>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 w:type="dxa"/>
            <w:tcBorders/>
            <w:tcMar>
              <w:bottom w:w="0" w:type="dxa"/>
            </w:tcMar>
            <w:vAlign w:val="center"/>
          </w:tcPr>
          <w:p>
            <w:pPr>
              <w:pStyle w:val="TableContents"/>
              <w:bidi w:val="0"/>
              <w:spacing w:before="0" w:after="283"/>
              <w:jc w:val="left"/>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58" w:type="dxa"/>
            <w:tcBorders/>
            <w:tcMar>
              <w:bottom w:w="0" w:type="dxa"/>
            </w:tcMar>
            <w:vAlign w:val="center"/>
          </w:tcPr>
          <w:p>
            <w:pPr>
              <w:pStyle w:val="TableContents"/>
              <w:bidi w:val="0"/>
              <w:spacing w:before="0" w:after="0"/>
              <w:jc w:val="left"/>
              <w:rPr/>
            </w:pPr>
            <w:hyperlink w:anchor="tm266712d2_ex5-1.htm">
              <w:r>
                <w:rPr>
                  <w:rStyle w:val="InternetLink"/>
                  <w:spacing w:val="4"/>
                </w:rPr>
                <w:t>Opinion of Vinson &amp; Elkins L.L.P. as to the legality of the securities being registered.</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ind w:left="100" w:right="0" w:hanging="0"/>
              <w:jc w:val="left"/>
              <w:rPr>
                <w:spacing w:val="4"/>
              </w:rPr>
            </w:pPr>
            <w:r>
              <w:rPr>
                <w:spacing w:val="4"/>
              </w:rPr>
              <w:t xml:space="preserve">8.1*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 w:type="dxa"/>
            <w:tcBorders/>
            <w:tcMar>
              <w:bottom w:w="0" w:type="dxa"/>
            </w:tcMar>
            <w:vAlign w:val="center"/>
          </w:tcPr>
          <w:p>
            <w:pPr>
              <w:pStyle w:val="TableContents"/>
              <w:bidi w:val="0"/>
              <w:spacing w:before="0" w:after="283"/>
              <w:jc w:val="left"/>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58" w:type="dxa"/>
            <w:tcBorders/>
            <w:tcMar>
              <w:bottom w:w="0" w:type="dxa"/>
            </w:tcMar>
            <w:vAlign w:val="center"/>
          </w:tcPr>
          <w:p>
            <w:pPr>
              <w:pStyle w:val="TableContents"/>
              <w:bidi w:val="0"/>
              <w:spacing w:before="0" w:after="0"/>
              <w:jc w:val="left"/>
              <w:rPr/>
            </w:pPr>
            <w:hyperlink w:anchor="tm266712d2_ex8-1.htm">
              <w:r>
                <w:rPr>
                  <w:rStyle w:val="InternetLink"/>
                  <w:spacing w:val="4"/>
                </w:rPr>
                <w:t>Opinion of Vinson &amp; Elkins L.L.P. relating to tax matters.</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 w:type="dxa"/>
            <w:tcBorders/>
            <w:tcMar>
              <w:bottom w:w="0" w:type="dxa"/>
            </w:tcMar>
            <w:vAlign w:val="center"/>
          </w:tcPr>
          <w:p>
            <w:pPr>
              <w:pStyle w:val="TableContents"/>
              <w:bidi w:val="0"/>
              <w:spacing w:before="0" w:after="283"/>
              <w:jc w:val="left"/>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58" w:type="dxa"/>
            <w:tcBorders/>
            <w:tcMar>
              <w:bottom w:w="0" w:type="dxa"/>
            </w:tcMar>
            <w:vAlign w:val="center"/>
          </w:tcPr>
          <w:p>
            <w:pPr>
              <w:pStyle w:val="TableContents"/>
              <w:bidi w:val="0"/>
              <w:spacing w:before="0" w:after="0"/>
              <w:jc w:val="left"/>
              <w:rPr/>
            </w:pPr>
            <w:hyperlink w:anchor="tm266712d2_ex23-1.htm">
              <w:r>
                <w:rPr>
                  <w:rStyle w:val="InternetLink"/>
                  <w:spacing w:val="4"/>
                </w:rPr>
                <w:t>Consent of PricewaterhouseCoopers LLP.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jc w:val="left"/>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 w:type="dxa"/>
            <w:tcBorders/>
            <w:tcMar>
              <w:bottom w:w="0" w:type="dxa"/>
            </w:tcMar>
            <w:vAlign w:val="center"/>
          </w:tcPr>
          <w:p>
            <w:pPr>
              <w:pStyle w:val="TableContents"/>
              <w:bidi w:val="0"/>
              <w:spacing w:before="0" w:after="283"/>
              <w:jc w:val="left"/>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58" w:type="dxa"/>
            <w:tcBorders/>
            <w:tcMar>
              <w:bottom w:w="0" w:type="dxa"/>
            </w:tcMar>
            <w:vAlign w:val="center"/>
          </w:tcPr>
          <w:p>
            <w:pPr>
              <w:pStyle w:val="TableContents"/>
              <w:bidi w:val="0"/>
              <w:spacing w:before="0" w:after="0"/>
              <w:jc w:val="left"/>
              <w:rPr/>
            </w:pPr>
            <w:hyperlink w:anchor="tm266712d2_ex23-2.htm">
              <w:r>
                <w:rPr>
                  <w:rStyle w:val="InternetLink"/>
                  <w:spacing w:val="4"/>
                </w:rPr>
                <w:t>Consent of KPMG LLP.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jc w:val="left"/>
              <w:rPr>
                <w:spacing w:val="4"/>
              </w:rPr>
            </w:pPr>
            <w:r>
              <w:rPr>
                <w:spacing w:val="4"/>
              </w:rPr>
              <w:t xml:space="preserve">23.3*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 w:type="dxa"/>
            <w:tcBorders/>
            <w:tcMar>
              <w:bottom w:w="0" w:type="dxa"/>
            </w:tcMar>
            <w:vAlign w:val="center"/>
          </w:tcPr>
          <w:p>
            <w:pPr>
              <w:pStyle w:val="TableContents"/>
              <w:bidi w:val="0"/>
              <w:spacing w:before="0" w:after="283"/>
              <w:jc w:val="left"/>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58" w:type="dxa"/>
            <w:tcBorders/>
            <w:tcMar>
              <w:bottom w:w="0" w:type="dxa"/>
            </w:tcMar>
            <w:vAlign w:val="center"/>
          </w:tcPr>
          <w:p>
            <w:pPr>
              <w:pStyle w:val="TableContents"/>
              <w:bidi w:val="0"/>
              <w:spacing w:before="0" w:after="283"/>
              <w:jc w:val="left"/>
              <w:rPr/>
            </w:pPr>
            <w:r>
              <w:rPr>
                <w:spacing w:val="4"/>
              </w:rPr>
              <w:t xml:space="preserve">Consent of Vinson &amp; Elkins L.L.P. (contained in </w:t>
            </w:r>
            <w:hyperlink w:anchor="tm266712d2_ex5-1.htm">
              <w:r>
                <w:rPr>
                  <w:rStyle w:val="InternetLink"/>
                  <w:spacing w:val="4"/>
                </w:rPr>
                <w:t>Exhibits 5.1</w:t>
              </w:r>
            </w:hyperlink>
            <w:r>
              <w:rPr>
                <w:spacing w:val="4"/>
              </w:rPr>
              <w:t xml:space="preserve"> and </w:t>
            </w:r>
            <w:hyperlink w:anchor="tm266712d2_ex8-1.htm">
              <w:r>
                <w:rPr>
                  <w:rStyle w:val="InternetLink"/>
                  <w:spacing w:val="4"/>
                </w:rPr>
                <w:t>8.1</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jc w:val="left"/>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 w:type="dxa"/>
            <w:tcBorders/>
            <w:tcMar>
              <w:bottom w:w="0" w:type="dxa"/>
            </w:tcMar>
            <w:vAlign w:val="center"/>
          </w:tcPr>
          <w:p>
            <w:pPr>
              <w:pStyle w:val="TableContents"/>
              <w:bidi w:val="0"/>
              <w:spacing w:before="0" w:after="283"/>
              <w:jc w:val="left"/>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58" w:type="dxa"/>
            <w:tcBorders/>
            <w:tcMar>
              <w:bottom w:w="0" w:type="dxa"/>
            </w:tcMar>
            <w:vAlign w:val="center"/>
          </w:tcPr>
          <w:p>
            <w:pPr>
              <w:pStyle w:val="TableContents"/>
              <w:bidi w:val="0"/>
              <w:spacing w:before="0" w:after="0"/>
              <w:jc w:val="left"/>
              <w:rPr/>
            </w:pPr>
            <w:hyperlink w:anchor="tPOT1">
              <w:r>
                <w:rPr>
                  <w:rStyle w:val="InternetLink"/>
                  <w:spacing w:val="4"/>
                </w:rPr>
                <w:t xml:space="preserve">Power of Attorney (included on signature pages of this registration statement).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jc w:val="left"/>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 w:type="dxa"/>
            <w:tcBorders/>
            <w:tcMar>
              <w:bottom w:w="0" w:type="dxa"/>
            </w:tcMar>
            <w:vAlign w:val="center"/>
          </w:tcPr>
          <w:p>
            <w:pPr>
              <w:pStyle w:val="TableContents"/>
              <w:bidi w:val="0"/>
              <w:spacing w:before="0" w:after="283"/>
              <w:jc w:val="left"/>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58" w:type="dxa"/>
            <w:tcBorders/>
            <w:tcMar>
              <w:bottom w:w="0" w:type="dxa"/>
            </w:tcMar>
            <w:vAlign w:val="center"/>
          </w:tcPr>
          <w:p>
            <w:pPr>
              <w:pStyle w:val="TableContents"/>
              <w:bidi w:val="0"/>
              <w:spacing w:before="0" w:after="0"/>
              <w:jc w:val="left"/>
              <w:rPr/>
            </w:pPr>
            <w:hyperlink w:anchor="tm266712d1_ex-filingfees.htm">
              <w:r>
                <w:rPr>
                  <w:rStyle w:val="InternetLink"/>
                  <w:spacing w:val="4"/>
                </w:rPr>
                <w:t>Filing Fee Table.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herewith. </w:t>
      </w:r>
      <w:r>
        <mc:AlternateContent>
          <mc:Choice Requires="wps">
            <w:drawing>
              <wp:anchor behindDoc="0" distT="99060" distB="0" distL="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filed as an exhibit to a report pursuant to Section 13(a) or 15(d) of the Securities Exchange Act of 1934 or in a post-effective amendment to this registration statement. </w:t>
      </w:r>
      <w:r>
        <mc:AlternateContent>
          <mc:Choice Requires="wps">
            <w:drawing>
              <wp:anchor behindDoc="0" distT="48260" distB="0" distL="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17.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r>
        <mc:AlternateContent>
          <mc:Choice Requires="wps">
            <w:drawing>
              <wp:anchor behindDoc="0" distT="101600" distB="0" distL="25400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during any period in which offers or sales are being made, a post-effective amendment to this registration statement: </w:t>
      </w:r>
      <w:r>
        <mc:AlternateContent>
          <mc:Choice Requires="wps">
            <w:drawing>
              <wp:anchor behindDoc="0" distT="99060" distB="0" distL="50800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prospectus required by Section 10(a)(3) of the Securities Act; </w:t>
      </w:r>
      <w:r>
        <mc:AlternateContent>
          <mc:Choice Requires="wps">
            <w:drawing>
              <wp:anchor behindDoc="0" distT="99060" distB="0" distL="76200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8pt;mso-wrap-distance-bottom:0pt;margin-top:7.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 </w:t>
      </w:r>
      <w:r>
        <mc:AlternateContent>
          <mc:Choice Requires="wps">
            <w:drawing>
              <wp:anchor behindDoc="0" distT="99060" distB="0" distL="76200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8pt;mso-wrap-distance-bottom:0pt;margin-top:7.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material information with respect to the plan of distribution not previously disclosed in the registration statement or any material change to such information in the registration statement; </w:t>
      </w:r>
      <w:r>
        <mc:AlternateContent>
          <mc:Choice Requires="wps">
            <w:drawing>
              <wp:anchor behindDoc="0" distT="99060" distB="0" distL="762000" distR="0" simplePos="0" locked="0" layoutInCell="1" allowOverlap="1" relativeHeight="114">
                <wp:simplePos x="0" y="0"/>
                <wp:positionH relativeFrom="column">
                  <wp:align>left</wp:align>
                </wp:positionH>
                <wp:positionV relativeFrom="line">
                  <wp:align>top</wp:align>
                </wp:positionV>
                <wp:extent cx="254000" cy="525780"/>
                <wp:effectExtent l="0" t="0" r="0" b="0"/>
                <wp:wrapSquare wrapText="right"/>
                <wp:docPr id="108" name="Frame10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7.8pt;mso-wrap-distance-bottom:0pt;margin-top:7.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paragraphs (i), (ii) and (iii) above do not apply if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 </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100330" distB="0" distL="50800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remove from registration by means of a post-effective amendment any of the securities being registered which remain unsold at the termination of the offering. </w:t>
      </w:r>
      <w:r>
        <mc:AlternateContent>
          <mc:Choice Requires="wps">
            <w:drawing>
              <wp:anchor behindDoc="0" distT="100330" distB="0" distL="50800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under the Securities Act to any purchaser: </w:t>
      </w:r>
      <w:r>
        <mc:AlternateContent>
          <mc:Choice Requires="wps">
            <w:drawing>
              <wp:anchor behindDoc="0" distT="100330" distB="0" distL="50800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filed by the registrant pursuant to Rule 424(b)(3) shall be deemed to be part of the registration statement as of the date the filed prospectus was deemed part of and included in the registration statement; and </w:t>
      </w:r>
      <w:r>
        <mc:AlternateContent>
          <mc:Choice Requires="wps">
            <w:drawing>
              <wp:anchor behindDoc="0" distT="100330" distB="0" distL="76200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9pt;mso-wrap-distance-bottom:0pt;margin-top:7.9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w:t>
      </w:r>
      <w:r>
        <mc:AlternateContent>
          <mc:Choice Requires="wps">
            <w:drawing>
              <wp:anchor behindDoc="0" distT="100330" distB="0" distL="76200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9pt;mso-wrap-distance-bottom:0pt;margin-top:7.9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r>
        <mc:AlternateContent>
          <mc:Choice Requires="wps">
            <w:drawing>
              <wp:anchor behindDoc="0" distT="102870" distB="0" distL="50800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preliminary prospectus or prospectus of the undersigned registrant relating to the offering required to be filed pursuant to Rule 424; </w:t>
      </w:r>
      <w:r>
        <mc:AlternateContent>
          <mc:Choice Requires="wps">
            <w:drawing>
              <wp:anchor behindDoc="0" distT="102870" distB="0" distL="76200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1pt;mso-wrap-distance-bottom:0pt;margin-top:8.1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free writing prospectus relating to the offering prepared by or on behalf of the undersigned registrant or used or referred to by the undersigned registrant; </w:t>
      </w:r>
      <w:r>
        <mc:AlternateContent>
          <mc:Choice Requires="wps">
            <w:drawing>
              <wp:anchor behindDoc="0" distT="102870" distB="0" distL="762000" distR="0" simplePos="0" locked="0" layoutInCell="1" allowOverlap="1" relativeHeight="122">
                <wp:simplePos x="0" y="0"/>
                <wp:positionH relativeFrom="column">
                  <wp:align>left</wp:align>
                </wp:positionH>
                <wp:positionV relativeFrom="line">
                  <wp:align>top</wp:align>
                </wp:positionV>
                <wp:extent cx="254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1pt;mso-wrap-distance-bottom:0pt;margin-top:8.1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any other free writing prospectus relating to the offering containing material information about the undersigned registrant or its securities provided by or on behalf of the undersigned registrant; and </w:t>
      </w:r>
      <w:r>
        <mc:AlternateContent>
          <mc:Choice Requires="wps">
            <w:drawing>
              <wp:anchor behindDoc="0" distT="102870" distB="0" distL="762000" distR="0" simplePos="0" locked="0" layoutInCell="1" allowOverlap="1" relativeHeight="123">
                <wp:simplePos x="0" y="0"/>
                <wp:positionH relativeFrom="column">
                  <wp:align>left</wp:align>
                </wp:positionH>
                <wp:positionV relativeFrom="line">
                  <wp:align>top</wp:align>
                </wp:positionV>
                <wp:extent cx="254000" cy="525780"/>
                <wp:effectExtent l="0" t="0" r="0" b="0"/>
                <wp:wrapSquare wrapText="right"/>
                <wp:docPr id="117" name="Frame11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8.1pt;mso-wrap-distance-bottom:0pt;margin-top:8.1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communication that is an offer in the offering made by the undersigned registrant to the purchaser. </w:t>
      </w:r>
      <w:r>
        <mc:AlternateContent>
          <mc:Choice Requires="wps">
            <w:drawing>
              <wp:anchor behindDoc="0" distT="102870" distB="0" distL="762000" distR="0" simplePos="0" locked="0" layoutInCell="1" allowOverlap="1" relativeHeight="124">
                <wp:simplePos x="0" y="0"/>
                <wp:positionH relativeFrom="column">
                  <wp:align>left</wp:align>
                </wp:positionH>
                <wp:positionV relativeFrom="line">
                  <wp:align>top</wp:align>
                </wp:positionV>
                <wp:extent cx="254000" cy="525780"/>
                <wp:effectExtent l="0" t="0" r="0" b="0"/>
                <wp:wrapSquare wrapText="right"/>
                <wp:docPr id="118" name="Frame11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8.1pt;mso-wrap-distance-bottom:0pt;margin-top:8.1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102870" distB="0" distL="254000" distR="0" simplePos="0" locked="0" layoutInCell="1" allowOverlap="1" relativeHeight="125">
                <wp:simplePos x="0" y="0"/>
                <wp:positionH relativeFrom="column">
                  <wp:align>left</wp:align>
                </wp:positionH>
                <wp:positionV relativeFrom="line">
                  <wp:align>top</wp:align>
                </wp:positionV>
                <wp:extent cx="254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indemnification for liabilities arising under the Securities Act may be permitted to directors, officers and controlling persons of the registrant pursuant to the provisions described in Item 15 above,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r>
        <mc:AlternateContent>
          <mc:Choice Requires="wps">
            <w:drawing>
              <wp:anchor behindDoc="0" distT="102870" distB="0" distL="254000" distR="0" simplePos="0" locked="0" layoutInCell="1" allowOverlap="1" relativeHeight="126">
                <wp:simplePos x="0" y="0"/>
                <wp:positionH relativeFrom="column">
                  <wp:align>left</wp:align>
                </wp:positionH>
                <wp:positionV relativeFrom="line">
                  <wp:align>top</wp:align>
                </wp:positionV>
                <wp:extent cx="254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that, for purposes of determining any liability under the Securities Act: </w:t>
      </w:r>
      <w:r>
        <mc:AlternateContent>
          <mc:Choice Requires="wps">
            <w:drawing>
              <wp:anchor behindDoc="0" distT="102870" distB="0" distL="254000" distR="0" simplePos="0" locked="0" layoutInCell="1" allowOverlap="1" relativeHeight="127">
                <wp:simplePos x="0" y="0"/>
                <wp:positionH relativeFrom="column">
                  <wp:align>left</wp:align>
                </wp:positionH>
                <wp:positionV relativeFrom="line">
                  <wp:align>top</wp:align>
                </wp:positionV>
                <wp:extent cx="254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omitted from the form of prospectus filed as part of this registration statement in reliance on Rule 430A and contained in a form of prospectus filed by the registrant </w:t>
      </w:r>
      <w:r>
        <mc:AlternateContent>
          <mc:Choice Requires="wps">
            <w:drawing>
              <wp:anchor behindDoc="0" distT="102870" distB="0" distL="508000" distR="0" simplePos="0" locked="0" layoutInCell="1" allowOverlap="1" relativeHeight="128">
                <wp:simplePos x="0" y="0"/>
                <wp:positionH relativeFrom="column">
                  <wp:align>left</wp:align>
                </wp:positionH>
                <wp:positionV relativeFrom="line">
                  <wp:align>top</wp:align>
                </wp:positionV>
                <wp:extent cx="254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Rule 424(b) (1) or (4) or 497(h) under the Securities Act shall be deemed to be part of this registration statement as of the time it was declared effective. </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Each post-effective amendment that contains a form of prospectus shall be deemed to be a new registration statement relating to the securities offered therein, and the offering of such securities at that time shall be deemed to be the initial bona fide offering thereof.</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508000" distR="0" simplePos="0" locked="0" layoutInCell="1" allowOverlap="1" relativeHeight="129">
                <wp:simplePos x="0" y="0"/>
                <wp:positionH relativeFrom="column">
                  <wp:align>left</wp:align>
                </wp:positionH>
                <wp:positionV relativeFrom="line">
                  <wp:align>top</wp:align>
                </wp:positionV>
                <wp:extent cx="254000" cy="304800"/>
                <wp:effectExtent l="0" t="0" r="0" b="0"/>
                <wp:wrapSquare wrapText="right"/>
                <wp:docPr id="123" name="Frame122"/>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POT1"/>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as amended, the registrant certifies that it has reasonable grounds to believe that it meets all the requirements for filing on Form S-3 and has duly caused this Registration Statement to be signed on its behalf by the undersigned, thereunto duly authorized, in the City of Houston, State of Texas, on March 30, 2026.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PLAINS GP HOLDINGS, L.P.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PAA GP HOLDINGS LLC,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its general partner </w:t>
      </w:r>
      <w:r>
        <mc:AlternateContent>
          <mc:Choice Requires="wps">
            <w:drawing>
              <wp:anchor behindDoc="0" distT="304800" distB="0" distL="2794000" distR="0" simplePos="0" locked="0" layoutInCell="1" allowOverlap="1" relativeHeight="130">
                <wp:simplePos x="0" y="0"/>
                <wp:positionH relativeFrom="column">
                  <wp:align>left</wp:align>
                </wp:positionH>
                <wp:positionV relativeFrom="line">
                  <wp:align>top</wp:align>
                </wp:positionV>
                <wp:extent cx="254000" cy="525780"/>
                <wp:effectExtent l="0" t="0" r="0" b="0"/>
                <wp:wrapSquare wrapText="right"/>
                <wp:docPr id="124" name="Frame12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24pt;mso-wrap-distance-bottom:0pt;margin-top:24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76"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Willie Chiang</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2260" distB="0" distL="2794000" distR="0" simplePos="0" locked="0" layoutInCell="1" allowOverlap="1" relativeHeight="131">
                <wp:simplePos x="0" y="0"/>
                <wp:positionH relativeFrom="column">
                  <wp:align>left</wp:align>
                </wp:positionH>
                <wp:positionV relativeFrom="line">
                  <wp:align>top</wp:align>
                </wp:positionV>
                <wp:extent cx="254000" cy="525780"/>
                <wp:effectExtent l="0" t="0" r="0" b="0"/>
                <wp:wrapSquare wrapText="right"/>
                <wp:docPr id="125" name="Frame12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23.8pt;mso-wrap-distance-bottom:0pt;margin-top:23.8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6" w:after="0"/>
        <w:ind w:left="683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Willie Chiang</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2860" distB="0" distL="3048000" distR="0" simplePos="0" locked="0" layoutInCell="1" allowOverlap="1" relativeHeight="132">
                <wp:simplePos x="0" y="0"/>
                <wp:positionH relativeFrom="column">
                  <wp:align>left</wp:align>
                </wp:positionH>
                <wp:positionV relativeFrom="line">
                  <wp:align>top</wp:align>
                </wp:positionV>
                <wp:extent cx="406400" cy="525780"/>
                <wp:effectExtent l="0" t="0" r="0" b="0"/>
                <wp:wrapSquare wrapText="right"/>
                <wp:docPr id="126" name="Frame125"/>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40pt;mso-wrap-distance-right:0pt;mso-wrap-distance-top:1.8pt;mso-wrap-distance-bottom:0pt;margin-top:1.8pt;mso-position-vertical:top;mso-position-vertical-relative:text;margin-left:164.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Chairman of the Board, Chief Executive Officer and President of PAA GP Holdings LLC </w:t>
      </w:r>
      <w:r>
        <mc:AlternateContent>
          <mc:Choice Requires="wps">
            <w:drawing>
              <wp:anchor behindDoc="0" distT="0" distB="0" distL="3048000" distR="0" simplePos="0" locked="0" layoutInCell="1" allowOverlap="1" relativeHeight="133">
                <wp:simplePos x="0" y="0"/>
                <wp:positionH relativeFrom="column">
                  <wp:align>left</wp:align>
                </wp:positionH>
                <wp:positionV relativeFrom="line">
                  <wp:posOffset>635</wp:posOffset>
                </wp:positionV>
                <wp:extent cx="406400" cy="350520"/>
                <wp:effectExtent l="0" t="0" r="0" b="0"/>
                <wp:wrapSquare wrapText="right"/>
                <wp:docPr id="127" name="Frame126"/>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40pt;mso-wrap-distance-right:0pt;mso-wrap-distance-top:0pt;mso-wrap-distance-bottom:0pt;margin-top:0pt;mso-position-vertical:top;mso-position-vertical-relative:text;margin-left:164.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 OF ATTORNEY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those persons whose signatures appear below do hereby constitute and appoint Al Swanson and Richard McGee, and each of them, our true and lawful attorney-in-fact and agent, to do any and all acts and things in our names and on our behalf in our capacities as directors and officers and to execute any and all instruments for us and in our name in the capacities indicated below, which said attorney and agent may deem necessary or advisable to enable said registrant to comply with the Securities Act of 1933, as amended, and any rules, regulations and requirements of the Securities and Exchange Commission, in connection with the registration statements, or any registration statement for this offering that is to be effective upon filing pursuant to Rule 462 under the Securities Act of 1933, as amended, including specifically, but without limitation, power and authority to sign for us or any of us in our names in the capacities indicated below, any and all amendments (including post-effective amendments) hereof; and we do hereby ratify and confirm all that said attorneys and agents shall do or cause to be done by virtue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as amended, this Registration Statement has been signed below by the following persons in the capacities and on the dates indicated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PAA GP HOLDINGS LLC, for itself and as the general partner of PLAINS GP HOLDINGS, L.P. </w:t>
      </w:r>
    </w:p>
    <w:tbl>
      <w:tblPr>
        <w:tblW w:w="8812" w:type="dxa"/>
        <w:jc w:val="left"/>
        <w:tblInd w:w="1393" w:type="dxa"/>
        <w:tblLayout w:type="fixed"/>
        <w:tblCellMar>
          <w:top w:w="0" w:type="dxa"/>
          <w:left w:w="0" w:type="dxa"/>
          <w:bottom w:w="28" w:type="dxa"/>
          <w:right w:w="0" w:type="dxa"/>
        </w:tblCellMar>
      </w:tblPr>
      <w:tblGrid>
        <w:gridCol w:w="124"/>
        <w:gridCol w:w="1449"/>
        <w:gridCol w:w="109"/>
        <w:gridCol w:w="109"/>
        <w:gridCol w:w="5384"/>
        <w:gridCol w:w="109"/>
        <w:gridCol w:w="109"/>
        <w:gridCol w:w="1264"/>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44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38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49" w:type="dxa"/>
            <w:tcBorders/>
            <w:tcMar>
              <w:bottom w:w="0" w:type="dxa"/>
            </w:tcMar>
            <w:vAlign w:val="center"/>
          </w:tcPr>
          <w:p>
            <w:pPr>
              <w:pStyle w:val="TableContents"/>
              <w:bidi w:val="0"/>
              <w:spacing w:before="0" w:after="0"/>
              <w:jc w:val="center"/>
              <w:rPr/>
            </w:pPr>
            <w:r>
              <w:rPr>
                <w:spacing w:val="4"/>
              </w:rPr>
              <w:t>/s/ Willie Chiang</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Willie Chiang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84" w:type="dxa"/>
            <w:tcBorders/>
            <w:tcMar>
              <w:bottom w:w="0" w:type="dxa"/>
            </w:tcMar>
            <w:vAlign w:val="center"/>
          </w:tcPr>
          <w:p>
            <w:pPr>
              <w:pStyle w:val="TableContents"/>
              <w:bidi w:val="0"/>
              <w:spacing w:before="0" w:after="0"/>
              <w:jc w:val="center"/>
              <w:rPr/>
            </w:pPr>
            <w:r>
              <w:rPr>
                <w:spacing w:val="4"/>
              </w:rPr>
              <w:t>Chairman of the Board, Chief Executive Officer and President of PAA GP Holdings LLC</w:t>
            </w:r>
            <w:r>
              <w:rPr/>
              <w:t xml:space="preserve"> </w:t>
              <w:br/>
            </w:r>
            <w:r>
              <w:rPr>
                <w:spacing w:val="4"/>
              </w:rPr>
              <w:t xml:space="preserve">(Principal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4" w:type="dxa"/>
            <w:tcBorders/>
            <w:tcMar>
              <w:bottom w:w="0" w:type="dxa"/>
            </w:tcMar>
            <w:vAlign w:val="center"/>
          </w:tcPr>
          <w:p>
            <w:pPr>
              <w:pStyle w:val="TableContents"/>
              <w:bidi w:val="0"/>
              <w:spacing w:before="0" w:after="0"/>
              <w:jc w:val="center"/>
              <w:rPr>
                <w:spacing w:val="4"/>
              </w:rPr>
            </w:pPr>
            <w:r>
              <w:rPr>
                <w:spacing w:val="4"/>
              </w:rPr>
              <w:t xml:space="preserve">March 30,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49" w:type="dxa"/>
            <w:tcBorders/>
            <w:tcMar>
              <w:bottom w:w="0" w:type="dxa"/>
            </w:tcMar>
            <w:vAlign w:val="center"/>
          </w:tcPr>
          <w:p>
            <w:pPr>
              <w:pStyle w:val="TableContents"/>
              <w:bidi w:val="0"/>
              <w:spacing w:before="0" w:after="0"/>
              <w:jc w:val="center"/>
              <w:rPr/>
            </w:pPr>
            <w:r>
              <w:rPr>
                <w:spacing w:val="4"/>
              </w:rPr>
              <w:t>/s/ Al Swanson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Al Swanson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84" w:type="dxa"/>
            <w:tcBorders/>
            <w:tcMar>
              <w:bottom w:w="0" w:type="dxa"/>
            </w:tcMar>
            <w:vAlign w:val="center"/>
          </w:tcPr>
          <w:p>
            <w:pPr>
              <w:pStyle w:val="TableContents"/>
              <w:bidi w:val="0"/>
              <w:spacing w:before="0" w:after="0"/>
              <w:jc w:val="center"/>
              <w:rPr/>
            </w:pPr>
            <w:r>
              <w:rPr>
                <w:spacing w:val="4"/>
              </w:rPr>
              <w:t>Executive Vice President and Chief</w:t>
            </w:r>
            <w:r>
              <w:rPr/>
              <w:t xml:space="preserve"> </w:t>
              <w:br/>
            </w:r>
            <w:r>
              <w:rPr>
                <w:spacing w:val="4"/>
              </w:rPr>
              <w:t>Financial Officer</w:t>
            </w:r>
            <w:r>
              <w:rPr/>
              <w:t xml:space="preserve"> </w:t>
              <w:br/>
            </w:r>
            <w:r>
              <w:rPr>
                <w:spacing w:val="4"/>
              </w:rPr>
              <w:t xml:space="preserve">(Principal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4" w:type="dxa"/>
            <w:tcBorders/>
            <w:tcMar>
              <w:bottom w:w="0" w:type="dxa"/>
            </w:tcMar>
            <w:vAlign w:val="center"/>
          </w:tcPr>
          <w:p>
            <w:pPr>
              <w:pStyle w:val="TableContents"/>
              <w:bidi w:val="0"/>
              <w:spacing w:before="0" w:after="0"/>
              <w:jc w:val="center"/>
              <w:rPr>
                <w:spacing w:val="4"/>
              </w:rPr>
            </w:pPr>
            <w:r>
              <w:rPr>
                <w:spacing w:val="4"/>
              </w:rPr>
              <w:t xml:space="preserve">March 30,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49" w:type="dxa"/>
            <w:tcBorders/>
            <w:tcMar>
              <w:bottom w:w="0" w:type="dxa"/>
            </w:tcMar>
            <w:vAlign w:val="center"/>
          </w:tcPr>
          <w:p>
            <w:pPr>
              <w:pStyle w:val="TableContents"/>
              <w:bidi w:val="0"/>
              <w:spacing w:before="0" w:after="0"/>
              <w:jc w:val="center"/>
              <w:rPr/>
            </w:pPr>
            <w:r>
              <w:rPr>
                <w:spacing w:val="4"/>
              </w:rPr>
              <w:t>/s/ Chris Herbold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Chris Herbold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84" w:type="dxa"/>
            <w:tcBorders/>
            <w:tcMar>
              <w:bottom w:w="0" w:type="dxa"/>
            </w:tcMar>
            <w:vAlign w:val="center"/>
          </w:tcPr>
          <w:p>
            <w:pPr>
              <w:pStyle w:val="TableContents"/>
              <w:bidi w:val="0"/>
              <w:spacing w:before="0" w:after="0"/>
              <w:jc w:val="center"/>
              <w:rPr/>
            </w:pPr>
            <w:r>
              <w:rPr>
                <w:spacing w:val="4"/>
              </w:rPr>
              <w:t>Senior Vice President, Finance and Chief Accounting Officer</w:t>
            </w:r>
            <w:r>
              <w:rPr/>
              <w:t xml:space="preserve"> </w:t>
              <w:br/>
            </w:r>
            <w:r>
              <w:rPr>
                <w:spacing w:val="4"/>
              </w:rPr>
              <w:t xml:space="preserve">(Principal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4" w:type="dxa"/>
            <w:tcBorders/>
            <w:tcMar>
              <w:bottom w:w="0" w:type="dxa"/>
            </w:tcMar>
            <w:vAlign w:val="center"/>
          </w:tcPr>
          <w:p>
            <w:pPr>
              <w:pStyle w:val="TableContents"/>
              <w:bidi w:val="0"/>
              <w:spacing w:before="0" w:after="0"/>
              <w:jc w:val="center"/>
              <w:rPr>
                <w:spacing w:val="4"/>
              </w:rPr>
            </w:pPr>
            <w:r>
              <w:rPr>
                <w:spacing w:val="4"/>
              </w:rPr>
              <w:t xml:space="preserve">March 30, 2026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956" w:type="dxa"/>
        <w:jc w:val="left"/>
        <w:tblInd w:w="1393" w:type="dxa"/>
        <w:tblLayout w:type="fixed"/>
        <w:tblCellMar>
          <w:top w:w="0" w:type="dxa"/>
          <w:left w:w="0" w:type="dxa"/>
          <w:bottom w:w="28" w:type="dxa"/>
          <w:right w:w="0" w:type="dxa"/>
        </w:tblCellMar>
      </w:tblPr>
      <w:tblGrid>
        <w:gridCol w:w="124"/>
        <w:gridCol w:w="2551"/>
        <w:gridCol w:w="109"/>
        <w:gridCol w:w="109"/>
        <w:gridCol w:w="974"/>
        <w:gridCol w:w="109"/>
        <w:gridCol w:w="109"/>
        <w:gridCol w:w="1717"/>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55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1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51" w:type="dxa"/>
            <w:tcBorders/>
            <w:tcMar>
              <w:bottom w:w="0" w:type="dxa"/>
            </w:tcMar>
            <w:vAlign w:val="center"/>
          </w:tcPr>
          <w:p>
            <w:pPr>
              <w:pStyle w:val="TableContents"/>
              <w:bidi w:val="0"/>
              <w:spacing w:before="0" w:after="0"/>
              <w:jc w:val="center"/>
              <w:rPr/>
            </w:pPr>
            <w:r>
              <w:rPr>
                <w:spacing w:val="4"/>
              </w:rPr>
              <w:t>/s/ Greg L. Armstrong</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Greg L. Armstrong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7" w:type="dxa"/>
            <w:tcBorders/>
            <w:tcMar>
              <w:bottom w:w="0" w:type="dxa"/>
            </w:tcMar>
            <w:vAlign w:val="center"/>
          </w:tcPr>
          <w:p>
            <w:pPr>
              <w:pStyle w:val="TableContents"/>
              <w:bidi w:val="0"/>
              <w:spacing w:before="0" w:after="0"/>
              <w:jc w:val="center"/>
              <w:rPr>
                <w:spacing w:val="4"/>
              </w:rPr>
            </w:pPr>
            <w:r>
              <w:rPr>
                <w:spacing w:val="4"/>
              </w:rPr>
              <w:t xml:space="preserve">March 30,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51" w:type="dxa"/>
            <w:tcBorders/>
            <w:tcMar>
              <w:bottom w:w="0" w:type="dxa"/>
            </w:tcMar>
            <w:vAlign w:val="center"/>
          </w:tcPr>
          <w:p>
            <w:pPr>
              <w:pStyle w:val="TableContents"/>
              <w:bidi w:val="0"/>
              <w:spacing w:before="0" w:after="0"/>
              <w:jc w:val="center"/>
              <w:rPr/>
            </w:pPr>
            <w:r>
              <w:rPr>
                <w:spacing w:val="4"/>
              </w:rPr>
              <w:t>/s/ Victor Burk</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Victor Burk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7" w:type="dxa"/>
            <w:tcBorders/>
            <w:tcMar>
              <w:bottom w:w="0" w:type="dxa"/>
            </w:tcMar>
            <w:vAlign w:val="center"/>
          </w:tcPr>
          <w:p>
            <w:pPr>
              <w:pStyle w:val="TableContents"/>
              <w:bidi w:val="0"/>
              <w:spacing w:before="0" w:after="0"/>
              <w:jc w:val="center"/>
              <w:rPr>
                <w:spacing w:val="4"/>
              </w:rPr>
            </w:pPr>
            <w:r>
              <w:rPr>
                <w:spacing w:val="4"/>
              </w:rPr>
              <w:t xml:space="preserve">March 30,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51" w:type="dxa"/>
            <w:tcBorders/>
            <w:tcMar>
              <w:bottom w:w="0" w:type="dxa"/>
            </w:tcMar>
            <w:vAlign w:val="center"/>
          </w:tcPr>
          <w:p>
            <w:pPr>
              <w:pStyle w:val="TableContents"/>
              <w:bidi w:val="0"/>
              <w:spacing w:before="0" w:after="0"/>
              <w:jc w:val="center"/>
              <w:rPr/>
            </w:pPr>
            <w:r>
              <w:rPr>
                <w:spacing w:val="4"/>
              </w:rPr>
              <w:t>/s/ Ellen R. DeSanctis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Ellen R. DeSanctis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7" w:type="dxa"/>
            <w:tcBorders/>
            <w:tcMar>
              <w:bottom w:w="0" w:type="dxa"/>
            </w:tcMar>
            <w:vAlign w:val="center"/>
          </w:tcPr>
          <w:p>
            <w:pPr>
              <w:pStyle w:val="TableContents"/>
              <w:bidi w:val="0"/>
              <w:spacing w:before="0" w:after="0"/>
              <w:jc w:val="center"/>
              <w:rPr>
                <w:spacing w:val="4"/>
              </w:rPr>
            </w:pPr>
            <w:r>
              <w:rPr>
                <w:spacing w:val="4"/>
              </w:rPr>
              <w:t xml:space="preserve">March 30,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51" w:type="dxa"/>
            <w:tcBorders/>
            <w:tcMar>
              <w:bottom w:w="0" w:type="dxa"/>
            </w:tcMar>
            <w:vAlign w:val="center"/>
          </w:tcPr>
          <w:p>
            <w:pPr>
              <w:pStyle w:val="TableContents"/>
              <w:bidi w:val="0"/>
              <w:spacing w:before="0" w:after="0"/>
              <w:jc w:val="center"/>
              <w:rPr/>
            </w:pPr>
            <w:r>
              <w:rPr>
                <w:spacing w:val="4"/>
              </w:rPr>
              <w:t>/s/ Kevin McCarthy</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Kevin McCarthy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7" w:type="dxa"/>
            <w:tcBorders/>
            <w:tcMar>
              <w:bottom w:w="0" w:type="dxa"/>
            </w:tcMar>
            <w:vAlign w:val="center"/>
          </w:tcPr>
          <w:p>
            <w:pPr>
              <w:pStyle w:val="TableContents"/>
              <w:bidi w:val="0"/>
              <w:spacing w:before="0" w:after="0"/>
              <w:jc w:val="center"/>
              <w:rPr>
                <w:spacing w:val="4"/>
              </w:rPr>
            </w:pPr>
            <w:r>
              <w:rPr>
                <w:spacing w:val="4"/>
              </w:rPr>
              <w:t xml:space="preserve">March 30,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51" w:type="dxa"/>
            <w:tcBorders/>
            <w:tcMar>
              <w:bottom w:w="0" w:type="dxa"/>
            </w:tcMar>
            <w:vAlign w:val="center"/>
          </w:tcPr>
          <w:p>
            <w:pPr>
              <w:pStyle w:val="TableContents"/>
              <w:bidi w:val="0"/>
              <w:spacing w:before="0" w:after="0"/>
              <w:jc w:val="center"/>
              <w:rPr/>
            </w:pPr>
            <w:r>
              <w:rPr>
                <w:spacing w:val="4"/>
              </w:rPr>
              <w:t>/s/ Harry N. Pefanis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Harry N. Pefanis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7" w:type="dxa"/>
            <w:tcBorders/>
            <w:tcMar>
              <w:bottom w:w="0" w:type="dxa"/>
            </w:tcMar>
            <w:vAlign w:val="center"/>
          </w:tcPr>
          <w:p>
            <w:pPr>
              <w:pStyle w:val="TableContents"/>
              <w:bidi w:val="0"/>
              <w:spacing w:before="0" w:after="0"/>
              <w:jc w:val="center"/>
              <w:rPr>
                <w:spacing w:val="4"/>
              </w:rPr>
            </w:pPr>
            <w:r>
              <w:rPr>
                <w:spacing w:val="4"/>
              </w:rPr>
              <w:t xml:space="preserve">March 30,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51" w:type="dxa"/>
            <w:tcBorders/>
            <w:tcMar>
              <w:bottom w:w="0" w:type="dxa"/>
            </w:tcMar>
            <w:vAlign w:val="center"/>
          </w:tcPr>
          <w:p>
            <w:pPr>
              <w:pStyle w:val="TableContents"/>
              <w:bidi w:val="0"/>
              <w:spacing w:before="0" w:after="0"/>
              <w:jc w:val="center"/>
              <w:rPr/>
            </w:pPr>
            <w:r>
              <w:rPr>
                <w:spacing w:val="4"/>
              </w:rPr>
              <w:t>/s/ Gary R. Petersen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Gary R. Petersen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7" w:type="dxa"/>
            <w:tcBorders/>
            <w:tcMar>
              <w:bottom w:w="0" w:type="dxa"/>
            </w:tcMar>
            <w:vAlign w:val="center"/>
          </w:tcPr>
          <w:p>
            <w:pPr>
              <w:pStyle w:val="TableContents"/>
              <w:bidi w:val="0"/>
              <w:spacing w:before="0" w:after="0"/>
              <w:jc w:val="center"/>
              <w:rPr>
                <w:spacing w:val="4"/>
              </w:rPr>
            </w:pPr>
            <w:r>
              <w:rPr>
                <w:spacing w:val="4"/>
              </w:rPr>
              <w:t xml:space="preserve">March 30,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51" w:type="dxa"/>
            <w:tcBorders/>
            <w:tcMar>
              <w:bottom w:w="0" w:type="dxa"/>
            </w:tcMar>
            <w:vAlign w:val="center"/>
          </w:tcPr>
          <w:p>
            <w:pPr>
              <w:pStyle w:val="TableContents"/>
              <w:bidi w:val="0"/>
              <w:spacing w:before="0" w:after="0"/>
              <w:jc w:val="center"/>
              <w:rPr/>
            </w:pPr>
            <w:r>
              <w:rPr>
                <w:spacing w:val="4"/>
              </w:rPr>
              <w:t>/s/ Alexandra D. Pruner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Alexandra D. Pruner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7" w:type="dxa"/>
            <w:tcBorders/>
            <w:tcMar>
              <w:bottom w:w="0" w:type="dxa"/>
            </w:tcMar>
            <w:vAlign w:val="center"/>
          </w:tcPr>
          <w:p>
            <w:pPr>
              <w:pStyle w:val="TableContents"/>
              <w:bidi w:val="0"/>
              <w:spacing w:before="0" w:after="0"/>
              <w:jc w:val="center"/>
              <w:rPr>
                <w:spacing w:val="4"/>
              </w:rPr>
            </w:pPr>
            <w:r>
              <w:rPr>
                <w:spacing w:val="4"/>
              </w:rPr>
              <w:t xml:space="preserve">March 30,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51" w:type="dxa"/>
            <w:tcBorders/>
            <w:tcMar>
              <w:bottom w:w="0" w:type="dxa"/>
            </w:tcMar>
            <w:vAlign w:val="center"/>
          </w:tcPr>
          <w:p>
            <w:pPr>
              <w:pStyle w:val="TableContents"/>
              <w:bidi w:val="0"/>
              <w:spacing w:before="0" w:after="0"/>
              <w:jc w:val="center"/>
              <w:rPr/>
            </w:pPr>
            <w:r>
              <w:rPr>
                <w:spacing w:val="4"/>
              </w:rPr>
              <w:t>/s/ John T. Raymond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John T. Raymond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7" w:type="dxa"/>
            <w:tcBorders/>
            <w:tcMar>
              <w:bottom w:w="0" w:type="dxa"/>
            </w:tcMar>
            <w:vAlign w:val="center"/>
          </w:tcPr>
          <w:p>
            <w:pPr>
              <w:pStyle w:val="TableContents"/>
              <w:bidi w:val="0"/>
              <w:spacing w:before="0" w:after="0"/>
              <w:jc w:val="center"/>
              <w:rPr>
                <w:spacing w:val="4"/>
              </w:rPr>
            </w:pPr>
            <w:r>
              <w:rPr>
                <w:spacing w:val="4"/>
              </w:rPr>
              <w:t xml:space="preserve">March 30,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51" w:type="dxa"/>
            <w:tcBorders/>
            <w:tcMar>
              <w:bottom w:w="0" w:type="dxa"/>
            </w:tcMar>
            <w:vAlign w:val="center"/>
          </w:tcPr>
          <w:p>
            <w:pPr>
              <w:pStyle w:val="TableContents"/>
              <w:bidi w:val="0"/>
              <w:spacing w:before="0" w:after="0"/>
              <w:jc w:val="center"/>
              <w:rPr/>
            </w:pPr>
            <w:r>
              <w:rPr>
                <w:spacing w:val="4"/>
              </w:rPr>
              <w:t>/s/ Bobby S. Shackouls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Bobby S. Shackouls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7" w:type="dxa"/>
            <w:tcBorders/>
            <w:tcMar>
              <w:bottom w:w="0" w:type="dxa"/>
            </w:tcMar>
            <w:vAlign w:val="center"/>
          </w:tcPr>
          <w:p>
            <w:pPr>
              <w:pStyle w:val="TableContents"/>
              <w:bidi w:val="0"/>
              <w:spacing w:before="0" w:after="0"/>
              <w:jc w:val="center"/>
              <w:rPr>
                <w:spacing w:val="4"/>
              </w:rPr>
            </w:pPr>
            <w:r>
              <w:rPr>
                <w:spacing w:val="4"/>
              </w:rPr>
              <w:t xml:space="preserve">March 30,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51" w:type="dxa"/>
            <w:tcBorders/>
            <w:tcMar>
              <w:bottom w:w="0" w:type="dxa"/>
            </w:tcMar>
            <w:vAlign w:val="center"/>
          </w:tcPr>
          <w:p>
            <w:pPr>
              <w:pStyle w:val="TableContents"/>
              <w:bidi w:val="0"/>
              <w:spacing w:before="0" w:after="0"/>
              <w:jc w:val="center"/>
              <w:rPr/>
            </w:pPr>
            <w:r>
              <w:rPr>
                <w:spacing w:val="4"/>
              </w:rPr>
              <w:t>/s/ Lawrence M. Ziemba</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Lawrence M. Ziemba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7" w:type="dxa"/>
            <w:tcBorders/>
            <w:tcMar>
              <w:bottom w:w="0" w:type="dxa"/>
            </w:tcMar>
            <w:vAlign w:val="center"/>
          </w:tcPr>
          <w:p>
            <w:pPr>
              <w:pStyle w:val="TableContents"/>
              <w:bidi w:val="0"/>
              <w:spacing w:before="0" w:after="0"/>
              <w:jc w:val="center"/>
              <w:rPr/>
            </w:pPr>
            <w:r>
              <w:rPr>
                <w:spacing w:val="4"/>
              </w:rPr>
              <w:t>March 30, 2026</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16" w:name="tm266712d2_ex5-1.htm"/>
      <w:bookmarkStart w:id="17" w:name="kstm266712d2_ex51"/>
      <w:bookmarkEnd w:id="16"/>
      <w:bookmarkEnd w:id="1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933575" cy="333375"/>
            <wp:effectExtent l="0" t="0" r="0" b="0"/>
            <wp:docPr id="12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2" descr=""/>
                    <pic:cNvPicPr>
                      <a:picLocks noChangeAspect="1" noChangeArrowheads="1"/>
                    </pic:cNvPicPr>
                  </pic:nvPicPr>
                  <pic:blipFill>
                    <a:blip r:embed="rId29"/>
                    <a:stretch>
                      <a:fillRect/>
                    </a:stretch>
                  </pic:blipFill>
                  <pic:spPr bwMode="auto">
                    <a:xfrm>
                      <a:off x="0" y="0"/>
                      <a:ext cx="1933575" cy="3333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GP Holdings, L.P.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Clay Street, Suite 1600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TX 77002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Plains GP Holdings, L.P., a Delaware limited partnership (the “</w:t>
      </w:r>
      <w:r>
        <w:rPr>
          <w:rFonts w:ascii="Times New Roman;Times;Serif" w:hAnsi="Times New Roman;Times;Serif"/>
          <w:b/>
          <w:i/>
          <w:caps w:val="false"/>
          <w:smallCaps w:val="false"/>
          <w:sz w:val="20"/>
        </w:rPr>
        <w:t>Partnership</w:t>
      </w:r>
      <w:r>
        <w:rPr>
          <w:rFonts w:ascii="Times New Roman;Times;Serif" w:hAnsi="Times New Roman;Times;Serif"/>
          <w:b w:val="false"/>
          <w:i w:val="false"/>
          <w:caps w:val="false"/>
          <w:smallCaps w:val="false"/>
          <w:sz w:val="20"/>
        </w:rPr>
        <w:t>”), in connection with the preparation and filing of a registration statement on Form S-3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filed on or about the date hereof with the U.S.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in connection with the registration by the Partnership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of the offer and sale, from time to time, pursuant to Rule 415 under the Securities Act, by the Partnership, of Class A shares representing limited partner interests in the Partnership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initial offering price of the Shares that may be offered and sold by the Partnership pursuant to the Registration Statement will not exceed $938,900,000 or, if applicable, the equivalent thereof in any other security or currency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participated in the preparation of the Prospectus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contained in the Registration Statement to which this opinion is an exhibit. The Shares will be offered in amounts, at prices and on terms to be determined in light of market conditions and other factors at the time of sale and, if necessary, will be set forth in supplements to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basis for the opinion hereinafter expressed, we examined such statutes and questions of law as we have deemed necessary or appropriate for purposes of this opinion, including the Delaware Revised Uniform Limited Partnership Act (the “</w:t>
      </w:r>
      <w:r>
        <w:rPr>
          <w:rFonts w:ascii="Times New Roman;Times;Serif" w:hAnsi="Times New Roman;Times;Serif"/>
          <w:b/>
          <w:i/>
          <w:caps w:val="false"/>
          <w:smallCaps w:val="false"/>
          <w:sz w:val="20"/>
        </w:rPr>
        <w:t>Delaware LP Act</w:t>
      </w:r>
      <w:r>
        <w:rPr>
          <w:rFonts w:ascii="Times New Roman;Times;Serif" w:hAnsi="Times New Roman;Times;Serif"/>
          <w:b w:val="false"/>
          <w:i w:val="false"/>
          <w:caps w:val="false"/>
          <w:smallCaps w:val="false"/>
          <w:sz w:val="20"/>
        </w:rPr>
        <w:t>”), the Second Amended and Restated Agreement of Limited Partnership of the Partnership as amended (the “</w:t>
      </w:r>
      <w:r>
        <w:rPr>
          <w:rFonts w:ascii="Times New Roman;Times;Serif" w:hAnsi="Times New Roman;Times;Serif"/>
          <w:b/>
          <w:i/>
          <w:caps w:val="false"/>
          <w:smallCaps w:val="false"/>
          <w:sz w:val="20"/>
        </w:rPr>
        <w:t>Partnership Agreement</w:t>
      </w:r>
      <w:r>
        <w:rPr>
          <w:rFonts w:ascii="Times New Roman;Times;Serif" w:hAnsi="Times New Roman;Times;Serif"/>
          <w:b w:val="false"/>
          <w:i w:val="false"/>
          <w:caps w:val="false"/>
          <w:smallCaps w:val="false"/>
          <w:sz w:val="20"/>
        </w:rPr>
        <w:t>”), the Certificate of Limited Partnership of the Partnership filed with the Secretary of State of the State of Delaware, resolutions of PAA GP Holdings LLC, a Delaware limited liability company and the general partner of the Partnership, the Registration Statement, including the Prospectus, the Partnership’s records and documents, certificates of the Partnership and public officials, and such other instruments and documents as we deemed necessary or advisable for the purposes of this opinion. In such examination, we have assumed that (i) all information contained in all documents submitted to us for review is accurate and complete; (ii) the authenticity of all documents submitted to us as originals and the conformity with the original documents of all documents submitted to us as copies; (iii) all signatures on each such document examined by us are genuine and by individuals with legal capacity to execute such document; (iv) each certificate from governmental officials reviewed by us is accurate, complete and authentic, and all official public records are accurate and complete; (v) the Registration Statement, and any amendments thereto (including post-effective amendments), will be effective and comply with applicable laws; (vi) one or more prospectus supplements will have been prepared and filed with the Commission describing the Shares offered thereby; (vii) a definitive purchase, underwriting or similar agreement with respect to any Shares offered will have been duly authorized and validly executed and delivered by the Partnership and the other parties thereto; and (viii) all Shares will be issued and sold in compliance with applicable federal and state securities laws and in the manner stated in the Registration Statement and the appropriate prospectus supplement.</w:t>
      </w:r>
    </w:p>
    <w:p>
      <w:pPr>
        <w:pStyle w:val="TextBody"/>
        <w:bidi w:val="0"/>
        <w:spacing w:before="0" w:after="0"/>
        <w:ind w:left="0" w:right="0" w:hanging="0"/>
        <w:jc w:val="left"/>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5390"/>
        <w:gridCol w:w="4520"/>
      </w:tblGrid>
      <w:tr>
        <w:trPr/>
        <w:tc>
          <w:tcPr>
            <w:tcW w:w="539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Vinson &amp; Elkins LLP Attorneys at Law</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Austin Dallas Denver Dublin Dubai Houston London Los Angeles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Richmond San Francisco Tokyo Washington</w:t>
            </w:r>
          </w:p>
        </w:tc>
        <w:tc>
          <w:tcPr>
            <w:tcW w:w="45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845 Texas Ave., Suite 4700</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TX 77002</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Tel</w:t>
            </w:r>
            <w:r>
              <w:rPr>
                <w:rFonts w:ascii="Times New Roman;Times;Serif" w:hAnsi="Times New Roman;Times;Serif"/>
                <w:b w:val="false"/>
                <w:i w:val="false"/>
                <w:caps w:val="false"/>
                <w:smallCaps w:val="false"/>
                <w:sz w:val="20"/>
              </w:rPr>
              <w:t xml:space="preserve"> +1.713.758.2222 </w:t>
            </w:r>
            <w:r>
              <w:rPr>
                <w:rFonts w:ascii="Times New Roman;Times;Serif" w:hAnsi="Times New Roman;Times;Serif"/>
                <w:b/>
                <w:i w:val="false"/>
                <w:caps w:val="false"/>
                <w:smallCaps w:val="false"/>
                <w:sz w:val="20"/>
              </w:rPr>
              <w:t>Fax</w:t>
            </w:r>
            <w:r>
              <w:rPr>
                <w:rFonts w:ascii="Times New Roman;Times;Serif" w:hAnsi="Times New Roman;Times;Serif"/>
                <w:b w:val="false"/>
                <w:i w:val="false"/>
                <w:caps w:val="false"/>
                <w:smallCaps w:val="false"/>
                <w:sz w:val="20"/>
              </w:rPr>
              <w:t xml:space="preserve"> +1.713.758.2346 </w:t>
            </w:r>
            <w:r>
              <w:rPr>
                <w:rFonts w:ascii="Times New Roman;Times;Serif" w:hAnsi="Times New Roman;Times;Serif"/>
                <w:b/>
                <w:i w:val="false"/>
                <w:caps w:val="false"/>
                <w:smallCaps w:val="false"/>
                <w:sz w:val="20"/>
              </w:rPr>
              <w:t>velaw.com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455" w:type="dxa"/>
        <w:jc w:val="left"/>
        <w:tblInd w:w="0" w:type="dxa"/>
        <w:tblLayout w:type="fixed"/>
        <w:tblCellMar>
          <w:top w:w="0" w:type="dxa"/>
          <w:left w:w="0" w:type="dxa"/>
          <w:bottom w:w="0" w:type="dxa"/>
          <w:right w:w="0" w:type="dxa"/>
        </w:tblCellMar>
      </w:tblPr>
      <w:tblGrid>
        <w:gridCol w:w="1080"/>
        <w:gridCol w:w="2375"/>
      </w:tblGrid>
      <w:tr>
        <w:trPr/>
        <w:tc>
          <w:tcPr>
            <w:tcW w:w="1080" w:type="dxa"/>
            <w:tcBorders/>
            <w:vAlign w:val="center"/>
          </w:tcPr>
          <w:p>
            <w:pPr>
              <w:pStyle w:val="TableContents"/>
              <w:bidi w:val="0"/>
              <w:spacing w:before="0" w:after="283"/>
              <w:jc w:val="left"/>
              <w:rPr/>
            </w:pPr>
            <w:r>
              <w:rPr/>
              <w:drawing>
                <wp:inline distT="0" distB="0" distL="0" distR="0">
                  <wp:extent cx="676275" cy="342900"/>
                  <wp:effectExtent l="0" t="0" r="0" b="0"/>
                  <wp:docPr id="12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3" descr=""/>
                          <pic:cNvPicPr>
                            <a:picLocks noChangeAspect="1" noChangeArrowheads="1"/>
                          </pic:cNvPicPr>
                        </pic:nvPicPr>
                        <pic:blipFill>
                          <a:blip r:embed="rId30"/>
                          <a:stretch>
                            <a:fillRect/>
                          </a:stretch>
                        </pic:blipFill>
                        <pic:spPr bwMode="auto">
                          <a:xfrm>
                            <a:off x="0" y="0"/>
                            <a:ext cx="676275" cy="342900"/>
                          </a:xfrm>
                          <a:prstGeom prst="rect">
                            <a:avLst/>
                          </a:prstGeom>
                        </pic:spPr>
                      </pic:pic>
                    </a:graphicData>
                  </a:graphic>
                </wp:inline>
              </w:drawing>
            </w:r>
          </w:p>
        </w:tc>
        <w:tc>
          <w:tcPr>
            <w:tcW w:w="2375" w:type="dxa"/>
            <w:tcBorders/>
            <w:vAlign w:val="center"/>
          </w:tcPr>
          <w:p>
            <w:pPr>
              <w:pStyle w:val="TableContents"/>
              <w:bidi w:val="0"/>
              <w:spacing w:before="0" w:after="283"/>
              <w:jc w:val="right"/>
              <w:rPr/>
            </w:pPr>
            <w:r>
              <w:rPr/>
              <w:t>March 30, 2026   Page 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and subject to the qualifications, exceptions and limitations set forth herein, we are of the opinion that the Shares, when (i) the Partnership has taken all necessary action to approve the issuance of such Shares, the terms of the offering thereof and related matters; and (ii) the Shares have been issued and delivered in accordance with the terms of the applicable definitive purchase, underwriting or similar agreement approved by the Partnership upon payment of the consideration thereof or provided for therein, will be duly authorized, issued and delivered against payment therefor as described in the Registration Statement, will be validly issued, fully paid (to the extent required under the Partnership Agreement) and non-assessable (except as such nonassessability may be affected by Sections 17-303, 17-607 or 17-804 of the Delaware LP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any facts material to the opinion contained herein, and as to factual matters arising in connection with our examination of corporate documents, records and other documents and writings, we have made no independent investigation of such facts and have relied, to the extent that we deem such reliance proper, upon certificates of public officials and officers or other representatives of the general partner of the Partnership and the Partnership. This opinion is being furnished in connection with the requirements of Item 601(b)(5) of Regulation S-K under the Securities Act of 1933, as amended, and the foregoing opinions are limited to the matters expressly stated herein, and no opinion is to be inferred or implied beyond the opinions expressly set forth herein. We undertake no, and hereby disclaim any, obligation to make any inquiry after the date hereof or to advise you of any changes in any matter set forth herein, whether based on a change in the law, a change in any fact relating to the Partnership or any other person or any other circumstance.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opinions concerning the enforceability of indemnification provisions to the extent they purport to relate to liabilities resulting from or based upon negligence or any violation of federal or state securities or blue sky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opinion is limited in all respects to the federal laws of the United States of America, the Delaware LP Act and the Constitution of the State of Delaware, each as interpreted by the courts of the State of Delaware, and we are expressing no opinion as to the effect of the laws of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455" w:type="dxa"/>
        <w:jc w:val="left"/>
        <w:tblInd w:w="0" w:type="dxa"/>
        <w:tblLayout w:type="fixed"/>
        <w:tblCellMar>
          <w:top w:w="0" w:type="dxa"/>
          <w:left w:w="0" w:type="dxa"/>
          <w:bottom w:w="0" w:type="dxa"/>
          <w:right w:w="0" w:type="dxa"/>
        </w:tblCellMar>
      </w:tblPr>
      <w:tblGrid>
        <w:gridCol w:w="1080"/>
        <w:gridCol w:w="2375"/>
      </w:tblGrid>
      <w:tr>
        <w:trPr/>
        <w:tc>
          <w:tcPr>
            <w:tcW w:w="1080" w:type="dxa"/>
            <w:tcBorders/>
            <w:vAlign w:val="center"/>
          </w:tcPr>
          <w:p>
            <w:pPr>
              <w:pStyle w:val="TableContents"/>
              <w:bidi w:val="0"/>
              <w:spacing w:before="0" w:after="283"/>
              <w:jc w:val="left"/>
              <w:rPr/>
            </w:pPr>
            <w:r>
              <w:rPr/>
              <w:drawing>
                <wp:inline distT="0" distB="0" distL="0" distR="0">
                  <wp:extent cx="676275" cy="342900"/>
                  <wp:effectExtent l="0" t="0" r="0" b="0"/>
                  <wp:docPr id="13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4" descr=""/>
                          <pic:cNvPicPr>
                            <a:picLocks noChangeAspect="1" noChangeArrowheads="1"/>
                          </pic:cNvPicPr>
                        </pic:nvPicPr>
                        <pic:blipFill>
                          <a:blip r:embed="rId31"/>
                          <a:stretch>
                            <a:fillRect/>
                          </a:stretch>
                        </pic:blipFill>
                        <pic:spPr bwMode="auto">
                          <a:xfrm>
                            <a:off x="0" y="0"/>
                            <a:ext cx="676275" cy="342900"/>
                          </a:xfrm>
                          <a:prstGeom prst="rect">
                            <a:avLst/>
                          </a:prstGeom>
                        </pic:spPr>
                      </pic:pic>
                    </a:graphicData>
                  </a:graphic>
                </wp:inline>
              </w:drawing>
            </w:r>
          </w:p>
        </w:tc>
        <w:tc>
          <w:tcPr>
            <w:tcW w:w="2375" w:type="dxa"/>
            <w:tcBorders/>
            <w:vAlign w:val="center"/>
          </w:tcPr>
          <w:p>
            <w:pPr>
              <w:pStyle w:val="TableContents"/>
              <w:bidi w:val="0"/>
              <w:spacing w:before="0" w:after="283"/>
              <w:jc w:val="right"/>
              <w:rPr/>
            </w:pPr>
            <w:r>
              <w:rPr/>
              <w:t>March 30, 2026   Page 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references to this firm under the caption “Legal Matters” in the Prospectus and to the filing of this opinion as an exhibit to the Registration Statement. By giving such consent, we do not admit that we are within the category of persons whose consent is required under Section 7 of the Securities Act or the rules and regulations of the Commission issued thereunder.</w:t>
      </w:r>
    </w:p>
    <w:p>
      <w:pPr>
        <w:pStyle w:val="TextBody"/>
        <w:bidi w:val="0"/>
        <w:spacing w:before="0" w:after="0"/>
        <w:ind w:left="0" w:right="0" w:hanging="0"/>
        <w:jc w:val="left"/>
        <w:rPr>
          <w:caps w:val="false"/>
          <w:smallCaps w:val="false"/>
        </w:rPr>
      </w:pPr>
      <w:r>
        <w:rPr>
          <w:caps w:val="false"/>
          <w:smallCaps w:val="false"/>
        </w:rPr>
        <w:t> </w:t>
      </w:r>
    </w:p>
    <w:tbl>
      <w:tblPr>
        <w:tblW w:w="2225" w:type="dxa"/>
        <w:jc w:val="left"/>
        <w:tblInd w:w="0" w:type="dxa"/>
        <w:tblLayout w:type="fixed"/>
        <w:tblCellMar>
          <w:top w:w="0" w:type="dxa"/>
          <w:left w:w="0" w:type="dxa"/>
          <w:bottom w:w="0" w:type="dxa"/>
          <w:right w:w="0" w:type="dxa"/>
        </w:tblCellMar>
      </w:tblPr>
      <w:tblGrid>
        <w:gridCol w:w="75"/>
        <w:gridCol w:w="2150"/>
      </w:tblGrid>
      <w:tr>
        <w:trPr/>
        <w:tc>
          <w:tcPr>
            <w:tcW w:w="75"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Vinson &amp; Elkins L.L.P.</w:t>
            </w:r>
          </w:p>
        </w:tc>
      </w:tr>
      <w:tr>
        <w:trPr/>
        <w:tc>
          <w:tcPr>
            <w:tcW w:w="75"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Vinson &amp; Elkins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8" w:name="tm266712d2_ex8-1.htm"/>
      <w:bookmarkStart w:id="19" w:name="kstm266712d2_ex81"/>
      <w:bookmarkEnd w:id="18"/>
      <w:bookmarkEnd w:id="1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943100" cy="352425"/>
            <wp:effectExtent l="0" t="0" r="0" b="0"/>
            <wp:docPr id="13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5" descr=""/>
                    <pic:cNvPicPr>
                      <a:picLocks noChangeAspect="1" noChangeArrowheads="1"/>
                    </pic:cNvPicPr>
                  </pic:nvPicPr>
                  <pic:blipFill>
                    <a:blip r:embed="rId32"/>
                    <a:stretch>
                      <a:fillRect/>
                    </a:stretch>
                  </pic:blipFill>
                  <pic:spPr bwMode="auto">
                    <a:xfrm>
                      <a:off x="0" y="0"/>
                      <a:ext cx="1943100" cy="3524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GP Holdings, L.P.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Clay Street, Suite 1600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TX 77002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Plains GP Holdings, L.P. Registration Statement on Form S-3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for Plains GP Holdings, L.P. (“</w:t>
      </w:r>
      <w:r>
        <w:rPr>
          <w:rFonts w:ascii="Times New Roman;Times;Serif" w:hAnsi="Times New Roman;Times;Serif"/>
          <w:b/>
          <w:i/>
          <w:caps w:val="false"/>
          <w:smallCaps w:val="false"/>
          <w:sz w:val="20"/>
        </w:rPr>
        <w:t>PAGP</w:t>
      </w:r>
      <w:r>
        <w:rPr>
          <w:rFonts w:ascii="Times New Roman;Times;Serif" w:hAnsi="Times New Roman;Times;Serif"/>
          <w:b w:val="false"/>
          <w:i w:val="false"/>
          <w:caps w:val="false"/>
          <w:smallCaps w:val="false"/>
          <w:sz w:val="20"/>
        </w:rPr>
        <w:t>”), a Delaware limited partnership that has elected to be treated as a corporation for U.S. federal income tax purposes, with respect to certain legal matters in connection with the preparation of a prospectus dated on or about the date hereof, forming part of the Registration Statement on Form S-3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to which this opinion is an exhibit. The Registration Statement relates to the registration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of Class A shares representing limited partner interests in PAGP.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based on various facts and assumptions, and is conditioned upon certain representations made by Plains All American Pipeline, L.P. (the “</w:t>
      </w:r>
      <w:r>
        <w:rPr>
          <w:rFonts w:ascii="Times New Roman;Times;Serif" w:hAnsi="Times New Roman;Times;Serif"/>
          <w:b/>
          <w:i/>
          <w:caps w:val="false"/>
          <w:smallCaps w:val="false"/>
          <w:sz w:val="20"/>
        </w:rPr>
        <w:t>Partnership</w:t>
      </w:r>
      <w:r>
        <w:rPr>
          <w:rFonts w:ascii="Times New Roman;Times;Serif" w:hAnsi="Times New Roman;Times;Serif"/>
          <w:b w:val="false"/>
          <w:i w:val="false"/>
          <w:caps w:val="false"/>
          <w:smallCaps w:val="false"/>
          <w:sz w:val="20"/>
        </w:rPr>
        <w:t>”), a Delaware limited partnership, as to factual matters through a certificate of an officer of the Partnership (the “</w:t>
      </w:r>
      <w:r>
        <w:rPr>
          <w:rFonts w:ascii="Times New Roman;Times;Serif" w:hAnsi="Times New Roman;Times;Serif"/>
          <w:b/>
          <w:i/>
          <w:caps w:val="false"/>
          <w:smallCaps w:val="false"/>
          <w:sz w:val="20"/>
        </w:rPr>
        <w:t>Officer’s Certificate</w:t>
      </w:r>
      <w:r>
        <w:rPr>
          <w:rFonts w:ascii="Times New Roman;Times;Serif" w:hAnsi="Times New Roman;Times;Serif"/>
          <w:b w:val="false"/>
          <w:i w:val="false"/>
          <w:caps w:val="false"/>
          <w:smallCaps w:val="false"/>
          <w:sz w:val="20"/>
        </w:rPr>
        <w:t>”). In addition, this opinion is based upon the factual representations of PAGP concerning its business, properties and governing documents as set forth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capacity as counsel to PAGP,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or in the Officer’s Certificate. In addition, in rendering this opinion we have assumed the truth and accuracy of all representations and statements made to us which are qualified as to knowledge or belief, without regard to such 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confirm that all statements of legal conclusions contained in the discussion in the Registration Statement under the caption “Material U.S. Federal Income Tax Consequences” constitute the opinion of Vinson &amp; Elkins L.L.P. with respect to the matters set forth therein as of the effective date of the Registration Statement, subject to the assumptions, qualifications, and limitations set forth therein. This 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and the Officer’s Certificate, may affect the conclusions stated herein.</w:t>
      </w:r>
    </w:p>
    <w:p>
      <w:pPr>
        <w:pStyle w:val="TextBody"/>
        <w:bidi w:val="0"/>
        <w:spacing w:before="0" w:after="0"/>
        <w:ind w:left="0" w:right="0" w:hanging="0"/>
        <w:jc w:val="left"/>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5390"/>
        <w:gridCol w:w="4520"/>
      </w:tblGrid>
      <w:tr>
        <w:trPr/>
        <w:tc>
          <w:tcPr>
            <w:tcW w:w="539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Vinson &amp; Elkins LLP Attorneys at Law</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Austin Dallas Denver Dublin Dubai Houston London Los Angeles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Richmond San Francisco Tokyo Washington</w:t>
            </w:r>
          </w:p>
        </w:tc>
        <w:tc>
          <w:tcPr>
            <w:tcW w:w="45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845 Texas Ave., Suite 4700</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TX 77002</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Tel</w:t>
            </w:r>
            <w:r>
              <w:rPr>
                <w:rFonts w:ascii="Times New Roman;Times;Serif" w:hAnsi="Times New Roman;Times;Serif"/>
                <w:b w:val="false"/>
                <w:i w:val="false"/>
                <w:caps w:val="false"/>
                <w:smallCaps w:val="false"/>
                <w:sz w:val="20"/>
              </w:rPr>
              <w:t xml:space="preserve"> +1.713.758.2222 </w:t>
            </w:r>
            <w:r>
              <w:rPr>
                <w:rFonts w:ascii="Times New Roman;Times;Serif" w:hAnsi="Times New Roman;Times;Serif"/>
                <w:b/>
                <w:i w:val="false"/>
                <w:caps w:val="false"/>
                <w:smallCaps w:val="false"/>
                <w:sz w:val="20"/>
              </w:rPr>
              <w:t>Fax</w:t>
            </w:r>
            <w:r>
              <w:rPr>
                <w:rFonts w:ascii="Times New Roman;Times;Serif" w:hAnsi="Times New Roman;Times;Serif"/>
                <w:b w:val="false"/>
                <w:i w:val="false"/>
                <w:caps w:val="false"/>
                <w:smallCaps w:val="false"/>
                <w:sz w:val="20"/>
              </w:rPr>
              <w:t xml:space="preserve"> +1.713.758.2346 </w:t>
            </w:r>
            <w:r>
              <w:rPr>
                <w:rFonts w:ascii="Times New Roman;Times;Serif" w:hAnsi="Times New Roman;Times;Serif"/>
                <w:b/>
                <w:i w:val="false"/>
                <w:caps w:val="false"/>
                <w:smallCaps w:val="false"/>
                <w:sz w:val="20"/>
              </w:rPr>
              <w:t>velaw.com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440" w:type="dxa"/>
        <w:jc w:val="left"/>
        <w:tblInd w:w="0" w:type="dxa"/>
        <w:tblLayout w:type="fixed"/>
        <w:tblCellMar>
          <w:top w:w="0" w:type="dxa"/>
          <w:left w:w="0" w:type="dxa"/>
          <w:bottom w:w="0" w:type="dxa"/>
          <w:right w:w="0" w:type="dxa"/>
        </w:tblCellMar>
      </w:tblPr>
      <w:tblGrid>
        <w:gridCol w:w="1065"/>
        <w:gridCol w:w="2375"/>
      </w:tblGrid>
      <w:tr>
        <w:trPr/>
        <w:tc>
          <w:tcPr>
            <w:tcW w:w="1065" w:type="dxa"/>
            <w:tcBorders/>
            <w:vAlign w:val="center"/>
          </w:tcPr>
          <w:p>
            <w:pPr>
              <w:pStyle w:val="TableContents"/>
              <w:bidi w:val="0"/>
              <w:spacing w:before="0" w:after="283"/>
              <w:jc w:val="left"/>
              <w:rPr/>
            </w:pPr>
            <w:r>
              <w:rPr/>
              <w:drawing>
                <wp:inline distT="0" distB="0" distL="0" distR="0">
                  <wp:extent cx="666750" cy="333375"/>
                  <wp:effectExtent l="0" t="0" r="0" b="0"/>
                  <wp:docPr id="13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6" descr=""/>
                          <pic:cNvPicPr>
                            <a:picLocks noChangeAspect="1" noChangeArrowheads="1"/>
                          </pic:cNvPicPr>
                        </pic:nvPicPr>
                        <pic:blipFill>
                          <a:blip r:embed="rId33"/>
                          <a:stretch>
                            <a:fillRect/>
                          </a:stretch>
                        </pic:blipFill>
                        <pic:spPr bwMode="auto">
                          <a:xfrm>
                            <a:off x="0" y="0"/>
                            <a:ext cx="666750" cy="333375"/>
                          </a:xfrm>
                          <a:prstGeom prst="rect">
                            <a:avLst/>
                          </a:prstGeom>
                        </pic:spPr>
                      </pic:pic>
                    </a:graphicData>
                  </a:graphic>
                </wp:inline>
              </w:drawing>
            </w:r>
          </w:p>
        </w:tc>
        <w:tc>
          <w:tcPr>
            <w:tcW w:w="2375" w:type="dxa"/>
            <w:tcBorders/>
            <w:vAlign w:val="center"/>
          </w:tcPr>
          <w:p>
            <w:pPr>
              <w:pStyle w:val="TableContents"/>
              <w:bidi w:val="0"/>
              <w:spacing w:before="0" w:after="283"/>
              <w:jc w:val="right"/>
              <w:rPr/>
            </w:pPr>
            <w:r>
              <w:rPr/>
              <w:t>March 30, 2026   Page 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opinion is expressed as to any matter not discussed in the Registration Statement under the caption “Material U.S. Federal Income Tax Consequences.” We are opining herein only as to the U.S. federal income tax matters described above, and we express no opinion with respect to the applicability to, or the effect on, any transaction of other federal laws, foreign laws, the laws of any state or any other jurisdiction or as to any matters of municipal law or the laws of any other local agencies within any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rendered to you as of the effective date of the Registration Statement, and we undertake no obligation to update this opinion subsequent to the date hereof. This opinion is furnished to you and may be relied on by you in connection with the transactions set forth in the Registration Statement. In addition, this opinion may be relied on by persons entitled to rely on it pursuant to applicable provisions of federal securities law, including persons purchasing Class A shares pursuant to the Registration Statement. However, this opinion may not be relied upon for any other purpose or furnished to, assigned to, quoted to or relied upon by any other person, firm or other entity, for any purpose, without our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of counsel as an exhibit to the Registration Statement and the use of our name under the captions “Material U.S. Federal Income Tax Consequences” and “Legal Matters” in the Registration Statement. In giving such consent, we do not admit that we are within the category of persons whose consent is required under Section 7 of the Securities Act.</w:t>
      </w:r>
    </w:p>
    <w:p>
      <w:pPr>
        <w:pStyle w:val="TextBody"/>
        <w:bidi w:val="0"/>
        <w:spacing w:before="0" w:after="0"/>
        <w:ind w:left="0" w:right="0" w:hanging="0"/>
        <w:jc w:val="left"/>
        <w:rPr>
          <w:caps w:val="false"/>
          <w:smallCaps w:val="false"/>
        </w:rPr>
      </w:pPr>
      <w:r>
        <w:rPr>
          <w:caps w:val="false"/>
          <w:smallCaps w:val="false"/>
        </w:rPr>
        <w:t> </w:t>
      </w:r>
    </w:p>
    <w:tbl>
      <w:tblPr>
        <w:tblW w:w="2225" w:type="dxa"/>
        <w:jc w:val="left"/>
        <w:tblInd w:w="0" w:type="dxa"/>
        <w:tblLayout w:type="fixed"/>
        <w:tblCellMar>
          <w:top w:w="0" w:type="dxa"/>
          <w:left w:w="0" w:type="dxa"/>
          <w:bottom w:w="0" w:type="dxa"/>
          <w:right w:w="0" w:type="dxa"/>
        </w:tblCellMar>
      </w:tblPr>
      <w:tblGrid>
        <w:gridCol w:w="75"/>
        <w:gridCol w:w="2150"/>
      </w:tblGrid>
      <w:tr>
        <w:trPr/>
        <w:tc>
          <w:tcPr>
            <w:tcW w:w="75"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Vinson &amp; Elkins L.L.P.</w:t>
            </w:r>
          </w:p>
        </w:tc>
      </w:tr>
      <w:tr>
        <w:trPr/>
        <w:tc>
          <w:tcPr>
            <w:tcW w:w="75"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Vinson &amp; Elkins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0" w:name="tm266712d2_ex23-1.htm"/>
      <w:bookmarkStart w:id="21" w:name="kstm266712d2_ex231"/>
      <w:bookmarkEnd w:id="20"/>
      <w:bookmarkEnd w:id="2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S-3 of Plains GP Holdings, L.P. of our report dated February 27, 2026 relating to the financial statements and the effectiveness of internal control over financial reporting, which appears in Plains GP Holdings, L.P.’s Annual Report on Form 10-K for the year ended December 31, 2025.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6712d2_ex23-2.htm"/>
      <w:bookmarkStart w:id="23" w:name="kstm266712d2_ex232"/>
      <w:bookmarkEnd w:id="22"/>
      <w:bookmarkEnd w:id="2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AUDITORS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of our report dated April 24, 2025, with respect to the consolidated financial statements of EPIC Crude Holdings, LP, incorporated herein by reference, and to the reference to our firm under the heading “Experts”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KPMG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Antonio, Texas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4" w:name="tm266712d1_ex-filingfees.htm"/>
      <w:bookmarkStart w:id="25" w:name="kstm266712d1_exfilingfees"/>
      <w:bookmarkStart w:id="26" w:name="tm266712d1_ex-filingfees.htm"/>
      <w:bookmarkStart w:id="27" w:name="kstm266712d1_exfilingfees"/>
      <w:bookmarkEnd w:id="26"/>
      <w:bookmarkEnd w:id="27"/>
      <w:r>
        <w:br w:type="page"/>
      </w:r>
    </w:p>
    <w:tbl>
      <w:tblPr>
        <w:tblW w:w="3580" w:type="dxa"/>
        <w:jc w:val="left"/>
        <w:tblInd w:w="0" w:type="dxa"/>
        <w:tblLayout w:type="fixed"/>
        <w:tblCellMar>
          <w:top w:w="28" w:type="dxa"/>
          <w:left w:w="28" w:type="dxa"/>
          <w:bottom w:w="28" w:type="dxa"/>
          <w:right w:w="28" w:type="dxa"/>
        </w:tblCellMar>
      </w:tblPr>
      <w:tblGrid>
        <w:gridCol w:w="3426"/>
        <w:gridCol w:w="154"/>
      </w:tblGrid>
      <w:tr>
        <w:trPr/>
        <w:tc>
          <w:tcPr>
            <w:tcW w:w="358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6" w:type="dxa"/>
            <w:tcBorders/>
            <w:vAlign w:val="center"/>
          </w:tcPr>
          <w:p>
            <w:pPr>
              <w:pStyle w:val="TableContents"/>
              <w:bidi w:val="0"/>
              <w:spacing w:before="0" w:after="283"/>
              <w:jc w:val="left"/>
              <w:rPr>
                <w:b/>
              </w:rPr>
            </w:pPr>
            <w:r>
              <w:rPr>
                <w:b/>
              </w:rPr>
              <w:t xml:space="preserve">PLAINS GP HOLDINGS LP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6139" w:type="dxa"/>
        <w:jc w:val="left"/>
        <w:tblInd w:w="0" w:type="dxa"/>
        <w:tblLayout w:type="fixed"/>
        <w:tblCellMar>
          <w:top w:w="28" w:type="dxa"/>
          <w:left w:w="28" w:type="dxa"/>
          <w:bottom w:w="28" w:type="dxa"/>
          <w:right w:w="28" w:type="dxa"/>
        </w:tblCellMar>
      </w:tblPr>
      <w:tblGrid>
        <w:gridCol w:w="1126"/>
        <w:gridCol w:w="226"/>
        <w:gridCol w:w="1246"/>
        <w:gridCol w:w="1261"/>
        <w:gridCol w:w="1276"/>
        <w:gridCol w:w="1186"/>
        <w:gridCol w:w="1156"/>
        <w:gridCol w:w="178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2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6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613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61" w:type="dxa"/>
            <w:tcBorders/>
            <w:shd w:fill="E7E7E2" w:val="clear"/>
            <w:vAlign w:val="center"/>
          </w:tcPr>
          <w:p>
            <w:pPr>
              <w:pStyle w:val="TableContents"/>
              <w:bidi w:val="0"/>
              <w:spacing w:before="0" w:after="283"/>
              <w:jc w:val="left"/>
              <w:rPr/>
            </w:pPr>
            <w:r>
              <w:rPr/>
              <w:t xml:space="preserve">Class A shares representing limited partner interests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$ 938,900,000.00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26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$ 938,900,000.00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$ 129,662.09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6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613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6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2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28" w:name="MaxAggtOfferingPrice"/>
            <w:bookmarkEnd w:id="28"/>
            <w:r>
              <w:rPr/>
              <w:t xml:space="preserve">$ 938,900,000.00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9" w:name="TotalFeeAmt"/>
            <w:bookmarkEnd w:id="29"/>
            <w:r>
              <w:rPr/>
              <w:t xml:space="preserve">$ 129,662.09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2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0" w:name="TotalPreviouslyPaidAmt"/>
            <w:bookmarkEnd w:id="3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2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1" w:name="TotalOffsetAmt"/>
            <w:bookmarkEnd w:id="31"/>
            <w:r>
              <w:rPr/>
              <w:t xml:space="preserve">$ 115,900.00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2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2" w:name="NetFeeAmt"/>
            <w:bookmarkEnd w:id="32"/>
            <w:r>
              <w:rPr/>
              <w:t xml:space="preserve">$ 13,762.09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9"/>
        <w:gridCol w:w="8706"/>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(1a) This registration statement registers such indeterminate number of Class A shares representing limited partnership interests ("Class A shares") in Plains GP Holdings, L.P. ("Plains GP") as shall have a maximum aggregate offering price not to exceed $938,900,000.00. Pursuant to Rule 416 under the Securities Act of 1933, as amended (the "Securities Act"), the Class A shares being registered hereunder include such indeterminate number of Class A shares as may be issuable with respect to the Class A shares being registered hereunder as a result of splits, dividends or similar transactions. (1b) The proposed maximum aggregate offering price for the Class A shares will be determined from time to time by the registrant in connection with the issuance of the Class A shares registered hereunder and is not specified as to the Class A shares pursuant to Instruction 2.A.ii.b of the Instructions to the Calculation of Filing Fee Tables and Related Disclosure of Form S-3 under the Securities Act, or the Securities Act. (1c) Estimated solely for the purposes of computing the amount of the registration fee pursuant to Rule 457(o) under the Securities Act. (1d) See Note (1) to Table 2 below.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3622" w:type="dxa"/>
        <w:jc w:val="left"/>
        <w:tblInd w:w="0" w:type="dxa"/>
        <w:tblLayout w:type="fixed"/>
        <w:tblCellMar>
          <w:top w:w="28" w:type="dxa"/>
          <w:left w:w="28" w:type="dxa"/>
          <w:bottom w:w="28" w:type="dxa"/>
          <w:right w:w="28" w:type="dxa"/>
        </w:tblCellMar>
      </w:tblPr>
      <w:tblGrid>
        <w:gridCol w:w="871"/>
        <w:gridCol w:w="226"/>
        <w:gridCol w:w="1171"/>
        <w:gridCol w:w="691"/>
        <w:gridCol w:w="961"/>
        <w:gridCol w:w="706"/>
        <w:gridCol w:w="691"/>
        <w:gridCol w:w="1366"/>
        <w:gridCol w:w="1186"/>
        <w:gridCol w:w="1261"/>
        <w:gridCol w:w="1186"/>
        <w:gridCol w:w="1786"/>
        <w:gridCol w:w="1366"/>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1366"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261"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7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1366"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3622"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2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2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3622"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pPr>
            <w:r>
              <w:rPr/>
              <w:t xml:space="preserve">1 </w:t>
            </w:r>
          </w:p>
        </w:tc>
        <w:tc>
          <w:tcPr>
            <w:tcW w:w="1171" w:type="dxa"/>
            <w:tcBorders/>
            <w:shd w:fill="E7E7E2" w:val="clear"/>
            <w:vAlign w:val="center"/>
          </w:tcPr>
          <w:p>
            <w:pPr>
              <w:pStyle w:val="TableContents"/>
              <w:bidi w:val="0"/>
              <w:spacing w:before="0" w:after="283"/>
              <w:jc w:val="left"/>
              <w:rPr/>
            </w:pPr>
            <w:r>
              <w:rPr/>
              <w:t xml:space="preserve">Plains GP Holdings L.P. </w:t>
            </w:r>
          </w:p>
        </w:tc>
        <w:tc>
          <w:tcPr>
            <w:tcW w:w="691" w:type="dxa"/>
            <w:tcBorders/>
            <w:shd w:fill="E7E7E2" w:val="clear"/>
            <w:vAlign w:val="center"/>
          </w:tcPr>
          <w:p>
            <w:pPr>
              <w:pStyle w:val="TableContents"/>
              <w:bidi w:val="0"/>
              <w:spacing w:before="0" w:after="283"/>
              <w:jc w:val="left"/>
              <w:rPr/>
            </w:pPr>
            <w:r>
              <w:rPr/>
              <w:t xml:space="preserve">S-3 </w:t>
            </w:r>
          </w:p>
        </w:tc>
        <w:tc>
          <w:tcPr>
            <w:tcW w:w="961" w:type="dxa"/>
            <w:tcBorders/>
            <w:shd w:fill="E7E7E2" w:val="clear"/>
            <w:vAlign w:val="center"/>
          </w:tcPr>
          <w:p>
            <w:pPr>
              <w:pStyle w:val="TableContents"/>
              <w:bidi w:val="0"/>
              <w:spacing w:before="0" w:after="283"/>
              <w:jc w:val="left"/>
              <w:rPr/>
            </w:pPr>
            <w:r>
              <w:rPr/>
              <w:t xml:space="preserve">333-268843 </w:t>
            </w:r>
          </w:p>
        </w:tc>
        <w:tc>
          <w:tcPr>
            <w:tcW w:w="706" w:type="dxa"/>
            <w:tcBorders/>
            <w:shd w:fill="E7E7E2" w:val="clear"/>
            <w:vAlign w:val="center"/>
          </w:tcPr>
          <w:p>
            <w:pPr>
              <w:pStyle w:val="TableContents"/>
              <w:bidi w:val="0"/>
              <w:spacing w:before="0" w:after="283"/>
              <w:jc w:val="left"/>
              <w:rPr/>
            </w:pPr>
            <w:r>
              <w:rPr/>
              <w:t xml:space="preserve">12/16/2022 </w:t>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right"/>
              <w:rPr/>
            </w:pPr>
            <w:r>
              <w:rPr/>
              <w:t xml:space="preserve">$ 115,900.00 </w:t>
            </w:r>
          </w:p>
        </w:tc>
        <w:tc>
          <w:tcPr>
            <w:tcW w:w="1186" w:type="dxa"/>
            <w:tcBorders/>
            <w:shd w:fill="E7E7E2" w:val="clear"/>
            <w:vAlign w:val="center"/>
          </w:tcPr>
          <w:p>
            <w:pPr>
              <w:pStyle w:val="TableContents"/>
              <w:bidi w:val="0"/>
              <w:spacing w:before="0" w:after="283"/>
              <w:jc w:val="left"/>
              <w:rPr/>
            </w:pPr>
            <w:r>
              <w:rPr/>
              <w:t xml:space="preserve">Equity </w:t>
            </w:r>
          </w:p>
        </w:tc>
        <w:tc>
          <w:tcPr>
            <w:tcW w:w="1261" w:type="dxa"/>
            <w:tcBorders/>
            <w:shd w:fill="E7E7E2" w:val="clear"/>
            <w:vAlign w:val="center"/>
          </w:tcPr>
          <w:p>
            <w:pPr>
              <w:pStyle w:val="TableContents"/>
              <w:bidi w:val="0"/>
              <w:spacing w:before="0" w:after="283"/>
              <w:jc w:val="left"/>
              <w:rPr/>
            </w:pPr>
            <w:r>
              <w:rPr/>
              <w:t xml:space="preserve">Class A shares representing limited partnership interests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$ 938,900,000.00 </w:t>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pPr>
            <w:r>
              <w:rPr/>
              <w:t xml:space="preserve">Plains GP Holdings L.P. </w:t>
            </w:r>
          </w:p>
        </w:tc>
        <w:tc>
          <w:tcPr>
            <w:tcW w:w="691" w:type="dxa"/>
            <w:tcBorders/>
            <w:shd w:fill="E7E7E2" w:val="clear"/>
            <w:vAlign w:val="center"/>
          </w:tcPr>
          <w:p>
            <w:pPr>
              <w:pStyle w:val="TableContents"/>
              <w:bidi w:val="0"/>
              <w:spacing w:before="0" w:after="283"/>
              <w:jc w:val="left"/>
              <w:rPr/>
            </w:pPr>
            <w:r>
              <w:rPr/>
              <w:t xml:space="preserve">S-3 </w:t>
            </w:r>
          </w:p>
        </w:tc>
        <w:tc>
          <w:tcPr>
            <w:tcW w:w="961" w:type="dxa"/>
            <w:tcBorders/>
            <w:shd w:fill="E7E7E2" w:val="clear"/>
            <w:vAlign w:val="center"/>
          </w:tcPr>
          <w:p>
            <w:pPr>
              <w:pStyle w:val="TableContents"/>
              <w:bidi w:val="0"/>
              <w:spacing w:before="0" w:after="283"/>
              <w:jc w:val="left"/>
              <w:rPr/>
            </w:pPr>
            <w:r>
              <w:rPr/>
              <w:t xml:space="preserve">333-214964 </w:t>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pPr>
            <w:r>
              <w:rPr/>
              <w:t xml:space="preserve">12/08/2016 </w:t>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2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right"/>
              <w:rPr/>
            </w:pPr>
            <w:r>
              <w:rPr/>
              <w:t xml:space="preserve">$ 115,900.00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7205" w:type="dxa"/>
        <w:jc w:val="left"/>
        <w:tblInd w:w="0" w:type="dxa"/>
        <w:tblLayout w:type="fixed"/>
        <w:tblCellMar>
          <w:top w:w="28" w:type="dxa"/>
          <w:left w:w="28" w:type="dxa"/>
          <w:bottom w:w="28" w:type="dxa"/>
          <w:right w:w="28" w:type="dxa"/>
        </w:tblCellMar>
      </w:tblPr>
      <w:tblGrid>
        <w:gridCol w:w="7051"/>
        <w:gridCol w:w="154"/>
      </w:tblGrid>
      <w:tr>
        <w:trPr/>
        <w:tc>
          <w:tcPr>
            <w:tcW w:w="7051" w:type="dxa"/>
            <w:tcBorders/>
            <w:vAlign w:val="center"/>
          </w:tcPr>
          <w:p>
            <w:pPr>
              <w:pStyle w:val="TableContents"/>
              <w:bidi w:val="0"/>
              <w:spacing w:before="0" w:after="75"/>
              <w:ind w:left="0" w:right="0" w:hanging="0"/>
              <w:jc w:val="left"/>
              <w:rPr/>
            </w:pPr>
            <w:r>
              <w:rPr>
                <w:b/>
              </w:rPr>
              <w:t>Rule 457(p) Statement of Withdrawal, Termination, or Completion:</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7"/>
        <w:gridCol w:w="8710"/>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Pursuant to Rule 457(p) under the Securities Act, this registration statement includes unsold Class A shares with a maximum aggregate offering price of $938,900,000 that were previously registered under a Registration Statement on Form S-3 with the U.S. Securities and Exchange Commission (the "SEC") on December 8, 2016 (File No. 333-214964) ("Registration Statement I") and declared effective on December 20, 2016, which was subsequently updated and replaced by that certain Registration Statement on Form S-3, filed with the SEC on December 13, 2019 (File No. 333-235482) ("Registration Statement II") and declared effective on December 23, 2019, which was subsequently updated and replaced by that certain Registration Statement on Form S-3, filed with the SEC on December 16, 2022 (File No. 333-268843) ("Registration Statement III" and, together with the Registration Statement I and Registration Statement II, the "Prior Registration Statements") and declared effective on January 5, 2023, registering the unsold Class A shares with a maximum aggregate offering price of $938,900,000. A filing fee of $115,900.00 with respect to Class A shares with a maximum aggregate offering price of $1,000,000,000 was paid in connection with the filing of Registration Statement I, which will continue to be applied to the unsold Class A shares included on this registration statement. Pursuant to Rule 457(p) under the Securities Act, the registration fee applicable to the Class A shares with a maximum aggregate offering price of $938,900,000 being registered hereby in the amount of $129,662.09 is offset by $115,900.00 in registration fees previously paid by Plains GP with respect to the Class A shares that were registered but not issued pursuant to the Prior Registration Statements. Concurrently with the filing of this registration statement, any offering of unsold securities pursuant to Registration Statement III is hereby terminated.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581990/000158199026000012/pagp-20251231.htm" TargetMode="External"/><Relationship Id="rId4" Type="http://schemas.openxmlformats.org/officeDocument/2006/relationships/hyperlink" Target="https://www.sec.gov/ix?doc=/Archives/edgar/data/1581990/000158199026000004/pagp-20251031.htm" TargetMode="External"/><Relationship Id="rId5" Type="http://schemas.openxmlformats.org/officeDocument/2006/relationships/hyperlink" Target="https://www.sec.gov/ix?doc=/Archives/edgar/data/1581990/000110465926022839/tm267811d1_8k.htm" TargetMode="External"/><Relationship Id="rId6" Type="http://schemas.openxmlformats.org/officeDocument/2006/relationships/hyperlink" Target="https://www.sec.gov/ix?doc=/Archives/edgar/data/1581990/000158199025000006/pagp-20241231.htm" TargetMode="External"/><Relationship Id="rId7" Type="http://schemas.openxmlformats.org/officeDocument/2006/relationships/hyperlink" Target="https://www.sec.gov/ix?doc=/Archives/edgar/data/1581990/000110465925033938/tm252370-4_def14a.htm" TargetMode="External"/><Relationship Id="rId8" Type="http://schemas.openxmlformats.org/officeDocument/2006/relationships/hyperlink" Target="https://www.sec.gov/Archives/edgar/data/1581990/000158199025000006/pagp202410-kexhibit415.htm" TargetMode="External"/><Relationship Id="rId9" Type="http://schemas.openxmlformats.org/officeDocument/2006/relationships/hyperlink" Target="https://www.sec.gov/Archives/edgar/data/1581990/000110465920134603/tm2037371-3_8a12b.htm" TargetMode="External"/><Relationship Id="rId10" Type="http://schemas.openxmlformats.org/officeDocument/2006/relationships/hyperlink" Target="https://www.sec.gov/ix?doc=/Archives/edgar/data/1581990/000158199026000012/pagp-20251231.htm" TargetMode="External"/><Relationship Id="rId11" Type="http://schemas.openxmlformats.org/officeDocument/2006/relationships/hyperlink" Target="https://www.sec.gov/ix?doc=/Archives/edgar/data/1581990/000158199026000012/pagp-20251231.htm" TargetMode="External"/><Relationship Id="rId12" Type="http://schemas.openxmlformats.org/officeDocument/2006/relationships/hyperlink" Target="https://www.sec.gov/ix?doc=/Archives/edgar/data/1581990/000158199026000012/pagp-20251231.htm" TargetMode="External"/><Relationship Id="rId13" Type="http://schemas.openxmlformats.org/officeDocument/2006/relationships/hyperlink" Target="https://www.sec.gov/Archives/edgar/data/1581990/000158199025000006/pagp202410-kexhibit415.htm" TargetMode="External"/><Relationship Id="rId14" Type="http://schemas.openxmlformats.org/officeDocument/2006/relationships/hyperlink" Target="https://www.sec.gov/Archives/edgar/data/1581990/000110465916157336/a16-21686_18a12ba.htm" TargetMode="External"/><Relationship Id="rId15" Type="http://schemas.openxmlformats.org/officeDocument/2006/relationships/hyperlink" Target="https://www.sec.gov/Archives/edgar/data/1581990/000110465920134603/tm2037371-3_8a12b.htm" TargetMode="External"/><Relationship Id="rId16" Type="http://schemas.openxmlformats.org/officeDocument/2006/relationships/hyperlink" Target="https://www.sec.gov/ix?doc=/Archives/edgar/data/1581990/000158199026000012/pagp-20251231.htm" TargetMode="External"/><Relationship Id="rId17" Type="http://schemas.openxmlformats.org/officeDocument/2006/relationships/hyperlink" Target="https://www.sec.gov/Archives/edgar/data/1581990/000104746913007875/a2216069zex-3_1.htm" TargetMode="External"/><Relationship Id="rId18" Type="http://schemas.openxmlformats.org/officeDocument/2006/relationships/hyperlink" Target="https://www.sec.gov/Archives/edgar/data/1581990/000110465916158356/a16-21845_1ex3d2.htm" TargetMode="External"/><Relationship Id="rId19" Type="http://schemas.openxmlformats.org/officeDocument/2006/relationships/hyperlink" Target="https://www.sec.gov/Archives/edgar/data/1581990/000158199020000012/exhibit31.htm" TargetMode="External"/><Relationship Id="rId20" Type="http://schemas.openxmlformats.org/officeDocument/2006/relationships/hyperlink" Target="https://www.sec.gov/Archives/edgar/data/1581990/000104746913007875/a2216069zex-3_3.htm" TargetMode="External"/><Relationship Id="rId21" Type="http://schemas.openxmlformats.org/officeDocument/2006/relationships/hyperlink" Target="https://www.sec.gov/Archives/edgar/data/1581990/000158199022000006/pagp202110-kexhibit311a.htm" TargetMode="External"/><Relationship Id="rId22" Type="http://schemas.openxmlformats.org/officeDocument/2006/relationships/hyperlink" Target="https://www.sec.gov/Archives/edgar/data/1070423/000110465917061889/a17-22685_5ex3d1.htm" TargetMode="External"/><Relationship Id="rId23" Type="http://schemas.openxmlformats.org/officeDocument/2006/relationships/hyperlink" Target="https://www.sec.gov/Archives/edgar/data/1581990/000110465916158356/a16-21845_1ex3d3.htm" TargetMode="External"/><Relationship Id="rId24" Type="http://schemas.openxmlformats.org/officeDocument/2006/relationships/hyperlink" Target="https://www.sec.gov/Archives/edgar/data/1581990/000110465916158356/a16-21845_1ex3d4.htm" TargetMode="External"/><Relationship Id="rId25" Type="http://schemas.openxmlformats.org/officeDocument/2006/relationships/hyperlink" Target="https://www.sec.gov/Archives/edgar/data/1581990/000110465918060012/a18-36197_1ex3d1.htm" TargetMode="External"/><Relationship Id="rId26" Type="http://schemas.openxmlformats.org/officeDocument/2006/relationships/hyperlink" Target="https://www.sec.gov/Archives/edgar/data/1581990/000110465919032813/a19-10857_1ex3d1.htm" TargetMode="External"/><Relationship Id="rId27" Type="http://schemas.openxmlformats.org/officeDocument/2006/relationships/hyperlink" Target="https://www.sec.gov/Archives/edgar/data/1581990/000110465923093996/tm2324102d2_ex3-1.htm" TargetMode="External"/><Relationship Id="rId28" Type="http://schemas.openxmlformats.org/officeDocument/2006/relationships/hyperlink" Target="https://www.sec.gov/Archives/edgar/data/1070423/000095012908000071/h52770exv3w3.htm" TargetMode="External"/><Relationship Id="rId29" Type="http://schemas.openxmlformats.org/officeDocument/2006/relationships/image" Target="media/image2.jpeg"/><Relationship Id="rId30" Type="http://schemas.openxmlformats.org/officeDocument/2006/relationships/image" Target="media/image3.jpeg"/><Relationship Id="rId31" Type="http://schemas.openxmlformats.org/officeDocument/2006/relationships/image" Target="media/image3.jpeg"/><Relationship Id="rId32" Type="http://schemas.openxmlformats.org/officeDocument/2006/relationships/image" Target="media/image4.jpeg"/><Relationship Id="rId33" Type="http://schemas.openxmlformats.org/officeDocument/2006/relationships/image" Target="media/image5.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17305</Words>
  <Characters>91331</Characters>
  <CharactersWithSpaces>109502</CharactersWithSpaces>
  <Paragraphs>1432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