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Plains All American Pipeline, L.P.</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Units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726503105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726503105</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531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53148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I.R.S. Identification Nos. of above persons (entities only).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ALPS Advisors, Inc. (Tax ID: 84-1583423)</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26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00"/>
              <w:spacing w:after="0"/>
              <w:rPr>
                <w:sz w:val="20"/>
                <w:szCs w:val="20"/>
                <w:color w:val="auto"/>
              </w:rPr>
            </w:pPr>
            <w:r>
              <w:rPr>
                <w:rFonts w:ascii="Arial" w:cs="Arial" w:eastAsia="Arial" w:hAnsi="Arial"/>
                <w:sz w:val="22"/>
                <w:szCs w:val="22"/>
                <w:color w:val="auto"/>
              </w:rPr>
              <w:t>Colorado</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84"/>
              </w:rPr>
              <w:t>Shares</w:t>
            </w:r>
          </w:p>
        </w:tc>
        <w:tc>
          <w:tcPr>
            <w:tcW w:w="40" w:type="dxa"/>
            <w:vAlign w:val="bottom"/>
          </w:tcPr>
          <w:p>
            <w:pPr>
              <w:spacing w:after="0"/>
              <w:rPr>
                <w:sz w:val="15"/>
                <w:szCs w:val="15"/>
                <w:color w:val="auto"/>
              </w:rPr>
            </w:pPr>
          </w:p>
        </w:tc>
        <w:tc>
          <w:tcPr>
            <w:tcW w:w="260" w:type="dxa"/>
            <w:vAlign w:val="bottom"/>
            <w:tcBorders>
              <w:right w:val="single" w:sz="8" w:color="auto"/>
            </w:tcBorders>
            <w:vMerge w:val="continue"/>
          </w:tcPr>
          <w:p>
            <w:pPr>
              <w:spacing w:after="0"/>
              <w:rPr>
                <w:sz w:val="15"/>
                <w:szCs w:val="15"/>
                <w:color w:val="auto"/>
              </w:rPr>
            </w:pPr>
          </w:p>
        </w:tc>
        <w:tc>
          <w:tcPr>
            <w:tcW w:w="10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10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000" w:type="dxa"/>
            <w:vAlign w:val="bottom"/>
            <w:vMerge w:val="restart"/>
          </w:tcPr>
          <w:p>
            <w:pPr>
              <w:ind w:left="320"/>
              <w:spacing w:after="0"/>
              <w:rPr>
                <w:sz w:val="20"/>
                <w:szCs w:val="20"/>
                <w:color w:val="auto"/>
              </w:rPr>
            </w:pPr>
            <w:r>
              <w:rPr>
                <w:rFonts w:ascii="Arial" w:cs="Arial" w:eastAsia="Arial" w:hAnsi="Arial"/>
                <w:sz w:val="22"/>
                <w:szCs w:val="22"/>
                <w:color w:val="auto"/>
              </w:rPr>
              <w:t>24,410,107 **see Note 1**</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5"/>
                <w:szCs w:val="15"/>
                <w:color w:val="auto"/>
              </w:rPr>
            </w:pPr>
          </w:p>
        </w:tc>
        <w:tc>
          <w:tcPr>
            <w:tcW w:w="2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Borders>
              <w:right w:val="single" w:sz="8" w:color="auto"/>
            </w:tcBorders>
            <w:gridSpan w:val="2"/>
          </w:tcPr>
          <w:p>
            <w:pPr>
              <w:jc w:val="center"/>
              <w:ind w:right="163"/>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000" w:type="dxa"/>
            <w:vAlign w:val="bottom"/>
          </w:tcPr>
          <w:p>
            <w:pPr>
              <w:ind w:left="3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10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24,410,107 **see Note 1**</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00"/>
              <w:spacing w:after="0"/>
              <w:rPr>
                <w:sz w:val="20"/>
                <w:szCs w:val="20"/>
                <w:color w:val="auto"/>
              </w:rPr>
            </w:pPr>
            <w:r>
              <w:rPr>
                <w:rFonts w:ascii="Arial" w:cs="Arial" w:eastAsia="Arial" w:hAnsi="Arial"/>
                <w:sz w:val="22"/>
                <w:szCs w:val="22"/>
                <w:color w:val="auto"/>
              </w:rPr>
              <w:t>24,410,107 **see Note 1**</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N/A</w:t>
            </w:r>
          </w:p>
        </w:tc>
        <w:tc>
          <w:tcPr>
            <w:tcW w:w="26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300"/>
              <w:spacing w:after="0"/>
              <w:rPr>
                <w:sz w:val="20"/>
                <w:szCs w:val="20"/>
                <w:color w:val="auto"/>
              </w:rPr>
            </w:pPr>
            <w:r>
              <w:rPr>
                <w:rFonts w:ascii="Arial" w:cs="Arial" w:eastAsia="Arial" w:hAnsi="Arial"/>
                <w:sz w:val="22"/>
                <w:szCs w:val="22"/>
                <w:color w:val="auto"/>
              </w:rPr>
              <w:t>6.14%</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IA</w:t>
            </w:r>
          </w:p>
        </w:tc>
        <w:tc>
          <w:tcPr>
            <w:tcW w:w="26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726503105</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531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53148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I.R.S. Identification Nos. of above persons (entities only).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Alerian MLP ETF (Tax ID: 27-3041076)</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26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0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84"/>
              </w:rPr>
              <w:t>Shares</w:t>
            </w:r>
          </w:p>
        </w:tc>
        <w:tc>
          <w:tcPr>
            <w:tcW w:w="40" w:type="dxa"/>
            <w:vAlign w:val="bottom"/>
          </w:tcPr>
          <w:p>
            <w:pPr>
              <w:spacing w:after="0"/>
              <w:rPr>
                <w:sz w:val="15"/>
                <w:szCs w:val="15"/>
                <w:color w:val="auto"/>
              </w:rPr>
            </w:pPr>
          </w:p>
        </w:tc>
        <w:tc>
          <w:tcPr>
            <w:tcW w:w="260" w:type="dxa"/>
            <w:vAlign w:val="bottom"/>
            <w:tcBorders>
              <w:right w:val="single" w:sz="8" w:color="auto"/>
            </w:tcBorders>
            <w:vMerge w:val="continue"/>
          </w:tcPr>
          <w:p>
            <w:pPr>
              <w:spacing w:after="0"/>
              <w:rPr>
                <w:sz w:val="15"/>
                <w:szCs w:val="15"/>
                <w:color w:val="auto"/>
              </w:rPr>
            </w:pPr>
          </w:p>
        </w:tc>
        <w:tc>
          <w:tcPr>
            <w:tcW w:w="10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10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000" w:type="dxa"/>
            <w:vAlign w:val="bottom"/>
            <w:vMerge w:val="restart"/>
          </w:tcPr>
          <w:p>
            <w:pPr>
              <w:ind w:left="320"/>
              <w:spacing w:after="0"/>
              <w:rPr>
                <w:sz w:val="20"/>
                <w:szCs w:val="20"/>
                <w:color w:val="auto"/>
              </w:rPr>
            </w:pPr>
            <w:r>
              <w:rPr>
                <w:rFonts w:ascii="Arial" w:cs="Arial" w:eastAsia="Arial" w:hAnsi="Arial"/>
                <w:sz w:val="22"/>
                <w:szCs w:val="22"/>
                <w:color w:val="auto"/>
              </w:rPr>
              <w:t>24,299,462 **see Note 1**</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5"/>
                <w:szCs w:val="15"/>
                <w:color w:val="auto"/>
              </w:rPr>
            </w:pPr>
          </w:p>
        </w:tc>
        <w:tc>
          <w:tcPr>
            <w:tcW w:w="2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Borders>
              <w:right w:val="single" w:sz="8" w:color="auto"/>
            </w:tcBorders>
            <w:gridSpan w:val="2"/>
          </w:tcPr>
          <w:p>
            <w:pPr>
              <w:jc w:val="center"/>
              <w:ind w:right="163"/>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000" w:type="dxa"/>
            <w:vAlign w:val="bottom"/>
          </w:tcPr>
          <w:p>
            <w:pPr>
              <w:ind w:left="3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10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24,299,462 **see Note 1**</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00"/>
              <w:spacing w:after="0"/>
              <w:rPr>
                <w:sz w:val="20"/>
                <w:szCs w:val="20"/>
                <w:color w:val="auto"/>
              </w:rPr>
            </w:pPr>
            <w:r>
              <w:rPr>
                <w:rFonts w:ascii="Arial" w:cs="Arial" w:eastAsia="Arial" w:hAnsi="Arial"/>
                <w:sz w:val="22"/>
                <w:szCs w:val="22"/>
                <w:color w:val="auto"/>
              </w:rPr>
              <w:t>24,299,462 **see Note 1**</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N/A</w:t>
            </w:r>
          </w:p>
        </w:tc>
        <w:tc>
          <w:tcPr>
            <w:tcW w:w="26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300"/>
              <w:spacing w:after="0"/>
              <w:rPr>
                <w:sz w:val="20"/>
                <w:szCs w:val="20"/>
                <w:color w:val="auto"/>
              </w:rPr>
            </w:pPr>
            <w:r>
              <w:rPr>
                <w:rFonts w:ascii="Arial" w:cs="Arial" w:eastAsia="Arial" w:hAnsi="Arial"/>
                <w:sz w:val="22"/>
                <w:szCs w:val="22"/>
                <w:color w:val="auto"/>
              </w:rPr>
              <w:t>6.11%</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IV</w:t>
            </w:r>
          </w:p>
        </w:tc>
        <w:tc>
          <w:tcPr>
            <w:tcW w:w="26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1" w:lineRule="exact"/>
        <w:rPr>
          <w:sz w:val="20"/>
          <w:szCs w:val="20"/>
          <w:color w:val="auto"/>
        </w:rPr>
      </w:pPr>
    </w:p>
    <w:p>
      <w:pPr>
        <w:ind w:left="1480" w:hanging="567"/>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Plains All American Pipeline, L.P.</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500" w:right="7020"/>
        <w:spacing w:after="0" w:line="308" w:lineRule="auto"/>
        <w:rPr>
          <w:rFonts w:ascii="Arial" w:cs="Arial" w:eastAsia="Arial" w:hAnsi="Arial"/>
          <w:sz w:val="18"/>
          <w:szCs w:val="18"/>
          <w:color w:val="auto"/>
        </w:rPr>
      </w:pPr>
      <w:r>
        <w:rPr>
          <w:rFonts w:ascii="Arial" w:cs="Arial" w:eastAsia="Arial" w:hAnsi="Arial"/>
          <w:sz w:val="17"/>
          <w:szCs w:val="17"/>
          <w:color w:val="auto"/>
        </w:rPr>
        <w:t>333 Clay Street, Suite 1600 Houston, TX 77002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31" w:lineRule="exact"/>
        <w:rPr>
          <w:sz w:val="20"/>
          <w:szCs w:val="20"/>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117" w:lineRule="exact"/>
        <w:rPr>
          <w:rFonts w:ascii="Arial" w:cs="Arial" w:eastAsia="Arial" w:hAnsi="Arial"/>
          <w:sz w:val="18"/>
          <w:szCs w:val="18"/>
          <w:color w:val="auto"/>
        </w:rPr>
      </w:pPr>
    </w:p>
    <w:p>
      <w:pPr>
        <w:ind w:left="2200" w:hanging="252"/>
        <w:spacing w:after="0"/>
        <w:tabs>
          <w:tab w:leader="none" w:pos="2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ALPS Advisors, Inc.</w:t>
      </w:r>
    </w:p>
    <w:p>
      <w:pPr>
        <w:spacing w:after="0" w:line="23" w:lineRule="exact"/>
        <w:rPr>
          <w:rFonts w:ascii="Arial" w:cs="Arial" w:eastAsia="Arial" w:hAnsi="Arial"/>
          <w:sz w:val="18"/>
          <w:szCs w:val="18"/>
          <w:color w:val="auto"/>
        </w:rPr>
      </w:pPr>
    </w:p>
    <w:p>
      <w:pPr>
        <w:ind w:left="2200" w:hanging="252"/>
        <w:spacing w:after="0"/>
        <w:tabs>
          <w:tab w:leader="none" w:pos="2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Alerian MLP ETF</w:t>
      </w:r>
    </w:p>
    <w:p>
      <w:pPr>
        <w:spacing w:after="0" w:line="116"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rFonts w:ascii="Arial" w:cs="Arial" w:eastAsia="Arial" w:hAnsi="Arial"/>
          <w:sz w:val="18"/>
          <w:szCs w:val="18"/>
          <w:color w:val="auto"/>
        </w:rPr>
      </w:pPr>
    </w:p>
    <w:p>
      <w:pPr>
        <w:ind w:left="2200" w:hanging="252"/>
        <w:spacing w:after="0"/>
        <w:tabs>
          <w:tab w:leader="none" w:pos="2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1290 Broadway, Suite 1100, Denver, CO 80203</w:t>
      </w:r>
    </w:p>
    <w:p>
      <w:pPr>
        <w:spacing w:after="0" w:line="23" w:lineRule="exact"/>
        <w:rPr>
          <w:rFonts w:ascii="Arial" w:cs="Arial" w:eastAsia="Arial" w:hAnsi="Arial"/>
          <w:sz w:val="18"/>
          <w:szCs w:val="18"/>
          <w:color w:val="auto"/>
        </w:rPr>
      </w:pPr>
    </w:p>
    <w:p>
      <w:pPr>
        <w:ind w:left="2200" w:hanging="252"/>
        <w:spacing w:after="0"/>
        <w:tabs>
          <w:tab w:leader="none" w:pos="2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1290 Broadway, Suite 1100, Denver, CO 80203</w:t>
      </w:r>
    </w:p>
    <w:p>
      <w:pPr>
        <w:spacing w:after="0" w:line="116"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rFonts w:ascii="Arial" w:cs="Arial" w:eastAsia="Arial" w:hAnsi="Arial"/>
          <w:sz w:val="18"/>
          <w:szCs w:val="18"/>
          <w:color w:val="auto"/>
        </w:rPr>
      </w:pPr>
    </w:p>
    <w:p>
      <w:pPr>
        <w:ind w:left="2200" w:hanging="252"/>
        <w:spacing w:after="0"/>
        <w:tabs>
          <w:tab w:leader="none" w:pos="2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Colorado</w:t>
      </w:r>
    </w:p>
    <w:p>
      <w:pPr>
        <w:spacing w:after="0" w:line="23" w:lineRule="exact"/>
        <w:rPr>
          <w:rFonts w:ascii="Arial" w:cs="Arial" w:eastAsia="Arial" w:hAnsi="Arial"/>
          <w:sz w:val="18"/>
          <w:szCs w:val="18"/>
          <w:color w:val="auto"/>
        </w:rPr>
      </w:pPr>
    </w:p>
    <w:p>
      <w:pPr>
        <w:ind w:left="2200" w:hanging="252"/>
        <w:spacing w:after="0"/>
        <w:tabs>
          <w:tab w:leader="none" w:pos="2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Delaware</w:t>
      </w:r>
    </w:p>
    <w:p>
      <w:pPr>
        <w:spacing w:after="0" w:line="116"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00" w:lineRule="exact"/>
        <w:rPr>
          <w:sz w:val="20"/>
          <w:szCs w:val="20"/>
          <w:color w:val="auto"/>
        </w:rPr>
      </w:pPr>
    </w:p>
    <w:p>
      <w:pPr>
        <w:spacing w:after="0" w:line="255" w:lineRule="exact"/>
        <w:rPr>
          <w:sz w:val="20"/>
          <w:szCs w:val="20"/>
          <w:color w:val="auto"/>
        </w:rPr>
      </w:pPr>
    </w:p>
    <w:p>
      <w:pPr>
        <w:ind w:left="1940" w:right="7740" w:hanging="1027"/>
        <w:spacing w:after="0" w:line="483" w:lineRule="auto"/>
        <w:tabs>
          <w:tab w:leader="none" w:pos="1472"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726503105</w:t>
      </w:r>
    </w:p>
    <w:p>
      <w:pPr>
        <w:spacing w:after="0" w:line="16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4" w:lineRule="exact"/>
        <w:rPr>
          <w:sz w:val="20"/>
          <w:szCs w:val="20"/>
          <w:color w:val="auto"/>
        </w:rPr>
      </w:pPr>
    </w:p>
    <w:p>
      <w:pPr>
        <w:ind w:left="1340" w:hanging="405"/>
        <w:spacing w:after="0" w:line="207" w:lineRule="exact"/>
        <w:tabs>
          <w:tab w:leader="none" w:pos="134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40" w:hanging="410"/>
        <w:spacing w:after="0" w:line="207" w:lineRule="exact"/>
        <w:tabs>
          <w:tab w:leader="none" w:pos="134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40" w:hanging="405"/>
        <w:spacing w:after="0" w:line="207" w:lineRule="exact"/>
        <w:tabs>
          <w:tab w:leader="none" w:pos="134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680" w:hanging="750"/>
        <w:spacing w:after="0" w:line="239" w:lineRule="exact"/>
        <w:tabs>
          <w:tab w:leader="none" w:pos="1329"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 - </w:t>
      </w:r>
      <w:r>
        <w:rPr>
          <w:rFonts w:ascii="Arial" w:cs="Arial" w:eastAsia="Arial" w:hAnsi="Arial"/>
          <w:sz w:val="18"/>
          <w:szCs w:val="18"/>
          <w:b w:val="1"/>
          <w:bCs w:val="1"/>
          <w:color w:val="auto"/>
        </w:rPr>
        <w:t>Alerian MLP</w:t>
      </w:r>
      <w:r>
        <w:rPr>
          <w:rFonts w:ascii="Arial" w:cs="Arial" w:eastAsia="Arial" w:hAnsi="Arial"/>
          <w:sz w:val="18"/>
          <w:szCs w:val="18"/>
          <w:color w:val="auto"/>
        </w:rPr>
        <w:t xml:space="preserve"> </w:t>
      </w:r>
      <w:r>
        <w:rPr>
          <w:rFonts w:ascii="Arial" w:cs="Arial" w:eastAsia="Arial" w:hAnsi="Arial"/>
          <w:sz w:val="18"/>
          <w:szCs w:val="18"/>
          <w:b w:val="1"/>
          <w:bCs w:val="1"/>
          <w:color w:val="auto"/>
        </w:rPr>
        <w:t>ETF</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340" w:hanging="405"/>
        <w:spacing w:after="0" w:line="207" w:lineRule="exact"/>
        <w:tabs>
          <w:tab w:leader="none" w:pos="134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 – </w:t>
      </w:r>
      <w:r>
        <w:rPr>
          <w:rFonts w:ascii="Arial" w:cs="Arial" w:eastAsia="Arial" w:hAnsi="Arial"/>
          <w:sz w:val="18"/>
          <w:szCs w:val="18"/>
          <w:b w:val="1"/>
          <w:bCs w:val="1"/>
          <w:color w:val="auto"/>
        </w:rPr>
        <w:t>ALPS Advisors, Inc.;</w:t>
      </w:r>
    </w:p>
    <w:p>
      <w:pPr>
        <w:spacing w:after="0" w:line="117" w:lineRule="exact"/>
        <w:rPr>
          <w:rFonts w:ascii="Arial" w:cs="Arial" w:eastAsia="Arial" w:hAnsi="Arial"/>
          <w:sz w:val="18"/>
          <w:szCs w:val="18"/>
          <w:color w:val="auto"/>
        </w:rPr>
      </w:pPr>
    </w:p>
    <w:p>
      <w:pPr>
        <w:ind w:left="1340" w:hanging="395"/>
        <w:spacing w:after="0" w:line="207" w:lineRule="exact"/>
        <w:tabs>
          <w:tab w:leader="none" w:pos="134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40" w:hanging="410"/>
        <w:spacing w:after="0" w:line="207" w:lineRule="exact"/>
        <w:tabs>
          <w:tab w:leader="none" w:pos="134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40" w:hanging="410"/>
        <w:spacing w:after="0" w:line="207" w:lineRule="exact"/>
        <w:tabs>
          <w:tab w:leader="none" w:pos="134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sz w:val="20"/>
          <w:szCs w:val="20"/>
          <w:color w:val="auto"/>
        </w:rPr>
      </w:pPr>
    </w:p>
    <w:p>
      <w:pPr>
        <w:ind w:left="1680" w:right="320" w:hanging="731"/>
        <w:spacing w:after="0" w:line="239" w:lineRule="exact"/>
        <w:tabs>
          <w:tab w:leader="none" w:pos="1329"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ectPr>
          <w:pgSz w:w="11900" w:h="16838" w:orient="portrait"/>
          <w:cols w:equalWidth="0" w:num="1">
            <w:col w:w="10500"/>
          </w:cols>
          <w:pgMar w:left="240" w:top="274" w:right="1159" w:bottom="1440" w:gutter="0" w:footer="0" w:header="0"/>
        </w:sectPr>
      </w:pPr>
    </w:p>
    <w:bookmarkStart w:id="4" w:name="page5"/>
    <w:bookmarkEnd w:id="4"/>
    <w:p>
      <w:pPr>
        <w:ind w:left="1340" w:hanging="391"/>
        <w:spacing w:after="0" w:line="207" w:lineRule="exact"/>
        <w:tabs>
          <w:tab w:leader="none" w:pos="134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color w:val="auto"/>
        </w:rPr>
        <w:t xml:space="preserve">  A non-U.S. institution in accordance with § 240.13d-1(b)(1)(ii)(J);</w:t>
      </w:r>
    </w:p>
    <w:p>
      <w:pPr>
        <w:spacing w:after="0" w:line="117" w:lineRule="exact"/>
        <w:rPr>
          <w:sz w:val="20"/>
          <w:szCs w:val="20"/>
          <w:color w:val="auto"/>
        </w:rPr>
      </w:pPr>
    </w:p>
    <w:p>
      <w:pPr>
        <w:ind w:left="1340" w:hanging="410"/>
        <w:spacing w:after="0" w:line="207" w:lineRule="exact"/>
        <w:tabs>
          <w:tab w:leader="none" w:pos="13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ALPS Advisors, Inc.</w:t>
      </w:r>
    </w:p>
    <w:p>
      <w:pPr>
        <w:spacing w:after="0" w:line="131" w:lineRule="exact"/>
        <w:rPr>
          <w:sz w:val="20"/>
          <w:szCs w:val="20"/>
          <w:color w:val="auto"/>
        </w:rPr>
      </w:pPr>
    </w:p>
    <w:p>
      <w:pPr>
        <w:ind w:left="1940" w:right="6299" w:hanging="1027"/>
        <w:spacing w:after="0" w:line="431" w:lineRule="auto"/>
        <w:tabs>
          <w:tab w:leader="none" w:pos="1472"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 beneficially owned: 24,410,107 **see Note 1**</w:t>
      </w:r>
    </w:p>
    <w:p>
      <w:pPr>
        <w:ind w:left="1480" w:hanging="567"/>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6.14%</w:t>
      </w:r>
    </w:p>
    <w:p>
      <w:pPr>
        <w:spacing w:after="0" w:line="131" w:lineRule="exact"/>
        <w:rPr>
          <w:sz w:val="20"/>
          <w:szCs w:val="20"/>
          <w:color w:val="auto"/>
        </w:rPr>
      </w:pPr>
    </w:p>
    <w:p>
      <w:pPr>
        <w:ind w:left="1480" w:hanging="567"/>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2400" w:right="5439" w:hanging="920"/>
        <w:spacing w:after="0" w:line="383" w:lineRule="auto"/>
        <w:tabs>
          <w:tab w:leader="none" w:pos="1921"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2400" w:right="5259" w:hanging="920"/>
        <w:spacing w:after="0" w:line="383" w:lineRule="auto"/>
        <w:tabs>
          <w:tab w:leader="none" w:pos="1921"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24,410,107 **see Note 1**</w:t>
      </w:r>
    </w:p>
    <w:p>
      <w:pPr>
        <w:spacing w:after="0" w:line="1" w:lineRule="exact"/>
        <w:rPr>
          <w:rFonts w:ascii="Arial" w:cs="Arial" w:eastAsia="Arial" w:hAnsi="Arial"/>
          <w:sz w:val="18"/>
          <w:szCs w:val="18"/>
          <w:color w:val="auto"/>
        </w:rPr>
      </w:pPr>
    </w:p>
    <w:p>
      <w:pPr>
        <w:ind w:left="2400" w:right="4519" w:hanging="920"/>
        <w:spacing w:after="0" w:line="383" w:lineRule="auto"/>
        <w:tabs>
          <w:tab w:leader="none" w:pos="1921"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2400" w:right="4339" w:hanging="920"/>
        <w:spacing w:after="0" w:line="402" w:lineRule="auto"/>
        <w:tabs>
          <w:tab w:leader="none" w:pos="1921"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24,410,107 **see Note 1**</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Alerian MLP ETF</w:t>
      </w:r>
    </w:p>
    <w:p>
      <w:pPr>
        <w:spacing w:after="0" w:line="131" w:lineRule="exact"/>
        <w:rPr>
          <w:sz w:val="20"/>
          <w:szCs w:val="20"/>
          <w:color w:val="auto"/>
        </w:rPr>
      </w:pPr>
    </w:p>
    <w:p>
      <w:pPr>
        <w:ind w:left="1940" w:right="6299" w:hanging="1027"/>
        <w:spacing w:after="0" w:line="431" w:lineRule="auto"/>
        <w:tabs>
          <w:tab w:leader="none" w:pos="1472"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24,299,462 **see Note 1**</w:t>
      </w: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6.11%</w:t>
      </w:r>
    </w:p>
    <w:p>
      <w:pPr>
        <w:sectPr>
          <w:pgSz w:w="11900" w:h="16838" w:orient="portrait"/>
          <w:cols w:equalWidth="0" w:num="1">
            <w:col w:w="10219"/>
          </w:cols>
          <w:pgMar w:left="240" w:top="349" w:right="1440" w:bottom="1440" w:gutter="0" w:footer="0" w:header="0"/>
        </w:sectPr>
      </w:pPr>
    </w:p>
    <w:bookmarkStart w:id="5" w:name="page6"/>
    <w:bookmarkEnd w:id="5"/>
    <w:p>
      <w:pPr>
        <w:ind w:left="1480" w:hanging="567"/>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the person has:</w:t>
      </w:r>
    </w:p>
    <w:p>
      <w:pPr>
        <w:spacing w:after="0" w:line="130" w:lineRule="exact"/>
        <w:rPr>
          <w:rFonts w:ascii="Arial" w:cs="Arial" w:eastAsia="Arial" w:hAnsi="Arial"/>
          <w:sz w:val="18"/>
          <w:szCs w:val="18"/>
          <w:color w:val="auto"/>
        </w:rPr>
      </w:pPr>
    </w:p>
    <w:p>
      <w:pPr>
        <w:ind w:left="2400" w:right="6560" w:hanging="920"/>
        <w:spacing w:after="0" w:line="383" w:lineRule="auto"/>
        <w:tabs>
          <w:tab w:leader="none" w:pos="1921"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2400" w:right="6380" w:hanging="920"/>
        <w:spacing w:after="0" w:line="383" w:lineRule="auto"/>
        <w:tabs>
          <w:tab w:leader="none" w:pos="1921"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24,299,462 **see Note 1**</w:t>
      </w:r>
    </w:p>
    <w:p>
      <w:pPr>
        <w:spacing w:after="0" w:line="1" w:lineRule="exact"/>
        <w:rPr>
          <w:rFonts w:ascii="Arial" w:cs="Arial" w:eastAsia="Arial" w:hAnsi="Arial"/>
          <w:sz w:val="18"/>
          <w:szCs w:val="18"/>
          <w:color w:val="auto"/>
        </w:rPr>
      </w:pPr>
    </w:p>
    <w:p>
      <w:pPr>
        <w:ind w:left="2400" w:right="5640" w:hanging="920"/>
        <w:spacing w:after="0" w:line="375" w:lineRule="auto"/>
        <w:tabs>
          <w:tab w:leader="none" w:pos="1921"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2400" w:right="5520" w:hanging="831"/>
        <w:spacing w:after="0" w:line="402" w:lineRule="auto"/>
        <w:tabs>
          <w:tab w:leader="none" w:pos="1870" w:val="left"/>
        </w:tabs>
        <w:numPr>
          <w:ilvl w:val="3"/>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24,299,462 **see Note 1**</w:t>
      </w:r>
    </w:p>
    <w:p>
      <w:pPr>
        <w:spacing w:after="0" w:line="89" w:lineRule="exact"/>
        <w:rPr>
          <w:rFonts w:ascii="Arial" w:cs="Arial" w:eastAsia="Arial" w:hAnsi="Arial"/>
          <w:sz w:val="18"/>
          <w:szCs w:val="18"/>
          <w:color w:val="auto"/>
        </w:rPr>
      </w:pPr>
    </w:p>
    <w:p>
      <w:pPr>
        <w:ind w:left="1380" w:hanging="1372"/>
        <w:spacing w:after="0" w:line="272" w:lineRule="auto"/>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Note 1 **</w:t>
      </w:r>
      <w:r>
        <w:rPr>
          <w:rFonts w:ascii="Arial" w:cs="Arial" w:eastAsia="Arial" w:hAnsi="Arial"/>
          <w:sz w:val="17"/>
          <w:szCs w:val="17"/>
          <w:color w:val="auto"/>
        </w:rPr>
        <w:t>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70"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Alerian MLP ETF is an investment company registered under the Investment Company Act of 1940 and is one of the Funds to which AAI provides investment advice.</w:t>
      </w:r>
    </w:p>
    <w:p>
      <w:pPr>
        <w:spacing w:after="0" w:line="3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Funds described in Note 1 above have the right to receive or the power to direct the receipt of dividends from, or the proceeds from the sale of the securities held in their respective accounts. AAI disclaims beneficial ownership of all such securities. The interest of one person, Alerian MLP ETF, an investment company registered under the Investment Company Act of 1940, in Plains All American Pipeline, L.P. Common Unit amounted to 24,299,462 shares or 6.11% of the total outstanding Common Units.</w:t>
      </w:r>
    </w:p>
    <w:p>
      <w:pPr>
        <w:sectPr>
          <w:pgSz w:w="11900" w:h="16838" w:orient="portrait"/>
          <w:cols w:equalWidth="0" w:num="1">
            <w:col w:w="11340"/>
          </w:cols>
          <w:pgMar w:left="240" w:top="274" w:right="319" w:bottom="1440" w:gutter="0" w:footer="0" w:header="0"/>
        </w:sectPr>
      </w:pPr>
    </w:p>
    <w:bookmarkStart w:id="6" w:name="page7"/>
    <w:bookmarkEnd w:id="6"/>
    <w:p>
      <w:pPr>
        <w:ind w:left="1040" w:hanging="1025"/>
        <w:spacing w:after="0" w:line="277" w:lineRule="auto"/>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ind w:left="1500" w:right="2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360"/>
          </w:cols>
          <w:pgMar w:left="240" w:top="274" w:right="299" w:bottom="1440" w:gutter="0" w:footer="0" w:header="0"/>
        </w:sectPr>
      </w:pPr>
    </w:p>
    <w:bookmarkStart w:id="7" w:name="page8"/>
    <w:bookmarkEnd w:id="7"/>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ALPS ADVISORS,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Erin D.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ALERIAN MLP ETF</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Erin D.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1060"/>
      </w:cols>
      <w:pgMar w:left="2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1"/>
    </w:lvl>
    <w:lvl w:ilvl="1">
      <w:lvlJc w:val="left"/>
      <w:lvlText w:val="(%2)"/>
      <w:numFmt w:val="decimal"/>
      <w:start w:val="1"/>
    </w:lvl>
  </w:abstractNum>
  <w:abstractNum w:abstractNumId="4">
    <w:nsid w:val="5BD062C2"/>
    <w:multiLevelType w:val="hybridMultilevel"/>
    <w:lvl w:ilvl="0">
      <w:lvlJc w:val="left"/>
      <w:lvlText w:val="(%1)"/>
      <w:numFmt w:val="lowerLetter"/>
      <w:start w:val="5"/>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Roman"/>
      <w:start w:val="1"/>
    </w:lvl>
  </w:abstractNum>
  <w:abstractNum w:abstractNumId="7">
    <w:nsid w:val="216231B"/>
    <w:multiLevelType w:val="hybridMultilevel"/>
    <w:lvl w:ilvl="0">
      <w:lvlJc w:val="left"/>
      <w:lvlText w:val="(%1)"/>
      <w:numFmt w:val="lowerLetter"/>
      <w:start w:val="10"/>
    </w:lvl>
  </w:abstractNum>
  <w:abstractNum w:abstractNumId="8">
    <w:nsid w:val="1F16E9E8"/>
    <w:multiLevelType w:val="hybridMultilevel"/>
    <w:lvl w:ilvl="0">
      <w:lvlJc w:val="left"/>
      <w:lvlText w:val="(%1)"/>
      <w:numFmt w:val="lowerLetter"/>
      <w:start w:val="1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lvl w:ilvl="3">
      <w:lvlJc w:val="left"/>
      <w:lvlText w:val="(%4)"/>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2020-01-19T11:59:41Z</dcterms:created>
  <dcterms:modified xsi:type="dcterms:W3CDTF">2020-01-19T11:59:41Z</dcterms:modified>
</cp:coreProperties>
</file>