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March 10, 2016</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4"/>
          <w:szCs w:val="14"/>
          <w:b w:val="1"/>
          <w:bCs w:val="1"/>
          <w:color w:val="auto"/>
        </w:rPr>
        <w:t>UNDER</w:t>
      </w:r>
    </w:p>
    <w:p>
      <w:pPr>
        <w:jc w:val="center"/>
        <w:ind w:right="-19"/>
        <w:spacing w:after="0"/>
        <w:rPr>
          <w:sz w:val="20"/>
          <w:szCs w:val="20"/>
          <w:color w:val="auto"/>
        </w:rPr>
      </w:pPr>
      <w:r>
        <w:rPr>
          <w:rFonts w:ascii="Arial" w:cs="Arial" w:eastAsia="Arial" w:hAnsi="Arial"/>
          <w:sz w:val="14"/>
          <w:szCs w:val="14"/>
          <w:b w:val="1"/>
          <w:bCs w:val="1"/>
          <w:color w:val="auto"/>
        </w:rPr>
        <w:t>THE SECURITIES ACT OF 1933</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PLAINS GP HOLDINGS, L.P.</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780" w:type="dxa"/>
        <w:tblCellMar>
          <w:top w:w="0" w:type="dxa"/>
          <w:left w:w="0" w:type="dxa"/>
          <w:bottom w:w="0" w:type="dxa"/>
          <w:right w:w="0" w:type="dxa"/>
        </w:tblCellMar>
      </w:tblPr>
      <w:tr>
        <w:trPr>
          <w:trHeight w:val="161"/>
        </w:trPr>
        <w:tc>
          <w:tcPr>
            <w:tcW w:w="2060" w:type="dxa"/>
            <w:vAlign w:val="bottom"/>
          </w:tcPr>
          <w:p>
            <w:pPr>
              <w:jc w:val="center"/>
              <w:ind w:right="232"/>
              <w:spacing w:after="0"/>
              <w:rPr>
                <w:sz w:val="20"/>
                <w:szCs w:val="20"/>
                <w:color w:val="auto"/>
              </w:rPr>
            </w:pPr>
            <w:r>
              <w:rPr>
                <w:rFonts w:ascii="Arial" w:cs="Arial" w:eastAsia="Arial" w:hAnsi="Arial"/>
                <w:sz w:val="14"/>
                <w:szCs w:val="14"/>
                <w:b w:val="1"/>
                <w:bCs w:val="1"/>
                <w:color w:val="auto"/>
                <w:w w:val="91"/>
              </w:rPr>
              <w:t>Delaware</w:t>
            </w:r>
          </w:p>
        </w:tc>
        <w:tc>
          <w:tcPr>
            <w:tcW w:w="1560" w:type="dxa"/>
            <w:vAlign w:val="bottom"/>
          </w:tcPr>
          <w:p>
            <w:pPr>
              <w:jc w:val="center"/>
              <w:ind w:left="232"/>
              <w:spacing w:after="0"/>
              <w:rPr>
                <w:sz w:val="20"/>
                <w:szCs w:val="20"/>
                <w:color w:val="auto"/>
              </w:rPr>
            </w:pPr>
            <w:r>
              <w:rPr>
                <w:rFonts w:ascii="Arial" w:cs="Arial" w:eastAsia="Arial" w:hAnsi="Arial"/>
                <w:sz w:val="14"/>
                <w:szCs w:val="14"/>
                <w:b w:val="1"/>
                <w:bCs w:val="1"/>
                <w:color w:val="auto"/>
                <w:w w:val="88"/>
              </w:rPr>
              <w:t>90-1005472</w:t>
            </w:r>
          </w:p>
        </w:tc>
      </w:tr>
      <w:tr>
        <w:trPr>
          <w:trHeight w:val="149"/>
        </w:trPr>
        <w:tc>
          <w:tcPr>
            <w:tcW w:w="2060" w:type="dxa"/>
            <w:vAlign w:val="bottom"/>
          </w:tcPr>
          <w:p>
            <w:pPr>
              <w:jc w:val="center"/>
              <w:ind w:right="232"/>
              <w:spacing w:after="0" w:line="149" w:lineRule="exact"/>
              <w:rPr>
                <w:sz w:val="20"/>
                <w:szCs w:val="20"/>
                <w:color w:val="auto"/>
              </w:rPr>
            </w:pPr>
            <w:r>
              <w:rPr>
                <w:rFonts w:ascii="Arial" w:cs="Arial" w:eastAsia="Arial" w:hAnsi="Arial"/>
                <w:sz w:val="14"/>
                <w:szCs w:val="14"/>
                <w:color w:val="auto"/>
                <w:w w:val="90"/>
              </w:rPr>
              <w:t>(State or other jurisdiction</w:t>
            </w:r>
          </w:p>
        </w:tc>
        <w:tc>
          <w:tcPr>
            <w:tcW w:w="1560" w:type="dxa"/>
            <w:vAlign w:val="bottom"/>
          </w:tcPr>
          <w:p>
            <w:pPr>
              <w:jc w:val="center"/>
              <w:ind w:left="21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060" w:type="dxa"/>
            <w:vAlign w:val="bottom"/>
          </w:tcPr>
          <w:p>
            <w:pPr>
              <w:jc w:val="center"/>
              <w:ind w:right="232"/>
              <w:spacing w:after="0"/>
              <w:rPr>
                <w:sz w:val="20"/>
                <w:szCs w:val="20"/>
                <w:color w:val="auto"/>
              </w:rPr>
            </w:pPr>
            <w:r>
              <w:rPr>
                <w:rFonts w:ascii="Arial" w:cs="Arial" w:eastAsia="Arial" w:hAnsi="Arial"/>
                <w:sz w:val="14"/>
                <w:szCs w:val="14"/>
                <w:color w:val="auto"/>
                <w:w w:val="89"/>
              </w:rPr>
              <w:t>of incorporation or organization)</w:t>
            </w:r>
          </w:p>
        </w:tc>
        <w:tc>
          <w:tcPr>
            <w:tcW w:w="1560" w:type="dxa"/>
            <w:vAlign w:val="bottom"/>
          </w:tcPr>
          <w:p>
            <w:pPr>
              <w:jc w:val="center"/>
              <w:ind w:left="232"/>
              <w:spacing w:after="0"/>
              <w:rPr>
                <w:sz w:val="20"/>
                <w:szCs w:val="20"/>
                <w:color w:val="auto"/>
              </w:rPr>
            </w:pPr>
            <w:r>
              <w:rPr>
                <w:rFonts w:ascii="Arial" w:cs="Arial" w:eastAsia="Arial" w:hAnsi="Arial"/>
                <w:sz w:val="14"/>
                <w:szCs w:val="14"/>
                <w:color w:val="auto"/>
                <w:w w:val="91"/>
              </w:rPr>
              <w:t>Identification Number)</w:t>
            </w: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3"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Richard McGee</w:t>
      </w:r>
    </w:p>
    <w:p>
      <w:pPr>
        <w:jc w:val="center"/>
        <w:ind w:right="-19"/>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right="-19"/>
        <w:spacing w:after="0" w:line="222" w:lineRule="auto"/>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1"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Copies to:</w:t>
      </w:r>
    </w:p>
    <w:p>
      <w:pPr>
        <w:jc w:val="center"/>
        <w:ind w:right="-19"/>
        <w:spacing w:after="0" w:line="223" w:lineRule="auto"/>
        <w:rPr>
          <w:sz w:val="20"/>
          <w:szCs w:val="20"/>
          <w:color w:val="auto"/>
        </w:rPr>
      </w:pPr>
      <w:r>
        <w:rPr>
          <w:rFonts w:ascii="Arial" w:cs="Arial" w:eastAsia="Arial" w:hAnsi="Arial"/>
          <w:sz w:val="14"/>
          <w:szCs w:val="14"/>
          <w:b w:val="1"/>
          <w:bCs w:val="1"/>
          <w:color w:val="auto"/>
        </w:rPr>
        <w:t>David P. Oelman</w:t>
      </w:r>
    </w:p>
    <w:p>
      <w:pPr>
        <w:jc w:val="center"/>
        <w:ind w:right="-19"/>
        <w:spacing w:after="0" w:line="222" w:lineRule="auto"/>
        <w:rPr>
          <w:sz w:val="20"/>
          <w:szCs w:val="20"/>
          <w:color w:val="auto"/>
        </w:rPr>
      </w:pPr>
      <w:r>
        <w:rPr>
          <w:rFonts w:ascii="Arial" w:cs="Arial" w:eastAsia="Arial" w:hAnsi="Arial"/>
          <w:sz w:val="14"/>
          <w:szCs w:val="14"/>
          <w:b w:val="1"/>
          <w:bCs w:val="1"/>
          <w:color w:val="auto"/>
        </w:rPr>
        <w:t>Alan Beck</w:t>
      </w:r>
    </w:p>
    <w:p>
      <w:pPr>
        <w:jc w:val="center"/>
        <w:ind w:right="-19"/>
        <w:spacing w:after="0" w:line="221" w:lineRule="auto"/>
        <w:rPr>
          <w:sz w:val="20"/>
          <w:szCs w:val="20"/>
          <w:color w:val="auto"/>
        </w:rPr>
      </w:pPr>
      <w:r>
        <w:rPr>
          <w:rFonts w:ascii="Arial" w:cs="Arial" w:eastAsia="Arial" w:hAnsi="Arial"/>
          <w:sz w:val="14"/>
          <w:szCs w:val="14"/>
          <w:b w:val="1"/>
          <w:bCs w:val="1"/>
          <w:color w:val="auto"/>
        </w:rPr>
        <w:t>Vinson &amp; Elkins L.L.P.</w:t>
      </w:r>
    </w:p>
    <w:p>
      <w:pPr>
        <w:jc w:val="center"/>
        <w:ind w:right="-19"/>
        <w:spacing w:after="0" w:line="222" w:lineRule="auto"/>
        <w:rPr>
          <w:sz w:val="20"/>
          <w:szCs w:val="20"/>
          <w:color w:val="auto"/>
        </w:rPr>
      </w:pPr>
      <w:r>
        <w:rPr>
          <w:rFonts w:ascii="Arial" w:cs="Arial" w:eastAsia="Arial" w:hAnsi="Arial"/>
          <w:sz w:val="14"/>
          <w:szCs w:val="14"/>
          <w:b w:val="1"/>
          <w:bCs w:val="1"/>
          <w:color w:val="auto"/>
        </w:rPr>
        <w:t>1001 Fannin Street, Suite 2500</w:t>
      </w:r>
    </w:p>
    <w:p>
      <w:pPr>
        <w:jc w:val="center"/>
        <w:ind w:right="-19"/>
        <w:spacing w:after="0" w:line="221"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rPr>
          <w:sz w:val="20"/>
          <w:szCs w:val="20"/>
          <w:color w:val="auto"/>
        </w:rPr>
      </w:pPr>
      <w:r>
        <w:rPr>
          <w:rFonts w:ascii="Arial" w:cs="Arial" w:eastAsia="Arial" w:hAnsi="Arial"/>
          <w:sz w:val="14"/>
          <w:szCs w:val="14"/>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340"/>
        <w:spacing w:after="0"/>
        <w:tabs>
          <w:tab w:leader="none" w:pos="870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600" w:firstLine="338"/>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40" w:firstLine="338"/>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80" w:firstLine="338"/>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338"/>
        <w:spacing w:after="0" w:line="239"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93" w:lineRule="exact"/>
        <w:rPr>
          <w:sz w:val="24"/>
          <w:szCs w:val="24"/>
          <w:color w:val="auto"/>
        </w:rPr>
      </w:pPr>
    </w:p>
    <w:p>
      <w:pPr>
        <w:ind w:right="660" w:firstLine="338"/>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right="540" w:firstLine="33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8" w:lineRule="exact"/>
        <w:rPr>
          <w:sz w:val="24"/>
          <w:szCs w:val="24"/>
          <w:color w:val="auto"/>
        </w:rPr>
      </w:pPr>
    </w:p>
    <w:tbl>
      <w:tblPr>
        <w:tblLayout w:type="fixed"/>
        <w:tblInd w:w="380" w:type="dxa"/>
        <w:tblCellMar>
          <w:top w:w="0" w:type="dxa"/>
          <w:left w:w="0" w:type="dxa"/>
          <w:bottom w:w="0" w:type="dxa"/>
          <w:right w:w="0" w:type="dxa"/>
        </w:tblCellMar>
      </w:tblPr>
      <w:tr>
        <w:trPr>
          <w:trHeight w:val="174"/>
        </w:trPr>
        <w:tc>
          <w:tcPr>
            <w:tcW w:w="274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020" w:type="dxa"/>
            <w:vAlign w:val="bottom"/>
          </w:tcPr>
          <w:p>
            <w:pPr>
              <w:ind w:left="300"/>
              <w:spacing w:after="0"/>
              <w:rPr>
                <w:sz w:val="20"/>
                <w:szCs w:val="20"/>
                <w:color w:val="auto"/>
              </w:rPr>
            </w:pPr>
            <w:r>
              <w:rPr>
                <w:rFonts w:ascii="Arial" w:cs="Arial" w:eastAsia="Arial" w:hAnsi="Arial"/>
                <w:sz w:val="14"/>
                <w:szCs w:val="14"/>
                <w:color w:val="auto"/>
              </w:rPr>
              <w:t>Accelerated filer o</w:t>
            </w:r>
          </w:p>
        </w:tc>
        <w:tc>
          <w:tcPr>
            <w:tcW w:w="2360" w:type="dxa"/>
            <w:vAlign w:val="bottom"/>
          </w:tcPr>
          <w:p>
            <w:pPr>
              <w:jc w:val="center"/>
              <w:ind w:left="993"/>
              <w:spacing w:after="0"/>
              <w:rPr>
                <w:sz w:val="20"/>
                <w:szCs w:val="20"/>
                <w:color w:val="auto"/>
              </w:rPr>
            </w:pPr>
            <w:r>
              <w:rPr>
                <w:rFonts w:ascii="Arial" w:cs="Arial" w:eastAsia="Arial" w:hAnsi="Arial"/>
                <w:sz w:val="14"/>
                <w:szCs w:val="14"/>
                <w:color w:val="auto"/>
                <w:w w:val="89"/>
              </w:rPr>
              <w:t>Non-accelerated filer o</w:t>
            </w:r>
          </w:p>
        </w:tc>
        <w:tc>
          <w:tcPr>
            <w:tcW w:w="1560" w:type="dxa"/>
            <w:vAlign w:val="bottom"/>
          </w:tcPr>
          <w:p>
            <w:pPr>
              <w:spacing w:after="0"/>
              <w:rPr>
                <w:sz w:val="15"/>
                <w:szCs w:val="15"/>
                <w:color w:val="auto"/>
              </w:rPr>
            </w:pPr>
          </w:p>
        </w:tc>
        <w:tc>
          <w:tcPr>
            <w:tcW w:w="1940" w:type="dxa"/>
            <w:vAlign w:val="bottom"/>
            <w:gridSpan w:val="2"/>
          </w:tcPr>
          <w:p>
            <w:pPr>
              <w:ind w:left="360"/>
              <w:spacing w:after="0"/>
              <w:rPr>
                <w:sz w:val="20"/>
                <w:szCs w:val="20"/>
                <w:color w:val="auto"/>
              </w:rPr>
            </w:pPr>
            <w:r>
              <w:rPr>
                <w:rFonts w:ascii="Arial" w:cs="Arial" w:eastAsia="Arial" w:hAnsi="Arial"/>
                <w:sz w:val="14"/>
                <w:szCs w:val="14"/>
                <w:color w:val="auto"/>
                <w:w w:val="87"/>
              </w:rPr>
              <w:t>Smaller reporting company o</w:t>
            </w:r>
          </w:p>
        </w:tc>
      </w:tr>
      <w:tr>
        <w:trPr>
          <w:trHeight w:val="149"/>
        </w:trPr>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360" w:type="dxa"/>
            <w:vAlign w:val="bottom"/>
          </w:tcPr>
          <w:p>
            <w:pPr>
              <w:jc w:val="center"/>
              <w:ind w:left="993"/>
              <w:spacing w:after="0" w:line="149" w:lineRule="exact"/>
              <w:rPr>
                <w:sz w:val="20"/>
                <w:szCs w:val="20"/>
                <w:color w:val="auto"/>
              </w:rPr>
            </w:pPr>
            <w:r>
              <w:rPr>
                <w:rFonts w:ascii="Arial" w:cs="Arial" w:eastAsia="Arial" w:hAnsi="Arial"/>
                <w:sz w:val="14"/>
                <w:szCs w:val="14"/>
                <w:color w:val="auto"/>
                <w:w w:val="89"/>
              </w:rPr>
              <w:t>(Do not check if a</w:t>
            </w:r>
          </w:p>
        </w:tc>
        <w:tc>
          <w:tcPr>
            <w:tcW w:w="1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2"/>
        </w:trPr>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920" w:type="dxa"/>
            <w:vAlign w:val="bottom"/>
            <w:gridSpan w:val="2"/>
          </w:tcPr>
          <w:p>
            <w:pPr>
              <w:jc w:val="center"/>
              <w:ind w:right="434"/>
              <w:spacing w:after="0"/>
              <w:rPr>
                <w:sz w:val="20"/>
                <w:szCs w:val="20"/>
                <w:color w:val="auto"/>
              </w:rPr>
            </w:pPr>
            <w:r>
              <w:rPr>
                <w:rFonts w:ascii="Arial" w:cs="Arial" w:eastAsia="Arial" w:hAnsi="Arial"/>
                <w:sz w:val="14"/>
                <w:szCs w:val="14"/>
                <w:color w:val="auto"/>
                <w:w w:val="88"/>
              </w:rPr>
              <w:t>smaller reporting company)</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65"/>
        </w:trPr>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380" w:type="dxa"/>
            <w:vAlign w:val="bottom"/>
            <w:gridSpan w:val="2"/>
          </w:tcPr>
          <w:p>
            <w:pPr>
              <w:ind w:left="1300"/>
              <w:spacing w:after="0"/>
              <w:rPr>
                <w:sz w:val="20"/>
                <w:szCs w:val="20"/>
                <w:color w:val="auto"/>
              </w:rPr>
            </w:pPr>
            <w:r>
              <w:rPr>
                <w:rFonts w:ascii="Arial" w:cs="Arial" w:eastAsia="Arial" w:hAnsi="Arial"/>
                <w:sz w:val="14"/>
                <w:szCs w:val="14"/>
                <w:b w:val="1"/>
                <w:bCs w:val="1"/>
                <w:color w:val="auto"/>
              </w:rPr>
              <w:t>CALCULATION OF REGISTRATION FEE</w:t>
            </w:r>
          </w:p>
        </w:tc>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4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1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360" w:type="dxa"/>
            <w:vAlign w:val="bottom"/>
          </w:tcPr>
          <w:p>
            <w:pPr>
              <w:jc w:val="center"/>
              <w:ind w:right="273"/>
              <w:spacing w:after="0" w:line="117"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tcPr>
          <w:p>
            <w:pPr>
              <w:jc w:val="center"/>
              <w:ind w:right="254"/>
              <w:spacing w:after="0" w:line="117" w:lineRule="exact"/>
              <w:rPr>
                <w:sz w:val="20"/>
                <w:szCs w:val="20"/>
                <w:color w:val="auto"/>
              </w:rPr>
            </w:pPr>
            <w:r>
              <w:rPr>
                <w:rFonts w:ascii="Arial" w:cs="Arial" w:eastAsia="Arial" w:hAnsi="Arial"/>
                <w:sz w:val="12"/>
                <w:szCs w:val="12"/>
                <w:b w:val="1"/>
                <w:bCs w:val="1"/>
                <w:color w:val="auto"/>
              </w:rPr>
              <w:t>Proposed Maximum</w:t>
            </w: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140" w:type="dxa"/>
            <w:vAlign w:val="bottom"/>
          </w:tcPr>
          <w:p>
            <w:pPr>
              <w:spacing w:after="0"/>
              <w:rPr>
                <w:sz w:val="12"/>
                <w:szCs w:val="12"/>
                <w:color w:val="auto"/>
              </w:rPr>
            </w:pPr>
          </w:p>
        </w:tc>
        <w:tc>
          <w:tcPr>
            <w:tcW w:w="260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7"/>
              </w:rPr>
              <w:t>Title of Securities</w:t>
            </w:r>
          </w:p>
        </w:tc>
        <w:tc>
          <w:tcPr>
            <w:tcW w:w="202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2360" w:type="dxa"/>
            <w:vAlign w:val="bottom"/>
          </w:tcPr>
          <w:p>
            <w:pPr>
              <w:jc w:val="center"/>
              <w:ind w:right="273"/>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156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94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140" w:type="dxa"/>
            <w:vAlign w:val="bottom"/>
          </w:tcPr>
          <w:p>
            <w:pPr>
              <w:spacing w:after="0"/>
              <w:rPr>
                <w:sz w:val="15"/>
                <w:szCs w:val="15"/>
                <w:color w:val="auto"/>
              </w:rPr>
            </w:pPr>
          </w:p>
        </w:tc>
        <w:tc>
          <w:tcPr>
            <w:tcW w:w="2600" w:type="dxa"/>
            <w:vAlign w:val="bottom"/>
          </w:tcPr>
          <w:p>
            <w:pPr>
              <w:jc w:val="center"/>
              <w:ind w:left="112"/>
              <w:spacing w:after="0"/>
              <w:rPr>
                <w:sz w:val="20"/>
                <w:szCs w:val="20"/>
                <w:color w:val="auto"/>
              </w:rPr>
            </w:pPr>
            <w:r>
              <w:rPr>
                <w:rFonts w:ascii="Arial" w:cs="Arial" w:eastAsia="Arial" w:hAnsi="Arial"/>
                <w:sz w:val="14"/>
                <w:szCs w:val="14"/>
                <w:b w:val="1"/>
                <w:bCs w:val="1"/>
                <w:color w:val="auto"/>
                <w:w w:val="85"/>
              </w:rPr>
              <w:t>to be Registered</w:t>
            </w:r>
          </w:p>
        </w:tc>
        <w:tc>
          <w:tcPr>
            <w:tcW w:w="2020" w:type="dxa"/>
            <w:vAlign w:val="bottom"/>
          </w:tcPr>
          <w:p>
            <w:pPr>
              <w:jc w:val="center"/>
              <w:ind w:left="312"/>
              <w:spacing w:after="0"/>
              <w:rPr>
                <w:sz w:val="20"/>
                <w:szCs w:val="20"/>
                <w:color w:val="auto"/>
              </w:rPr>
            </w:pPr>
            <w:r>
              <w:rPr>
                <w:rFonts w:ascii="Arial" w:cs="Arial" w:eastAsia="Arial" w:hAnsi="Arial"/>
                <w:sz w:val="14"/>
                <w:szCs w:val="14"/>
                <w:b w:val="1"/>
                <w:bCs w:val="1"/>
                <w:color w:val="auto"/>
                <w:w w:val="82"/>
              </w:rPr>
              <w:t>Registered</w:t>
            </w:r>
          </w:p>
        </w:tc>
        <w:tc>
          <w:tcPr>
            <w:tcW w:w="2360" w:type="dxa"/>
            <w:vAlign w:val="bottom"/>
          </w:tcPr>
          <w:p>
            <w:pPr>
              <w:jc w:val="center"/>
              <w:ind w:right="273"/>
              <w:spacing w:after="0"/>
              <w:rPr>
                <w:sz w:val="20"/>
                <w:szCs w:val="20"/>
                <w:color w:val="auto"/>
              </w:rPr>
            </w:pPr>
            <w:r>
              <w:rPr>
                <w:rFonts w:ascii="Arial" w:cs="Arial" w:eastAsia="Arial" w:hAnsi="Arial"/>
                <w:sz w:val="14"/>
                <w:szCs w:val="14"/>
                <w:b w:val="1"/>
                <w:bCs w:val="1"/>
                <w:color w:val="auto"/>
                <w:w w:val="87"/>
              </w:rPr>
              <w:t>Share</w:t>
            </w:r>
          </w:p>
        </w:tc>
        <w:tc>
          <w:tcPr>
            <w:tcW w:w="1560" w:type="dxa"/>
            <w:vAlign w:val="bottom"/>
          </w:tcPr>
          <w:p>
            <w:pPr>
              <w:jc w:val="center"/>
              <w:ind w:right="274"/>
              <w:spacing w:after="0"/>
              <w:rPr>
                <w:sz w:val="20"/>
                <w:szCs w:val="20"/>
                <w:color w:val="auto"/>
              </w:rPr>
            </w:pPr>
            <w:r>
              <w:rPr>
                <w:rFonts w:ascii="Arial" w:cs="Arial" w:eastAsia="Arial" w:hAnsi="Arial"/>
                <w:sz w:val="14"/>
                <w:szCs w:val="14"/>
                <w:b w:val="1"/>
                <w:bCs w:val="1"/>
                <w:color w:val="auto"/>
                <w:w w:val="87"/>
              </w:rPr>
              <w:t>Price</w:t>
            </w:r>
          </w:p>
        </w:tc>
        <w:tc>
          <w:tcPr>
            <w:tcW w:w="194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85"/>
              </w:rPr>
              <w:t>Registration Fee</w:t>
            </w:r>
          </w:p>
        </w:tc>
      </w:tr>
      <w:tr>
        <w:trPr>
          <w:trHeight w:val="138"/>
        </w:trPr>
        <w:tc>
          <w:tcPr>
            <w:tcW w:w="140" w:type="dxa"/>
            <w:vAlign w:val="bottom"/>
          </w:tcPr>
          <w:p>
            <w:pPr>
              <w:spacing w:after="0"/>
              <w:rPr>
                <w:sz w:val="11"/>
                <w:szCs w:val="11"/>
                <w:color w:val="auto"/>
              </w:rPr>
            </w:pPr>
          </w:p>
        </w:tc>
        <w:tc>
          <w:tcPr>
            <w:tcW w:w="2600" w:type="dxa"/>
            <w:vAlign w:val="bottom"/>
            <w:tcBorders>
              <w:top w:val="single" w:sz="8" w:color="auto"/>
            </w:tcBorders>
          </w:tcPr>
          <w:p>
            <w:pPr>
              <w:spacing w:after="0" w:line="138" w:lineRule="exact"/>
              <w:rPr>
                <w:sz w:val="20"/>
                <w:szCs w:val="20"/>
                <w:color w:val="auto"/>
              </w:rPr>
            </w:pPr>
            <w:r>
              <w:rPr>
                <w:rFonts w:ascii="Arial" w:cs="Arial" w:eastAsia="Arial" w:hAnsi="Arial"/>
                <w:sz w:val="14"/>
                <w:szCs w:val="14"/>
                <w:color w:val="auto"/>
                <w:w w:val="96"/>
              </w:rPr>
              <w:t>Class A shares representing limited partner</w:t>
            </w:r>
          </w:p>
        </w:tc>
        <w:tc>
          <w:tcPr>
            <w:tcW w:w="2020" w:type="dxa"/>
            <w:vAlign w:val="bottom"/>
            <w:tcBorders>
              <w:top w:val="single" w:sz="8" w:color="auto"/>
            </w:tcBorders>
          </w:tcPr>
          <w:p>
            <w:pPr>
              <w:spacing w:after="0"/>
              <w:rPr>
                <w:sz w:val="11"/>
                <w:szCs w:val="11"/>
                <w:color w:val="auto"/>
              </w:rPr>
            </w:pPr>
          </w:p>
        </w:tc>
        <w:tc>
          <w:tcPr>
            <w:tcW w:w="236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80"/>
        </w:trPr>
        <w:tc>
          <w:tcPr>
            <w:tcW w:w="140" w:type="dxa"/>
            <w:vAlign w:val="bottom"/>
          </w:tcPr>
          <w:p>
            <w:pPr>
              <w:spacing w:after="0"/>
              <w:rPr>
                <w:sz w:val="15"/>
                <w:szCs w:val="15"/>
                <w:color w:val="auto"/>
              </w:rPr>
            </w:pPr>
          </w:p>
        </w:tc>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interests</w:t>
            </w:r>
          </w:p>
        </w:tc>
        <w:tc>
          <w:tcPr>
            <w:tcW w:w="2020" w:type="dxa"/>
            <w:vAlign w:val="bottom"/>
            <w:tcBorders>
              <w:bottom w:val="single" w:sz="8" w:color="auto"/>
            </w:tcBorders>
          </w:tcPr>
          <w:p>
            <w:pPr>
              <w:jc w:val="center"/>
              <w:ind w:left="312"/>
              <w:spacing w:after="0"/>
              <w:rPr>
                <w:sz w:val="20"/>
                <w:szCs w:val="20"/>
                <w:color w:val="auto"/>
              </w:rPr>
            </w:pPr>
            <w:r>
              <w:rPr>
                <w:rFonts w:ascii="Arial" w:cs="Arial" w:eastAsia="Arial" w:hAnsi="Arial"/>
                <w:sz w:val="14"/>
                <w:szCs w:val="14"/>
                <w:color w:val="auto"/>
                <w:w w:val="87"/>
              </w:rPr>
              <w:t>17,954,751(1)</w:t>
            </w:r>
          </w:p>
        </w:tc>
        <w:tc>
          <w:tcPr>
            <w:tcW w:w="236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color w:val="auto"/>
                <w:w w:val="88"/>
              </w:rPr>
              <w:t>$7.67(2)</w:t>
            </w:r>
          </w:p>
        </w:tc>
        <w:tc>
          <w:tcPr>
            <w:tcW w:w="15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color w:val="auto"/>
                <w:w w:val="88"/>
              </w:rPr>
              <w:t>$137,712,940.17(2)</w:t>
            </w:r>
          </w:p>
        </w:tc>
        <w:tc>
          <w:tcPr>
            <w:tcW w:w="1860" w:type="dxa"/>
            <w:vAlign w:val="bottom"/>
            <w:tcBorders>
              <w:bottom w:val="single" w:sz="8" w:color="auto"/>
            </w:tcBorders>
          </w:tcPr>
          <w:p>
            <w:pPr>
              <w:jc w:val="center"/>
              <w:ind w:left="132"/>
              <w:spacing w:after="0"/>
              <w:rPr>
                <w:sz w:val="20"/>
                <w:szCs w:val="20"/>
                <w:color w:val="auto"/>
              </w:rPr>
            </w:pPr>
            <w:r>
              <w:rPr>
                <w:rFonts w:ascii="Arial" w:cs="Arial" w:eastAsia="Arial" w:hAnsi="Arial"/>
                <w:sz w:val="14"/>
                <w:szCs w:val="14"/>
                <w:color w:val="auto"/>
                <w:w w:val="89"/>
              </w:rPr>
              <w:t>$13,867.69(2)</w:t>
            </w:r>
          </w:p>
        </w:tc>
        <w:tc>
          <w:tcPr>
            <w:tcW w:w="80" w:type="dxa"/>
            <w:vAlign w:val="bottom"/>
          </w:tcPr>
          <w:p>
            <w:pPr>
              <w:spacing w:after="0"/>
              <w:rPr>
                <w:sz w:val="15"/>
                <w:szCs w:val="15"/>
                <w:color w:val="auto"/>
              </w:rPr>
            </w:pPr>
          </w:p>
        </w:tc>
      </w:tr>
      <w:tr>
        <w:trPr>
          <w:trHeight w:val="20"/>
        </w:trPr>
        <w:tc>
          <w:tcPr>
            <w:tcW w:w="14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70" w:orient="portrait"/>
          <w:cols w:equalWidth="0" w:num="1">
            <w:col w:w="11420"/>
          </w:cols>
          <w:pgMar w:left="240" w:top="685" w:right="239" w:bottom="0" w:gutter="0" w:footer="0" w:header="0"/>
        </w:sectPr>
      </w:pPr>
    </w:p>
    <w:bookmarkStart w:id="1" w:name="page2"/>
    <w:bookmarkEnd w:id="1"/>
    <w:p>
      <w:pPr>
        <w:ind w:left="540" w:right="6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under the Securities Act, the number of Class A shares being registered on behalf of the selling shareholders shall be adjusted to include any additional Class A shares that may become issuable as a result of any share distribution, split, combination or similar transaction.</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457(c) of the Securities Act, the registration fee is calculated on the basis of the average of the high and low sale prices of our Class A shares on March 8, 2016, as reported on the New York Stock Exchange.</w:t>
      </w:r>
    </w:p>
    <w:p>
      <w:pPr>
        <w:spacing w:after="0" w:line="191" w:lineRule="exact"/>
        <w:rPr>
          <w:sz w:val="20"/>
          <w:szCs w:val="20"/>
          <w:color w:val="auto"/>
        </w:rPr>
      </w:pPr>
    </w:p>
    <w:p>
      <w:pPr>
        <w:ind w:right="100" w:firstLine="338"/>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FF4040"/>
        </w:rPr>
        <w:t>The information in this prospectus is not complete and may be changed. Securities may not be sold pursuant to this prospectus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March 10,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152400</wp:posOffset>
            </wp:positionV>
            <wp:extent cx="3378835" cy="728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7883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17,954,751 Class A Shares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4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This prospectus relates to up to 17,954,751 Class A shares representing limited partner interests in Plains GP Holdings, L.P. that the selling shareholders named in this prospectus may from time to time, in one or more offerings, offer and sell. For a detailed discussion of the selling shareholders, please read "Selling Shareholders."</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selling shareholders may offer and sell these Class A shares to or through one or more underwriters, dealers or agents, or directly to investors, in amounts, at prices and on terms to be determined by market conditions and other factors at the time of the offering. This prospectus describes only the general terms of these Class A shares and the general manner of offering these Class A shares by the selling shareholders. We may file one or more prospectus supplements that may describe the specific manner in which the selling shareholders will offer the Class A shares and also may add, update or change information contained in this prospectus.</w:t>
      </w:r>
    </w:p>
    <w:p>
      <w:pPr>
        <w:spacing w:after="0" w:line="197" w:lineRule="exact"/>
        <w:rPr>
          <w:sz w:val="20"/>
          <w:szCs w:val="20"/>
          <w:color w:val="auto"/>
        </w:rPr>
      </w:pPr>
    </w:p>
    <w:p>
      <w:pPr>
        <w:jc w:val="both"/>
        <w:ind w:right="18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New York Stock Exchange ("NYSE") under the symbol "PAGP."</w:t>
      </w:r>
    </w:p>
    <w:p>
      <w:pPr>
        <w:spacing w:after="0" w:line="206" w:lineRule="exact"/>
        <w:rPr>
          <w:sz w:val="20"/>
          <w:szCs w:val="20"/>
          <w:color w:val="auto"/>
        </w:rPr>
      </w:pPr>
    </w:p>
    <w:p>
      <w:pPr>
        <w:ind w:right="18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this prospectus before you make an investment in our Class A shares.</w:t>
      </w:r>
    </w:p>
    <w:p>
      <w:pPr>
        <w:spacing w:after="0" w:line="136" w:lineRule="exact"/>
        <w:rPr>
          <w:sz w:val="20"/>
          <w:szCs w:val="20"/>
          <w:color w:val="auto"/>
        </w:rPr>
      </w:pPr>
    </w:p>
    <w:p>
      <w:pPr>
        <w:ind w:right="40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20" w:type="dxa"/>
            <w:vAlign w:val="bottom"/>
          </w:tcPr>
          <w:p>
            <w:pPr>
              <w:ind w:left="3940"/>
              <w:spacing w:after="0"/>
              <w:rPr>
                <w:sz w:val="20"/>
                <w:szCs w:val="20"/>
                <w:color w:val="auto"/>
              </w:rPr>
            </w:pPr>
            <w:r>
              <w:rPr>
                <w:rFonts w:ascii="Arial" w:cs="Arial" w:eastAsia="Arial" w:hAnsi="Arial"/>
                <w:sz w:val="18"/>
                <w:szCs w:val="18"/>
                <w:color w:val="auto"/>
              </w:rPr>
              <w:t>The date of this prospectus is</w:t>
            </w:r>
          </w:p>
        </w:tc>
        <w:tc>
          <w:tcPr>
            <w:tcW w:w="4900" w:type="dxa"/>
            <w:vAlign w:val="bottom"/>
          </w:tcPr>
          <w:p>
            <w:pPr>
              <w:jc w:val="right"/>
              <w:ind w:right="3852"/>
              <w:spacing w:after="0"/>
              <w:rPr>
                <w:sz w:val="20"/>
                <w:szCs w:val="20"/>
                <w:color w:val="auto"/>
              </w:rPr>
            </w:pPr>
            <w:r>
              <w:rPr>
                <w:rFonts w:ascii="Arial" w:cs="Arial" w:eastAsia="Arial" w:hAnsi="Arial"/>
                <w:sz w:val="18"/>
                <w:szCs w:val="18"/>
                <w:color w:val="auto"/>
              </w:rPr>
              <w:t>, 2016</w:t>
            </w:r>
          </w:p>
        </w:tc>
      </w:tr>
      <w:tr>
        <w:trPr>
          <w:trHeight w:val="228"/>
        </w:trPr>
        <w:tc>
          <w:tcPr>
            <w:tcW w:w="65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6060" w:type="dxa"/>
            <w:vAlign w:val="bottom"/>
            <w:gridSpan w:val="18"/>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2500" w:type="dxa"/>
            <w:vAlign w:val="bottom"/>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060" w:type="dxa"/>
            <w:vAlign w:val="bottom"/>
            <w:gridSpan w:val="18"/>
            <w:vMerge w:val="continue"/>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jc w:val="right"/>
              <w:spacing w:after="0" w:line="170"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3260" w:type="dxa"/>
            <w:vAlign w:val="bottom"/>
            <w:gridSpan w:val="5"/>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5"/>
                <w:szCs w:val="15"/>
                <w:color w:val="0000EE"/>
                <w:w w:val="73"/>
              </w:rPr>
            </w:pPr>
            <w:hyperlink w:anchor="page7">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About Plains GP Holdings, L.P.</w:t>
              </w:r>
            </w:hyperlink>
          </w:p>
        </w:tc>
        <w:tc>
          <w:tcPr>
            <w:tcW w:w="3780" w:type="dxa"/>
            <w:vAlign w:val="bottom"/>
            <w:gridSpan w:val="6"/>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5160" w:type="dxa"/>
            <w:vAlign w:val="bottom"/>
            <w:gridSpan w:val="16"/>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Use of Proceeds</w:t>
              </w:r>
            </w:hyperlink>
          </w:p>
        </w:tc>
        <w:tc>
          <w:tcPr>
            <w:tcW w:w="4900" w:type="dxa"/>
            <w:vAlign w:val="bottom"/>
            <w:gridSpan w:val="14"/>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6060" w:type="dxa"/>
            <w:vAlign w:val="bottom"/>
            <w:gridSpan w:val="1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Price Range of Class A Shares and Distributions</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196"/>
        </w:trPr>
        <w:tc>
          <w:tcPr>
            <w:tcW w:w="34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Our Cash Distribution Policy</w:t>
              </w:r>
            </w:hyperlink>
          </w:p>
        </w:tc>
        <w:tc>
          <w:tcPr>
            <w:tcW w:w="2660" w:type="dxa"/>
            <w:vAlign w:val="bottom"/>
            <w:gridSpan w:val="3"/>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5</w:t>
              </w:r>
            </w:hyperlink>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10"/>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The Partnership Agreement</w:t>
              </w:r>
            </w:hyperlink>
          </w:p>
        </w:tc>
        <w:tc>
          <w:tcPr>
            <w:tcW w:w="4000" w:type="dxa"/>
            <w:vAlign w:val="bottom"/>
            <w:gridSpan w:val="8"/>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9"/>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Description of Our Shares</w:t>
              </w:r>
            </w:hyperlink>
          </w:p>
        </w:tc>
        <w:tc>
          <w:tcPr>
            <w:tcW w:w="4120" w:type="dxa"/>
            <w:vAlign w:val="bottom"/>
            <w:gridSpan w:val="9"/>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Material U.S. Federal Income Tax Consequences</w:t>
              </w:r>
            </w:hyperlink>
          </w:p>
        </w:tc>
        <w:tc>
          <w:tcPr>
            <w:tcW w:w="2600" w:type="dxa"/>
            <w:vAlign w:val="bottom"/>
            <w:gridSpan w:val="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22</w:t>
              </w:r>
            </w:hyperlink>
          </w:p>
        </w:tc>
        <w:tc>
          <w:tcPr>
            <w:tcW w:w="0" w:type="dxa"/>
            <w:vAlign w:val="bottom"/>
          </w:tcPr>
          <w:p>
            <w:pPr>
              <w:spacing w:after="0"/>
              <w:rPr>
                <w:sz w:val="1"/>
                <w:szCs w:val="1"/>
                <w:color w:val="auto"/>
              </w:rPr>
            </w:pPr>
          </w:p>
        </w:tc>
      </w:tr>
      <w:tr>
        <w:trPr>
          <w:trHeight w:val="196"/>
        </w:trPr>
        <w:tc>
          <w:tcPr>
            <w:tcW w:w="6060" w:type="dxa"/>
            <w:vAlign w:val="bottom"/>
            <w:gridSpan w:val="1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Investment in Plains GP Holdings, L.P. by Employee Benefit Plans</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Selling Shareholders</w:t>
              </w:r>
            </w:hyperlink>
          </w:p>
        </w:tc>
        <w:tc>
          <w:tcPr>
            <w:tcW w:w="1340" w:type="dxa"/>
            <w:vAlign w:val="bottom"/>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Plan of Distribution</w:t>
              </w:r>
            </w:hyperlink>
          </w:p>
        </w:tc>
        <w:tc>
          <w:tcPr>
            <w:tcW w:w="4600" w:type="dxa"/>
            <w:vAlign w:val="bottom"/>
            <w:gridSpan w:val="1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Legal Matters</w:t>
              </w:r>
            </w:hyperlink>
          </w:p>
        </w:tc>
        <w:tc>
          <w:tcPr>
            <w:tcW w:w="4660" w:type="dxa"/>
            <w:vAlign w:val="bottom"/>
            <w:gridSpan w:val="13"/>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34</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Experts</w:t>
              </w:r>
            </w:hyperlink>
          </w:p>
        </w:tc>
        <w:tc>
          <w:tcPr>
            <w:tcW w:w="5080" w:type="dxa"/>
            <w:vAlign w:val="bottom"/>
            <w:gridSpan w:val="15"/>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34</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Neither we nor the selling shareholders have authorized anyone to provide you with additional or different information. If any other person provides you with additional, different or inconsistent information, you should not rely on it. This prospectus is not an offer to sell or the solicitation of an offer to buy any securities other than the securities to which it relates and is not an offer to sell or the solicitation of an offer to buy securities in any jurisdiction where an offer or sale is not permitted. You should not assume that the information appearing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w:t>
      </w:r>
    </w:p>
    <w:p>
      <w:pPr>
        <w:spacing w:after="0" w:line="173"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information in this prospectus is not complete.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This prospectus is part of a registration statement on Form S-3 that we filed with the SEC utilizing a "shelf" registration process. Under this shelf registration process, the selling shareholders may over time, in one or more offerings, offer and sell up to 17,954,751 of our Class A shares.</w:t>
      </w:r>
    </w:p>
    <w:p>
      <w:pPr>
        <w:spacing w:after="0" w:line="139"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may file one or more prospectus supplements that may describe the specific manner in which the selling shareholders will offer the Class A shares and may also add, update or change information in this prospectus. If there is any inconsistency between the information in this prospectus and any prospectus supplement, you should rely on the information in such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information should help you understand some of the conventions used in this prospectus. All references in this prospectus to:</w:t>
      </w:r>
    </w:p>
    <w:p>
      <w:pPr>
        <w:spacing w:after="0" w:line="262" w:lineRule="exact"/>
        <w:rPr>
          <w:sz w:val="20"/>
          <w:szCs w:val="20"/>
          <w:color w:val="auto"/>
        </w:rPr>
      </w:pPr>
    </w:p>
    <w:p>
      <w:pPr>
        <w:ind w:left="1080" w:right="320" w:hanging="532"/>
        <w:spacing w:after="0" w:line="298"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"we," "us," "the Partnership" or "Plains GP Holdings, L.P." refer to Plains GP Holdings, L.P., the registrant itself, or to Plains GP Holdings, L.P. and its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93" w:lineRule="exact"/>
        <w:rPr>
          <w:rFonts w:ascii="Arial" w:cs="Arial" w:eastAsia="Arial" w:hAnsi="Arial"/>
          <w:sz w:val="16"/>
          <w:szCs w:val="16"/>
          <w:color w:val="auto"/>
        </w:rPr>
      </w:pPr>
    </w:p>
    <w:p>
      <w:pPr>
        <w:ind w:left="1080" w:right="7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refer to Plains All American Pipeline, L.P. (NYSE: PAA), individually, or to Plains All American Pipeline, L.P.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GP" refer to PAA GP LLC, the general partner of PAA;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"AAP" refer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"GP LLC" refer to Plains All American GP LLC, the general partner of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"general partner" refer to PAA GP Holdings LLC;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"partnership agreement" refer to the Amended and Restated Agreement of Limited Partnership of Plains GP Holdings, L.P.;</w:t>
      </w:r>
    </w:p>
    <w:p>
      <w:pPr>
        <w:spacing w:after="0" w:line="252" w:lineRule="exact"/>
        <w:rPr>
          <w:rFonts w:ascii="Arial" w:cs="Arial" w:eastAsia="Arial" w:hAnsi="Arial"/>
          <w:sz w:val="18"/>
          <w:szCs w:val="18"/>
          <w:color w:val="auto"/>
        </w:rPr>
      </w:pPr>
    </w:p>
    <w:p>
      <w:pPr>
        <w:ind w:left="1080" w:right="100" w:hanging="532"/>
        <w:spacing w:after="0" w:line="294"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"Legacy Owners" refer to owners of AAP immediately prior to our IPO including, but not limited to: PAA Management, L.P.; and certain entities and individuals affiliated with The Energy &amp; Minerals Group ("EMG"), Kayne Anderson Investment Management Inc. ("Kayne Anderson"), and Occidental Petroleum Corporation ("Occidental"). Unless the context requires otherwise, references to Kayne Anderson include KAFU Holdings, L.P., KAFU Holdings (QP), L.P., KAFU Holdings II, L.P., Kayne Anderson MLP Investment Company, Kayne Anderson Energy Development Company and Kayne Anderson Midstream/Energy Fund, Inc.;</w:t>
      </w:r>
    </w:p>
    <w:p>
      <w:pPr>
        <w:spacing w:after="0" w:line="183"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"Registration Rights Agreement" refer to the Shareholder and Registration Rights Agreement entered into with the Legacy Owners in connection with our initial public offering (our "IPO");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"affiliates" of our general partner do not include the Legacy Owners, other than PAA Management, L.P.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including all such documents we may file with the SEC after the date of the initial registration statement and prior to the effectiveness of the registration statement, until all offerings under this registration statement are completed:</w:t>
      </w:r>
    </w:p>
    <w:p>
      <w:pPr>
        <w:spacing w:after="0" w:line="211"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 on Form 8-K filed on February 2, 2016; and</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Class A shares contained in our Registration Statement on Form 8-A, filed on October 15, 2013, and any subsequent amendment or report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ir.pagp.com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All statements included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38"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61" w:lineRule="exact"/>
        <w:rPr>
          <w:rFonts w:ascii="Arial" w:cs="Arial" w:eastAsia="Arial" w:hAnsi="Arial"/>
          <w:sz w:val="16"/>
          <w:szCs w:val="16"/>
          <w:color w:val="auto"/>
        </w:rPr>
      </w:pPr>
    </w:p>
    <w:p>
      <w:pPr>
        <w:ind w:left="1080" w:right="36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21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Other factors described or incorporated by reference herein, as well as factors that are unknown or unpredictable, could also have a material adverse effect on future results. Please read "Risk Factors" beginning on page 2 of this prospectus and in our Annual Report on Form 10-K for the fiscal year ended December 31, 2015 (File No. 001-36132), which is incorporated in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PLAINS GP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a Delaware limited partnership formed in July 2013 that has elected to be treated as a corporation for U.S. federal income tax purposes.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March 8, 2016, our only cash-generating assets consisted of 265,641,573 Class A Units of AAP, which we refer to as AAP Class A units, which represent a 42.6%</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limited partner interest in AAP (40.6% economic interest including the dilutive effect of the Class B units of AAP (the "AAP management units")). AAP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currently owns all of the incentive distribution rights ("IDRs") and an indirect 2% general partner interest in PAA.</w:t>
      </w:r>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PAA is a publicly traded limited partnership that owns and operates midstream energy infrastructure and provides logistical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Plains GP Holdings, L.P.</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general partner, PAA GP Holdings LLC, manages our operations and activities and is responsible for exercising on our behalf any rights we have as the managing member of GP LLC, including any rights to appoint members to the board of directors of GP LLC. GP LLC has responsibility for managing the business and affairs of PAA and AAP; however, through our rights as the sole and managing member of GP LLC, we effectively control the business and affairs of PAA and AAP.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TX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 investment in our Class A shares involves a high degree of risk. Before you invest in our Class A shares, you should carefully consider those risks described in our Annual Report on Form 10-K for the year ended December 31, 2015 (File No. 001-36132), which is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will not receive any of the proceeds from the sale of Class A shares by the selling shareholders in any offering. We will cause AAP to pay certain expenses, other than underwriting discounts and commissions, associated with the sale of Class A shares by the selling shareholders.</w:t>
      </w:r>
    </w:p>
    <w:p>
      <w:pPr>
        <w:spacing w:after="0" w:line="13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131" w:right="8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PRICE RANGE OF CLASS A SHARES AND DISTRIBUTIONS</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March 8, 2016, we had 265,641,573 Class A shares outstanding, held by approximately 29,000 shareholders, including Class A shares held in street name. Our Class A shares are traded on the NYSE under the symbol "PAGP." The following table sets forth, for the periods indicated, the high and low sales prices for the Class A shares, as reported on the NYSE Composite Transactions Tape, and quarterly cash distributions declared per Class A share. The last reported sale price of Class A shares on the NYSE on March 8, 2016 was $7.36 per Class A share.</w:t>
      </w:r>
    </w:p>
    <w:p>
      <w:pPr>
        <w:spacing w:after="0" w:line="27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w w:val="99"/>
              </w:rPr>
              <w:t>Class A Share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4"/>
            <w:vMerge w:val="restart"/>
          </w:tcPr>
          <w:p>
            <w:pPr>
              <w:jc w:val="right"/>
              <w:ind w:right="254"/>
              <w:spacing w:after="0"/>
              <w:rPr>
                <w:sz w:val="20"/>
                <w:szCs w:val="20"/>
                <w:color w:val="auto"/>
              </w:rPr>
            </w:pPr>
            <w:r>
              <w:rPr>
                <w:rFonts w:ascii="Arial" w:cs="Arial" w:eastAsia="Arial" w:hAnsi="Arial"/>
                <w:sz w:val="14"/>
                <w:szCs w:val="14"/>
                <w:b w:val="1"/>
                <w:bCs w:val="1"/>
                <w:color w:val="auto"/>
              </w:rPr>
              <w:t>Price Range</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1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Distributions per</w:t>
            </w:r>
          </w:p>
        </w:tc>
        <w:tc>
          <w:tcPr>
            <w:tcW w:w="0" w:type="dxa"/>
            <w:vAlign w:val="bottom"/>
          </w:tcPr>
          <w:p>
            <w:pPr>
              <w:spacing w:after="0"/>
              <w:rPr>
                <w:sz w:val="1"/>
                <w:szCs w:val="1"/>
                <w:color w:val="auto"/>
              </w:rPr>
            </w:pPr>
          </w:p>
        </w:tc>
      </w:tr>
      <w:tr>
        <w:trPr>
          <w:trHeight w:val="62"/>
        </w:trPr>
        <w:tc>
          <w:tcPr>
            <w:tcW w:w="21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High</w:t>
            </w: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Low</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Class A Share(1)</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First Quarter</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29.00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0.17055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0.18340</w:t>
            </w:r>
          </w:p>
        </w:tc>
        <w:tc>
          <w:tcPr>
            <w:tcW w:w="0" w:type="dxa"/>
            <w:vAlign w:val="bottom"/>
          </w:tcPr>
          <w:p>
            <w:pPr>
              <w:spacing w:after="0"/>
              <w:rPr>
                <w:sz w:val="1"/>
                <w:szCs w:val="1"/>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Third Quarter</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32.26</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0.19075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0.20300</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0.22200</w:t>
            </w:r>
          </w:p>
        </w:tc>
        <w:tc>
          <w:tcPr>
            <w:tcW w:w="0" w:type="dxa"/>
            <w:vAlign w:val="bottom"/>
          </w:tcPr>
          <w:p>
            <w:pPr>
              <w:spacing w:after="0"/>
              <w:rPr>
                <w:sz w:val="1"/>
                <w:szCs w:val="1"/>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29.87</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0.22700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0.23100</w:t>
            </w:r>
          </w:p>
        </w:tc>
        <w:tc>
          <w:tcPr>
            <w:tcW w:w="0" w:type="dxa"/>
            <w:vAlign w:val="bottom"/>
          </w:tcPr>
          <w:p>
            <w:pPr>
              <w:spacing w:after="0"/>
              <w:rPr>
                <w:sz w:val="1"/>
                <w:szCs w:val="1"/>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19.49</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0.23100</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First Quarter (through March 8, 2016)</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12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cash distributions attributable to the quarter and paid within 55 days after the quarter end.</w:t>
      </w:r>
    </w:p>
    <w:p>
      <w:pPr>
        <w:spacing w:after="0" w:line="252" w:lineRule="exact"/>
        <w:rPr>
          <w:rFonts w:ascii="Arial" w:cs="Arial" w:eastAsia="Arial" w:hAnsi="Arial"/>
          <w:sz w:val="18"/>
          <w:szCs w:val="18"/>
          <w:color w:val="auto"/>
        </w:rPr>
      </w:pPr>
    </w:p>
    <w:p>
      <w:pPr>
        <w:ind w:left="2260" w:hanging="540"/>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distributions in respect of the first quarter of 2016 have not been declared or paid.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partnership agreement requires that, within 55 days after the end of each quarter, we distribute all of our available cash to Class A shareholders of record on the applicable record date.</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208"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funds for future distributions to shareholders;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us in the future;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permit us to pay a ratable amount to AAP as necessary to permit AAP to make required capital contributions to PAA to maintain PAA GP's 2% general partner interest upon the issuance of additional partnership securities by PAA;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with respect to the matters described under "The Partnership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Available Cash</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March 8, 2016, our only cash-generating assets consisted of our indirect partnership interests in PAA through our 42.6% limited partnership interest in AAP (40.6% economic interest including the dilutive effect of the AAP management units). AAP currently receives all of its cash flows from its direct ownership of all of PAA's IDRs and its indirect ownership of the 2% general partner interest in PAA. Therefore, our cash flow and resulting ability to make distributions will be completely dependent upon the ability of PAA to make distributions to AAP in respect of those partnership interests. The actual amount of cash that PAA, and correspondingly AAP, will have available for distribution will primarily depend on the amount of cash PAA generates from its operations. Also, under the terms of the agreements governing AAP and PAA's debt, they are prohibited from declaring or paying any distribution to unitholders if a default or event of default (as defined in such agreements) exists.</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addition, the actual amount of cash that PAA and AAP will have available for distribution will depend on other factors, some of which are beyond PAA's or our control, including:</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revenue PAA and AAP are able to generate from their respective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capital expenditures PAA or AAP makes;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PAA's and AAP's operating, maintenance and general and administrative expenses or related obligations;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and AAP's debt service requirements and other liabilities;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and AAP's working capital needs;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distributions contained in PAA's or AAP's debt agreements and any future debt agreements;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PAA's and AAP's ability to borrow under their respective revolving credit agreements to make distributions; and</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if any, of cash reserves established by each of PAA GP and our general partner, in their sole discretion, for the proper conduct of PAA's and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PARTNERSHIP AGREEMENT</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We summarize the following provisions of our partnership agreement elsewhere in this prospectus:</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regard to distributions of available cash, please read "Our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regard to the rights of holders of Class A shares, please read "Description of Our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regard to allocations of taxable income and taxable loss, please read "Material U.S. Federal Income Tax Consequences."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formed in July 2013 and have a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86"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Although our general partner has the ability to cause us, our affiliates and our subsidiaries to engage in activities other than the indirect ownership of partnership interests (including IDRs)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210"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making of expenditures and the incurrence of debt and other obligations;</w:t>
      </w:r>
    </w:p>
    <w:p>
      <w:pPr>
        <w:spacing w:after="0" w:line="25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our assets or the merger or other combination of us with or into another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negotiation, execution and performance of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distribution of our cash;</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our partnership securities or the issuance of partnership securities or options or other rights relating thereto;</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action in connection with our participation and management of PAA;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action to waive, reduce, limit or modify PAA's IDRs.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shareholders are not obligated to make additional capital contributions, except as described below under "—Limited Liability."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Delaware law. Our partnership agreement requires that any claims, suits, actions or proceedings:</w:t>
      </w:r>
    </w:p>
    <w:p>
      <w:pPr>
        <w:spacing w:after="0" w:line="275" w:lineRule="exact"/>
        <w:rPr>
          <w:sz w:val="20"/>
          <w:szCs w:val="20"/>
          <w:color w:val="auto"/>
        </w:rPr>
      </w:pPr>
    </w:p>
    <w:p>
      <w:pPr>
        <w:ind w:left="10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asserting a claim arising pursuant to any provision of the Delaware Revised Uniform Limited Partnership Act (the "Delaware Act");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224"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Voting Rights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manages us and our operations. You will have only limited voting rights on matters affecting our business. You will not have the right to elect our general partner or, except as described below under "—Public Election of Directors Following Trigger Date," its directors on an annual or other continuing basis.</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following is a summary of the shareholder vote required for the matters specified below. On all matters where our shareholders are entitled to vote,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their shares, our general partner will have no fiduciary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duty or obligation whatsoever to us or the shareholders, including any duty to act in good faith or in the best interests of us or the shareholders.</w:t>
      </w:r>
    </w:p>
    <w:p>
      <w:pPr>
        <w:spacing w:after="0" w:line="260"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Issuance of additional</w:t>
      </w:r>
      <w:r>
        <w:rPr>
          <w:sz w:val="20"/>
          <w:szCs w:val="20"/>
          <w:color w:val="auto"/>
        </w:rPr>
        <w:tab/>
      </w:r>
      <w:r>
        <w:rPr>
          <w:rFonts w:ascii="Arial" w:cs="Arial" w:eastAsia="Arial" w:hAnsi="Arial"/>
          <w:sz w:val="16"/>
          <w:szCs w:val="16"/>
          <w:color w:val="auto"/>
        </w:rPr>
        <w:t>No approval right.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shares (or other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partnership securities)</w:t>
      </w:r>
    </w:p>
    <w:p>
      <w:pPr>
        <w:sectPr>
          <w:pgSz w:w="11900" w:h="16838" w:orient="portrait"/>
          <w:cols w:equalWidth="0" w:num="1">
            <w:col w:w="11400"/>
          </w:cols>
          <w:pgMar w:left="240" w:top="131" w:right="259" w:bottom="1440" w:gutter="0" w:footer="0" w:header="0"/>
        </w:sectPr>
      </w:pPr>
    </w:p>
    <w:p>
      <w:pPr>
        <w:spacing w:after="0" w:line="219" w:lineRule="exact"/>
        <w:rPr>
          <w:sz w:val="20"/>
          <w:szCs w:val="20"/>
          <w:color w:val="auto"/>
        </w:rPr>
      </w:pPr>
    </w:p>
    <w:p>
      <w:pPr>
        <w:ind w:left="180" w:right="60" w:hanging="179"/>
        <w:spacing w:after="0" w:line="370" w:lineRule="auto"/>
        <w:rPr>
          <w:sz w:val="20"/>
          <w:szCs w:val="20"/>
          <w:color w:val="auto"/>
        </w:rPr>
      </w:pPr>
      <w:r>
        <w:rPr>
          <w:rFonts w:ascii="Arial" w:cs="Arial" w:eastAsia="Arial" w:hAnsi="Arial"/>
          <w:sz w:val="15"/>
          <w:szCs w:val="15"/>
          <w:color w:val="auto"/>
        </w:rPr>
        <w:t>Amendment of our partnership agreement</w:t>
      </w:r>
    </w:p>
    <w:p>
      <w:pPr>
        <w:spacing w:after="0" w:line="333" w:lineRule="exact"/>
        <w:rPr>
          <w:sz w:val="20"/>
          <w:szCs w:val="20"/>
          <w:color w:val="auto"/>
        </w:rPr>
      </w:pPr>
    </w:p>
    <w:p>
      <w:pPr>
        <w:ind w:left="180" w:hanging="179"/>
        <w:spacing w:after="0" w:line="298" w:lineRule="auto"/>
        <w:rPr>
          <w:sz w:val="20"/>
          <w:szCs w:val="20"/>
          <w:color w:val="auto"/>
        </w:rPr>
      </w:pPr>
      <w:r>
        <w:rPr>
          <w:rFonts w:ascii="Arial" w:cs="Arial" w:eastAsia="Arial" w:hAnsi="Arial"/>
          <w:sz w:val="16"/>
          <w:szCs w:val="16"/>
          <w:color w:val="auto"/>
        </w:rPr>
        <w:t>Merger of our partnership or the sale of all or substantially all of our assets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Amendments to our partnership agreement may be proposed only by or with the consent of our general partner. Certain amendments may be made by our general partner without the approval of our shareholders. Other amendments generally require the approval of a majority of our outstanding shares. Please read "—Amendments to Our Partnership Agreement."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 majority of our outstanding shares in certain circumstances. Please read "—Merger, Sale or Other Disposition of Assets."</w:t>
      </w:r>
    </w:p>
    <w:p>
      <w:pPr>
        <w:spacing w:after="0" w:line="896" w:lineRule="exact"/>
        <w:rPr>
          <w:sz w:val="20"/>
          <w:szCs w:val="20"/>
          <w:color w:val="auto"/>
        </w:rPr>
      </w:pPr>
    </w:p>
    <w:p>
      <w:pPr>
        <w:sectPr>
          <w:pgSz w:w="11900" w:h="16838" w:orient="portrait"/>
          <w:cols w:equalWidth="0" w:num="2">
            <w:col w:w="1820" w:space="260"/>
            <w:col w:w="9320"/>
          </w:cols>
          <w:pgMar w:left="240" w:top="131" w:right="259" w:bottom="1440" w:gutter="0" w:footer="0" w:header="0"/>
          <w:type w:val="continuous"/>
        </w:sectPr>
      </w:pPr>
    </w:p>
    <w:p>
      <w:pPr>
        <w:spacing w:after="0"/>
        <w:rPr>
          <w:sz w:val="20"/>
          <w:szCs w:val="20"/>
          <w:color w:val="auto"/>
        </w:rPr>
      </w:pPr>
      <w:r>
        <w:rPr>
          <w:rFonts w:ascii="Arial" w:cs="Arial" w:eastAsia="Arial" w:hAnsi="Arial"/>
          <w:sz w:val="18"/>
          <w:szCs w:val="18"/>
          <w:color w:val="auto"/>
        </w:rPr>
        <w:t>Dissolution</w:t>
      </w:r>
    </w:p>
    <w:p>
      <w:pPr>
        <w:spacing w:after="0" w:line="225" w:lineRule="exact"/>
        <w:rPr>
          <w:sz w:val="20"/>
          <w:szCs w:val="20"/>
          <w:color w:val="auto"/>
        </w:rPr>
      </w:pPr>
    </w:p>
    <w:p>
      <w:pPr>
        <w:ind w:left="180" w:right="440" w:hanging="179"/>
        <w:spacing w:after="0" w:line="332" w:lineRule="auto"/>
        <w:rPr>
          <w:sz w:val="20"/>
          <w:szCs w:val="20"/>
          <w:color w:val="auto"/>
        </w:rPr>
      </w:pPr>
      <w:r>
        <w:rPr>
          <w:rFonts w:ascii="Arial" w:cs="Arial" w:eastAsia="Arial" w:hAnsi="Arial"/>
          <w:sz w:val="16"/>
          <w:szCs w:val="16"/>
          <w:color w:val="auto"/>
        </w:rPr>
        <w:t>Reconstitution upon dissolution</w:t>
      </w:r>
    </w:p>
    <w:p>
      <w:pPr>
        <w:spacing w:after="0" w:line="139" w:lineRule="exact"/>
        <w:rPr>
          <w:sz w:val="20"/>
          <w:szCs w:val="20"/>
          <w:color w:val="auto"/>
        </w:rPr>
      </w:pPr>
    </w:p>
    <w:p>
      <w:pPr>
        <w:ind w:left="180" w:hanging="179"/>
        <w:spacing w:after="0" w:line="268" w:lineRule="auto"/>
        <w:rPr>
          <w:sz w:val="20"/>
          <w:szCs w:val="20"/>
          <w:color w:val="auto"/>
        </w:rPr>
      </w:pPr>
      <w:r>
        <w:rPr>
          <w:rFonts w:ascii="Arial" w:cs="Arial" w:eastAsia="Arial" w:hAnsi="Arial"/>
          <w:sz w:val="18"/>
          <w:szCs w:val="18"/>
          <w:color w:val="auto"/>
        </w:rPr>
        <w:t>Withdrawal of our general partner</w:t>
      </w:r>
    </w:p>
    <w:p>
      <w:pPr>
        <w:spacing w:after="0" w:line="186" w:lineRule="exact"/>
        <w:rPr>
          <w:sz w:val="20"/>
          <w:szCs w:val="20"/>
          <w:color w:val="auto"/>
        </w:rPr>
      </w:pPr>
    </w:p>
    <w:p>
      <w:pPr>
        <w:ind w:left="180" w:right="180" w:hanging="179"/>
        <w:spacing w:after="0" w:line="268" w:lineRule="auto"/>
        <w:rPr>
          <w:sz w:val="20"/>
          <w:szCs w:val="20"/>
          <w:color w:val="auto"/>
        </w:rPr>
      </w:pPr>
      <w:r>
        <w:rPr>
          <w:rFonts w:ascii="Arial" w:cs="Arial" w:eastAsia="Arial" w:hAnsi="Arial"/>
          <w:sz w:val="18"/>
          <w:szCs w:val="18"/>
          <w:color w:val="auto"/>
        </w:rPr>
        <w:t>Removal of our general partner</w:t>
      </w:r>
    </w:p>
    <w:p>
      <w:pPr>
        <w:spacing w:after="0" w:line="227" w:lineRule="exact"/>
        <w:rPr>
          <w:sz w:val="20"/>
          <w:szCs w:val="20"/>
          <w:color w:val="auto"/>
        </w:rPr>
      </w:pPr>
    </w:p>
    <w:p>
      <w:pPr>
        <w:ind w:left="180" w:right="260" w:hanging="179"/>
        <w:spacing w:after="0" w:line="370" w:lineRule="auto"/>
        <w:rPr>
          <w:sz w:val="20"/>
          <w:szCs w:val="20"/>
          <w:color w:val="auto"/>
        </w:rPr>
      </w:pPr>
      <w:r>
        <w:rPr>
          <w:rFonts w:ascii="Arial" w:cs="Arial" w:eastAsia="Arial" w:hAnsi="Arial"/>
          <w:sz w:val="15"/>
          <w:szCs w:val="15"/>
          <w:color w:val="auto"/>
        </w:rPr>
        <w:t>Transfer of the general partner 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 majority of our outstanding shares. Please read "—Termination or Dissolution."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majority of our outstanding shares. Please read "—Termination or Dissolution."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 Please read "—Withdrawal or Removal of the General Partner."</w:t>
      </w:r>
    </w:p>
    <w:p>
      <w:pPr>
        <w:spacing w:after="0" w:line="200" w:lineRule="exact"/>
        <w:rPr>
          <w:sz w:val="20"/>
          <w:szCs w:val="20"/>
          <w:color w:val="auto"/>
        </w:rPr>
      </w:pPr>
    </w:p>
    <w:p>
      <w:pPr>
        <w:spacing w:after="0" w:line="242" w:lineRule="exact"/>
        <w:rPr>
          <w:sz w:val="20"/>
          <w:szCs w:val="20"/>
          <w:color w:val="auto"/>
        </w:rPr>
      </w:pPr>
    </w:p>
    <w:p>
      <w:pPr>
        <w:ind w:right="740"/>
        <w:spacing w:after="0" w:line="212" w:lineRule="auto"/>
        <w:rPr>
          <w:sz w:val="20"/>
          <w:szCs w:val="20"/>
          <w:color w:val="auto"/>
        </w:rPr>
      </w:pPr>
      <w:r>
        <w:rPr>
          <w:rFonts w:ascii="Arial" w:cs="Arial" w:eastAsia="Arial" w:hAnsi="Arial"/>
          <w:sz w:val="18"/>
          <w:szCs w:val="18"/>
          <w:color w:val="auto"/>
        </w:rPr>
        <w:t>Not less than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 including shares held by our general partner, the Legacy Owners and their respective affiliates. Please read "—Withdrawal or Removal of the General Partner."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 Please read "—Transfer of General Partner Interest."</w:t>
      </w:r>
    </w:p>
    <w:p>
      <w:pPr>
        <w:spacing w:after="0" w:line="434" w:lineRule="exact"/>
        <w:rPr>
          <w:sz w:val="20"/>
          <w:szCs w:val="20"/>
          <w:color w:val="auto"/>
        </w:rPr>
      </w:pPr>
    </w:p>
    <w:p>
      <w:pPr>
        <w:sectPr>
          <w:pgSz w:w="11900" w:h="16838" w:orient="portrait"/>
          <w:cols w:equalWidth="0" w:num="2">
            <w:col w:w="1860" w:space="220"/>
            <w:col w:w="9320"/>
          </w:cols>
          <w:pgMar w:left="240" w:top="131"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Transfer of Ownership Interests in Our General Partner</w:t>
      </w:r>
    </w:p>
    <w:p>
      <w:pPr>
        <w:spacing w:after="0" w:line="231"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partner's limited liability company agreement includes provisions linking the ownership of the membership interests in our general partner to the ownership of the outstanding AAP Class A units. Membership interests in our general partner are not allowed to be transferred without transferring the same number of AAP Class A units and vice versa.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13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It is possible that we will fund acquisitions through the issuance of additional shares or other equity securities. Holders of any additional shares we issue will be entitled to share equally with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then-existing shareholders in our cash distributions. In addition, the issuance of additional partnership interests may dilute the value of the interests of the then-existing holders of shares in our net assets.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have special voting rights to which the Class A shares and Class B shares are not entitled.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80" w:firstLine="341"/>
        <w:spacing w:after="0" w:line="318" w:lineRule="auto"/>
        <w:rPr>
          <w:sz w:val="20"/>
          <w:szCs w:val="20"/>
          <w:color w:val="auto"/>
        </w:rPr>
      </w:pPr>
      <w:r>
        <w:rPr>
          <w:rFonts w:ascii="Arial" w:cs="Arial" w:eastAsia="Arial" w:hAnsi="Arial"/>
          <w:sz w:val="15"/>
          <w:szCs w:val="15"/>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its consent, unless approved by at least a majority of the type or class of shareholder interests so affected; or</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 Shareholder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general partner may generally make amendments to our partnership agreement without the approval of any shareholder or assignee to reflect:</w:t>
      </w:r>
    </w:p>
    <w:p>
      <w:pPr>
        <w:spacing w:after="0" w:line="262"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change in our name, the location of our principal place of business, our registered agent or its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5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52"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authorization of additional partnership securities or rights to acquire partnership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our partnership agreement;</w:t>
      </w:r>
    </w:p>
    <w:p>
      <w:pPr>
        <w:spacing w:after="0" w:line="273"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(11) above.</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adversely affect our shareholders (or any particular class of holders of partnership interests) in any material respect;</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our shares or to comply with any rule, regulation, guideline or requirement of any securities exchange on which our shares are or will be listed for trading;</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shares under the provisions of our partnership agreement;</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necessary or appropriate to implement certain governance procedures following the trigger date, including the staggering of our board of directors and the public election of directors; or</w:t>
      </w:r>
    </w:p>
    <w:p>
      <w:pPr>
        <w:spacing w:after="0" w:line="21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required to effect the intent of the statements contained in this prospectus and in the provisions of our partnership agreement or as are otherwise contemplated by our partnership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Opinion of Counsel and Shareholder Approval</w:t>
      </w:r>
    </w:p>
    <w:p>
      <w:pPr>
        <w:spacing w:after="0" w:line="225"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where required, the approval of 90% of the outstanding shares is required for an amendment to become effective.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a majority of our outstanding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being no holders of partnership interests, unless we are continued without dissolution in accordance with applicable Delaware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208"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towards the payment of all of our creditors and the settlement of or creation of a reserve for contingent liabilities;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 positive balance in the respective capital accounts.</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the General Partner</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Our general partner may not be removed unless that removal is approved by the vote of the holders of not less than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outstanding shares,</w:t>
      </w:r>
    </w:p>
    <w:p>
      <w:pPr>
        <w:spacing w:after="0"/>
        <w:rPr>
          <w:sz w:val="20"/>
          <w:szCs w:val="20"/>
          <w:color w:val="auto"/>
        </w:rPr>
      </w:pPr>
      <w:r>
        <w:rPr>
          <w:rFonts w:ascii="Arial" w:cs="Arial" w:eastAsia="Arial" w:hAnsi="Arial"/>
          <w:sz w:val="16"/>
          <w:szCs w:val="16"/>
          <w:color w:val="auto"/>
        </w:rPr>
        <w:t>including shares held by our general partner, the Legacy Owners and their respective affiliates, and we receive an opinion of counsel regarding limited liability.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Any removal of our general partner is also subject to the approval of a successor general partner by the vote of the holders of a majority of the outstanding shares.</w:t>
      </w:r>
    </w:p>
    <w:p>
      <w:pPr>
        <w:spacing w:after="0" w:line="44" w:lineRule="exact"/>
        <w:rPr>
          <w:sz w:val="20"/>
          <w:szCs w:val="20"/>
          <w:color w:val="auto"/>
        </w:rPr>
      </w:pPr>
    </w:p>
    <w:p>
      <w:pPr>
        <w:ind w:right="600"/>
        <w:spacing w:after="0" w:line="227" w:lineRule="auto"/>
        <w:rPr>
          <w:sz w:val="20"/>
          <w:szCs w:val="20"/>
          <w:color w:val="auto"/>
        </w:rPr>
      </w:pPr>
      <w:r>
        <w:rPr>
          <w:rFonts w:ascii="Arial" w:cs="Arial" w:eastAsia="Arial" w:hAnsi="Arial"/>
          <w:sz w:val="18"/>
          <w:szCs w:val="18"/>
          <w:color w:val="auto"/>
        </w:rPr>
        <w:t>The ownership of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 by any person or group would give such persons the practical ability to prevent our general partner's removal. The Legacy Owners currently own substantially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w:t>
      </w:r>
    </w:p>
    <w:p>
      <w:pPr>
        <w:spacing w:after="0" w:line="9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general partner may transfer all or any of its general partner interest in us without obtaining approval of any shareholder. As a condition of this transfer, the transferee must assume the rights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duties of the general partner to whose interest that transferee has succeeded, agree to be bound by the provisions of our partnership agreement and furnish an opinion of counsel regarding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174"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w:t>
      </w:r>
    </w:p>
    <w:p>
      <w:pPr>
        <w:spacing w:after="0" w:line="15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general partner does not anticipate that any meeting of shareholders will be called in the foreseeable future. Our shareholders will not be entitled to act by written consent. 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unless any action by the shareholders requires approval by holders of a greater percentage of the shares, in which case the quorum will be the greater percentage.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 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w:t>
      </w:r>
    </w:p>
    <w:p>
      <w:pPr>
        <w:spacing w:after="0" w:line="174"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shares under our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Election of Directors Following Trigger Date</w:t>
      </w:r>
    </w:p>
    <w:p>
      <w:pPr>
        <w:spacing w:after="0" w:line="231" w:lineRule="exact"/>
        <w:rPr>
          <w:sz w:val="20"/>
          <w:szCs w:val="20"/>
          <w:color w:val="auto"/>
        </w:rPr>
      </w:pPr>
    </w:p>
    <w:p>
      <w:pPr>
        <w:ind w:right="80" w:firstLine="351"/>
        <w:spacing w:after="0" w:line="310" w:lineRule="auto"/>
        <w:rPr>
          <w:sz w:val="20"/>
          <w:szCs w:val="20"/>
          <w:color w:val="auto"/>
        </w:rPr>
      </w:pPr>
      <w:r>
        <w:rPr>
          <w:rFonts w:ascii="Arial" w:cs="Arial" w:eastAsia="Arial" w:hAnsi="Arial"/>
          <w:sz w:val="15"/>
          <w:szCs w:val="15"/>
          <w:color w:val="auto"/>
        </w:rPr>
        <w:t>Commencing no sooner than 180 days after and no later than the end of the calendar year (as determined by our general partner's board of directors) following the calendar year in which the date that overall direct and indirect economic interest of the Legacy Owners and their permitted transferees in AAP falls below 40% (calculated as described below), which we refer to as the "trigger date," our general partner's board of directors will be divided into three classes of directors such that each class will be comprised of one designated director and one independent director. The 40% threshold referred to above will be calculated on a fully diluted basis that takes into account any Class A shares owned by the Legacy Owners and their affiliates and permitted transferees, assumes the exchange of all AAP management units for AAP Class A units based on the applicable conversion factor and attributes the ownership of such AAP Class A units to the Legacy Owners. As provided in our general partner's limited liability company agreement, the CEO of our general partner is an automatic member (and Chairman) of our general partner's board of directors and therefore will not be included in a class. Each class of directors will serve a three year term.</w:t>
      </w:r>
    </w:p>
    <w:p>
      <w:pPr>
        <w:spacing w:after="0" w:line="162"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After the trigger date and once our general partner's board of directors has been divided into classes and staggered as described above, our amended and restated partnership agreement provides that, prior to the expiration of the term of each class of directors (at such time as is determined by our general partner),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and Class B shares, together as a single class, will constitute a quorum.</w:t>
      </w:r>
    </w:p>
    <w:p>
      <w:pPr>
        <w:spacing w:after="0" w:line="174"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that owns of record at least 10% of the combined Class A and Class B shares following the trigger date,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case of our first annual meeting, such date as shall be set by our general partner) and comply with certain other requirements set forth in our amended and restated partnership agreement.</w:t>
      </w:r>
    </w:p>
    <w:p>
      <w:pPr>
        <w:spacing w:after="0" w:line="186"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 addition to the provisions described above and in our amended and restated partnership agreement, a shareholder must also comply with all applicable requirements of the Exchange Act and the rules and regulations thereunder; provided, however, that any references in our amended and restated partnership agreement to the Exchange Act or the rules promulgated thereunder are not intended to and do not limit any requirements applicable to nominations pursuant to our amended and restated partnership agreement, and compliance with our amended and restated partnership agreement is the exclusive means for a shareholder to make nominations.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elected directors will be elected by a plurality of the votes cast, and the designating parties will be entitled to vote in any election of elected directors.</w:t>
      </w:r>
    </w:p>
    <w:p>
      <w:pPr>
        <w:spacing w:after="0" w:line="24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No more than one director subject to designation by the designating parties would be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w:t>
      </w:r>
    </w:p>
    <w:p>
      <w:pPr>
        <w:spacing w:after="0" w:line="19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will become subject to election by our shareholders.</w:t>
      </w:r>
    </w:p>
    <w:p>
      <w:pPr>
        <w:spacing w:after="0" w:line="174"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 Any vacancies in designated directors may be filled by the applicable designating party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Non-Citizen Assignees; Redemption</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our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Qualifying Interest Holders (as defined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person who is or was an affiliate of our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our general partner or any departing general partner or any affiliate of our general partner, any departing general partner or the Legacy Owners;</w:t>
      </w:r>
    </w:p>
    <w:p>
      <w:pPr>
        <w:spacing w:after="0" w:line="152"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designated by our general partner.</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 whether we would have the power to indemnify the person against liabilities under our partnership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In connection with our IPO, we entered into an administrative agreement with our general partner, AAP, PAA, PAA GP and GP LLC, which requires AAP to reimburse our general partner for all direct and indirect expenses it incurs or payments it makes on our behalf and all other expenses allocable to us or otherwise incurred by our general partner in connection with operating our or its business. These expenses include any amounts paid to persons who perform services for us or on our behalf and expenses allocated to our general partner by its affiliates. Our general partner is entitled to determine the expenses that are allocable to us. In any event, these expenses will include any costs to the general partner of maintaining its existence and good standing in whatever jurisdiction it deems advisable. There is no limit on the amount of fees and expenses AAP may be required to pay to affiliates of our general partner on our behalf pursuant to the administrative agreement.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w:t>
      </w:r>
    </w:p>
    <w:p>
      <w:pPr>
        <w:spacing w:after="0" w:line="13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partnership agreement provides that a limited partner can, for a purpose reasonably related to his interest as a limited partner, upon reasonable written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record holder; and</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of the partnership, related amendments and powers of attorney under which they have been executed.</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Structure</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partnership agreement provides for two classes of shares, Class A shares and Class B shares, both representing limited partner interests in us. The holders of our Class A and Class B shares are entitled to exercise the rights or privileges available to limited partners under our partnership agreement, but only holders of our Class A shares are entitled to participate in our distributions.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w:t>
      </w:r>
    </w:p>
    <w:p>
      <w:pPr>
        <w:spacing w:after="0" w:line="170"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Class A shares are listed on the NYSE under the symbol "PAGP"; we do not intend to list the Class B shares on any stock exchange. All of our Class B shares are owned by the Legacy Owners, including holders of the AAP management units who have exchanged such AAP management units for AAP Class A units and a like number of Class B shares, or their permitted transferees.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Right</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Legacy Owners and any permitted transferees of their AAP Class A units each have the right to exchange (the "Exchange Right") all or a portion of their AAP Class A units into Class A shares at an exchange ratio of one Class A share for each AAP Class A unit exchanged. The above exchange right may be exercised only if, simultaneously therewith, an equal number of our Class B shares and general partner units are transferred by the exercising party to us.</w:t>
      </w:r>
    </w:p>
    <w:p>
      <w:pPr>
        <w:spacing w:after="0" w:line="161"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For purposes of any transfer or exchange of AAP Class A units owned by the Legacy Owners, the AAP partnership agreement, our general partner's limited liability company agreement and our partnership agreement contain provisions linking each such AAP Class A unit with one of our Class B shares and a general partner unit. Our Class B shares and general partner units cannot be transferred without transferring an equal number of AAP Class A units and vice versa.</w:t>
      </w:r>
    </w:p>
    <w:p>
      <w:pPr>
        <w:spacing w:after="0" w:line="142"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As long as the Class A shares are publicly traded, a holder of vested AAP management units will be entitled to convert his or her AAP management units into AAP Class A units and a like number of Class B shares based on a conversion ratio calculated in accordance with the AAP limited partnership agreement (which conversion ratio will not be more than one-to-one and was approximately 0.940 AAP Class A units and Class B shares for each AAP management unit as of the date of the distribution that was paid with respect to the fourth quarter of 2015). Following any such conversion, the holder will have the Exchange Right for our Class A shares. Holders of AAP management units who convert such units into AAP Class A units and Class B shares will not receive general partner units and thus will not need to include any general partner units in a transfer or the exercise of their Exchange Right.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and Class B Shares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208" w:lineRule="exact"/>
        <w:rPr>
          <w:sz w:val="20"/>
          <w:szCs w:val="20"/>
          <w:color w:val="auto"/>
        </w:rPr>
      </w:pPr>
    </w:p>
    <w:p>
      <w:pPr>
        <w:ind w:left="5620" w:right="2240" w:hanging="5072"/>
        <w:spacing w:after="0" w:line="519" w:lineRule="auto"/>
        <w:tabs>
          <w:tab w:leader="none" w:pos="10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automatically agrees to be bound by the terms and conditions of, and is deemed to have executed, our partnership agreement;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transferee will become a substituted limited partner for the transferred shares automatically upon the recording of the transfer on our books and records.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general partner will cause any transfers to be recorded on our books and records no less frequently than quarterly.</w:t>
      </w:r>
    </w:p>
    <w:p>
      <w:pPr>
        <w:spacing w:after="0" w:line="219"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1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Please read "—Exchange Right"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Duties</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American Stock Transfer and Trust Company serves as registrar and transfer agent for our Class A shares. We will pay all fees charged by the transfer agent for transfers of our shares except the following fees that will be paid by shareholders:</w:t>
      </w:r>
    </w:p>
    <w:p>
      <w:pPr>
        <w:spacing w:after="0" w:line="19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Resignation or Removal</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and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Legal conclusions contained in this section, unless otherwise noted, are the opinion of Vinson &amp; Elkins L.L.P. This summary does not address all aspects of U.S. federal income taxation or the tax considerations arising under the laws of any non-U.S., state, or local jurisdiction, or under U.S. federal estate or gift tax laws. In addition, this summary does not address tax considerations applicable to investors that may be subject to special treatment under the U.S. federal income tax laws, such as (without limitation):</w:t>
      </w:r>
    </w:p>
    <w:p>
      <w:pPr>
        <w:spacing w:after="0" w:line="21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that hold or are deemed to sell our Class A shares under the constructive sale provisions of the Code;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that hold in excess of 5% of our Class A shares.</w:t>
      </w:r>
    </w:p>
    <w:p>
      <w:pPr>
        <w:spacing w:after="0" w:line="225"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If a partnership (including an entity or arrangement treated as a partnership for U.S. federal income tax purposes) holds our Class A shares, the tax treatment of a partner in the partnership generally will depend upon the status of the partner and upon the activities of the partnership. Accordingly, we urge partners of a partnership (including an entity or arrangement treated as a partnership for U.S. federal income tax purposes) investing in our Class A shares to consult their tax advisors regarding the U.S. federal income tax considerations of the purchase, ownership and disposition of our Class A shares by such partnership.</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300" w:firstLine="351"/>
        <w:spacing w:after="0" w:line="301" w:lineRule="auto"/>
        <w:rPr>
          <w:sz w:val="20"/>
          <w:szCs w:val="20"/>
          <w:color w:val="auto"/>
        </w:rPr>
      </w:pPr>
      <w:r>
        <w:rPr>
          <w:rFonts w:ascii="Arial" w:cs="Arial" w:eastAsia="Arial" w:hAnsi="Arial"/>
          <w:sz w:val="16"/>
          <w:szCs w:val="16"/>
          <w:b w:val="1"/>
          <w:bCs w:val="1"/>
          <w:color w:val="auto"/>
        </w:rPr>
        <w:t>YOU ARE ENCOURAGED TO CONSULT YOUR TAX ADVISOR WITH RESPECT TO THE APPLICATION OF THE U.S. FEDERAL INCOME TAX LAWS TO YOUR PARTICULAR SITUATION, AS WELL AS ANY TAX CONSEQUENCES OF THE PURCHASE, OWNERSHIP AND DISPOSITION OF OUR CLASS A SHARES ARISING UNDER THE U.S. FEDERAL ESTATE AND GIFT TAX LAWS OR UNDER THE LAWS OF ANY STATE, LOCAL, NON-U.S. OR OTHER TAXING JURISDICTION OR UNDER ANY APPLICABLE INCOME TAX TREATY.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31" w:lineRule="exact"/>
        <w:rPr>
          <w:sz w:val="20"/>
          <w:szCs w:val="20"/>
          <w:color w:val="auto"/>
        </w:rPr>
      </w:pPr>
    </w:p>
    <w:p>
      <w:pPr>
        <w:ind w:right="380" w:firstLine="341"/>
        <w:spacing w:after="0" w:line="256"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federal income tax purposes. No Schedule K-1 will be issued with respect to our Class A shares, but instead holders of Class A shares will receive a Form 1099 from us with respect to distributions received on our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discussion in this section is addressed to holders of our Class A shares who are U.S. holders for U.S. federal income tax purposes. A U.S. holder for purposes of this discussion is a beneficial owner of our Class A shares and who is, for U.S. federal income tax purposes:</w:t>
      </w:r>
    </w:p>
    <w:p>
      <w:pPr>
        <w:spacing w:after="0" w:line="153"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trust (i) whose administration is subject to the primary supervision of and which has one or more United States persons who have the authority to control all substantial decisions of the trust or (ii) which has made a valid election to be treated as a United States person.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"—Gain on Disposition of Class A Shares." Non-corporate holders that receive distributions on our Class A shares that are treated as dividends for U.S. federal income tax purposes generally will be subject to U.S. federal income tax at a maximum tax rate of 20% on such dividends provided certain holding period requirements are met.</w:t>
      </w:r>
    </w:p>
    <w:p>
      <w:pPr>
        <w:spacing w:after="0" w:line="172" w:lineRule="exact"/>
        <w:rPr>
          <w:sz w:val="20"/>
          <w:szCs w:val="20"/>
          <w:color w:val="auto"/>
        </w:rPr>
      </w:pPr>
    </w:p>
    <w:p>
      <w:pPr>
        <w:jc w:val="both"/>
        <w:ind w:right="20" w:firstLine="351"/>
        <w:spacing w:after="0" w:line="318" w:lineRule="auto"/>
        <w:rPr>
          <w:sz w:val="20"/>
          <w:szCs w:val="20"/>
          <w:color w:val="auto"/>
        </w:rPr>
      </w:pPr>
      <w:r>
        <w:rPr>
          <w:rFonts w:ascii="Arial" w:cs="Arial" w:eastAsia="Arial" w:hAnsi="Arial"/>
          <w:sz w:val="15"/>
          <w:szCs w:val="15"/>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 shares will result in additional basis adjustments with respect to our interest in the assets of AAP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indirectly in PAA). We expect to benefit from additional tax deductions resulting from those adjustments, the amount of which will vary depending on the value of our Class A shares at the time of the exchange.</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do not expect to have any earnings and profits for an extended period of time, which we estimate will include, at a minimum, each of the periods ending December 31, 2016 and 2017,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w:t>
      </w:r>
    </w:p>
    <w:p>
      <w:pPr>
        <w:spacing w:after="0" w:line="167" w:lineRule="exact"/>
        <w:rPr>
          <w:sz w:val="20"/>
          <w:szCs w:val="20"/>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Gain on Disposition of Class A Shares</w:t>
      </w:r>
    </w:p>
    <w:p>
      <w:pPr>
        <w:spacing w:after="0" w:line="225"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a reduced maximum U.S. federal income tax rate of 20%. The deductibility of net capital losses is subject to limitations.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3.8% Tax On Unearned Income</w:t>
      </w:r>
    </w:p>
    <w:p>
      <w:pPr>
        <w:spacing w:after="0" w:line="225" w:lineRule="exact"/>
        <w:rPr>
          <w:sz w:val="20"/>
          <w:szCs w:val="20"/>
          <w:color w:val="auto"/>
        </w:rPr>
      </w:pPr>
    </w:p>
    <w:p>
      <w:pPr>
        <w:ind w:right="20" w:firstLine="351"/>
        <w:spacing w:after="0" w:line="305" w:lineRule="auto"/>
        <w:rPr>
          <w:sz w:val="20"/>
          <w:szCs w:val="20"/>
          <w:color w:val="auto"/>
        </w:rPr>
      </w:pPr>
      <w:r>
        <w:rPr>
          <w:rFonts w:ascii="Arial" w:cs="Arial" w:eastAsia="Arial" w:hAnsi="Arial"/>
          <w:sz w:val="15"/>
          <w:szCs w:val="15"/>
          <w:color w:val="auto"/>
        </w:rPr>
        <w:t>Certain U.S. holders that are individuals, trusts or estates will be subject to an additional 3.8% Medicare tax on unearned income, which generally will include dividends received and gain recognized with respect to our Class A shares. For individual U.S. holders, the additional Medicare tax applies to the lesser of</w:t>
      </w:r>
    </w:p>
    <w:p>
      <w:pPr>
        <w:ind w:right="180" w:firstLine="8"/>
        <w:spacing w:after="0" w:line="261" w:lineRule="auto"/>
        <w:tabs>
          <w:tab w:leader="none" w:pos="2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investment income," or (ii) the excess of "modified adjusted gross income" over $200,000 ($250,000 if married and filing jointly or $125,000 if married and filing separately). "Net investment income" generally equals a U.S. holder's gross investment income reduced by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deductions that are allocable to such income. Investment income generally includes passive income such as interest, dividends, annuities, royalties, rents and capital gains. U.S. holders are urged to consult their own tax advisors regarding the application of this additional Medicare tax to their particular circumstances.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treated as a dividend paid to a non-U.S. holder on our Class A shares generally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withholding agent with an IRS Form W-8BEN, IRS Form W-8BEN-E or other appropriate version of IRS Form W-8 certifying qualification for the reduced rate.</w:t>
      </w:r>
    </w:p>
    <w:p>
      <w:pPr>
        <w:spacing w:after="0" w:line="170"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Distributions treated as dividends that are paid to a non-U.S. holder and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to the applicable withholding agent a properly executed IRS Form W-8ECI (or successor form) certifying eligibility for exemption. If a non-U.S. holder is a non-U.S. corporation, it may also be subject to a "branch profits tax" (at a 30% rate or such lower rate as may be specified by an applicable income tax treaty) on its effectively connected earnings and profits (as adjusted for certain items), which will include effectively connected dividends.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Gain on Disposition of Class A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the discussion below under "—Additional Withholding Requirements under FATCA," a non-U.S. holder generally will not be subject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disposition of our Class A shares unless:</w:t>
      </w:r>
    </w:p>
    <w:p>
      <w:pPr>
        <w:spacing w:after="0" w:line="232" w:lineRule="exact"/>
        <w:rPr>
          <w:sz w:val="20"/>
          <w:szCs w:val="20"/>
          <w:color w:val="auto"/>
        </w:rPr>
      </w:pPr>
    </w:p>
    <w:p>
      <w:pPr>
        <w:ind w:left="1080" w:right="1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by reason of our status as a USRPHC for U.S. federal income tax purposes.</w:t>
      </w:r>
    </w:p>
    <w:p>
      <w:pPr>
        <w:spacing w:after="0" w:line="24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may be specified by an applicable income tax treaty) on the amount of such gain, which generally may be offset by U.S. source capital losses.</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unless an applicable income tax treaty provides otherwise. If the non-U.S. holder is a corporation, it may also be subject to a branch profits tax (at a 30% rate or such lower rate as may be specified by an applicable income tax treaty) on its effectively connected earnings and profits (as adjusted for certain items), which will include such gain.</w:t>
      </w:r>
    </w:p>
    <w:p>
      <w:pPr>
        <w:spacing w:after="0" w:line="16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only a non-U.S. holder that actually or constructively owns, or owned at any time during the shorter of the five-year period ending on the date of the disposition or the non-U.S. holder's holding period for the Class A shares, more than 5% of our Class A shares will be taxable on gain realized on the disposition of our common stock as a result of our status as a USRPHC. If our Class A shares were not regularly traded during the calendar year in which the relevant disposition by a non-U.S. holder occurs, such non-U.S. holder (regardless of the percentage of our Class A shares owned) would be subject to U.S. federal income tax on a taxable disposition of our Class A shares (as described in the preceding paragraph), and a 15% withholding tax would apply to the gross proceeds from such disposition. Non-U.S. holders should consult their tax advisors with respect to the application of the foregoing rules to their ownership and disposition of our Class A shares.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225"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w:t>
      </w:r>
    </w:p>
    <w:p>
      <w:pPr>
        <w:spacing w:after="0" w:line="16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Payments of dividends to a non-U.S. holder generally will not be subject to backup withholding if the non-U.S. holder establishes an exemption by properly certifying its non-U.S. status on an IRS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Form W-8BEN, IRS Form W-8BEN-E or other appropriate version of IRS Form W-8, provided that the withholding agent does not have actual knowledge, or reason to know, that the beneficial owner is a United States person that is not an exempt recipient.</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other appropriate version of IRS Form W-8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9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withholding results in an overpayment of taxes, a refund may be obtained,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Class A shares and on the gross proceeds from a disposition of our Class A shares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(generally on an IRS Form W-8BEN-E) identifying each direct and indirect substantial United States owner of the entity;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8"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IN PLAINS GP HOLDINGS, L.P. BY EMPLOYEE BENEFIT PLANS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 Among other things, consideration should be given to:</w:t>
      </w:r>
    </w:p>
    <w:p>
      <w:pPr>
        <w:spacing w:after="0" w:line="188"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applicable Similar Law;</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in making the investment, the plan will satisfy the diversification requirements of Section 404(a)(1)(C) of ERISA and any applicable Similar Law; and</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investment will result in recognition of unrelated business taxable income by the plan and, if so, the potential after-tax investment return.</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addition, the person with investment discretion with respect to the assets of an employee benefit plan, often called a fiduciary, should determine whether an investment in our Class A shares is authorized by the appropriate governing instrument and is a proper investment for the plan.</w:t>
      </w:r>
    </w:p>
    <w:p>
      <w:pPr>
        <w:spacing w:after="0" w:line="139"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Section 406 of ERISA and Section 4975 of the Code prohibit employee benefit plans, and IRAs that are not considered part of an employee benefit plan, from engaging in specified transactions involving "plan assets" with parties that are "parties in interest" under ERISA or "disqualified persons" under the Code with respect to the plan. Therefore, a fiduciary of an employee benefit plan or an IRA accountholder that is considering an investment in our Class A shares should consider whether the entity's purchase or ownership of such Class A shares would or could result in the occurrence of such a prohibited transaction.</w:t>
      </w:r>
    </w:p>
    <w:p>
      <w:pPr>
        <w:spacing w:after="0" w:line="16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 or any other applicable Similar Law.</w:t>
      </w:r>
    </w:p>
    <w:p>
      <w:pPr>
        <w:spacing w:after="0" w:line="167"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ERISA and the Department of Labor regulations provide guidance with respect to whether the assets of an entity in which employee benefit plans acquire equity interests would be deemed "plan assets" under some circumstances. Under these rules, an entity's assets would not be considered to be "plan assets" if, among other things:</w:t>
      </w:r>
    </w:p>
    <w:p>
      <w:pPr>
        <w:spacing w:after="0" w:line="208" w:lineRule="exact"/>
        <w:rPr>
          <w:sz w:val="20"/>
          <w:szCs w:val="20"/>
          <w:color w:val="auto"/>
        </w:rPr>
      </w:pPr>
    </w:p>
    <w:p>
      <w:pPr>
        <w:ind w:left="1080" w:right="300" w:hanging="532"/>
        <w:spacing w:after="0" w:line="370" w:lineRule="auto"/>
        <w:tabs>
          <w:tab w:leader="none" w:pos="10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equity interests acquired by employee benefit plans are publicly offered securities; i.e., the equity interests are widely held by 100 or more investors independent of the issuer and each other, freely transferable and registered under some provisions of the federal securities laws;</w:t>
      </w:r>
    </w:p>
    <w:p>
      <w:pPr>
        <w:spacing w:after="0" w:line="143" w:lineRule="exact"/>
        <w:rPr>
          <w:rFonts w:ascii="Arial" w:cs="Arial" w:eastAsia="Arial" w:hAnsi="Arial"/>
          <w:sz w:val="15"/>
          <w:szCs w:val="15"/>
          <w:color w:val="auto"/>
        </w:rPr>
      </w:pPr>
    </w:p>
    <w:p>
      <w:pPr>
        <w:ind w:left="1080" w:right="3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is no significant investment by benefit plan investors, which is defined to mean that less than 25% of the value of each class of equity interest, disregarding some interests held by our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general partner, its affiliates,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9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prospectus covers the offering for resale from time to time, in one or more offerings, of up to 17,954,751 Class A shares by the selling shareholders. These Class A shares have been or will be issued to the selling shareholders upon exercise by the selling shareholders of the Exchange Right for an equivalent number of Class B shares and AAP Class A units. Such Class B shares and AAP Class A units were acquired by the selling shareholders upon the conversion by the selling shareholders of AAP management units, which AAP management units were granted to the selling shareholders by AAP at various times between August 2007 and October 2010. Any issuance of the Class A shares to the selling shareholders in connection with exercise of the Exchange Right will be, and the initial issuance of the Class B shares (and related AAP Class A units) was, exempt from the registration requirements of the Securities Act of 1933, as amended (the "Securities Act"). We are registering the offering by the selling shareholders of the Class A shares described below pursuant to the provisions of the Registration Rights Agreement.</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No offer or sale may occur unless the registration statement that includes this prospectus has been declared effective by the SEC and remains effective at the time such selling shareholder offers or sells Class A shares. We are required, under certain circumstances, to update, supplement or amend this prospectus to reflect material developments in our business, financial position and results of operations and may do so by an amendment to this prospectus, a prospectus supplement or a future filing with the SEC incorporated by reference in this prospectus.</w:t>
      </w:r>
    </w:p>
    <w:p>
      <w:pPr>
        <w:spacing w:after="0" w:line="197"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following table sets forth information relating to the selling shareholders as of March 8, 2016 based on information supplied to us by the selling shareholders on or prior to that date. We have not sought to verify such information. Information concerning the selling shareholders may change over time and selling shareholders may be added; if necessary, we will supplement this prospectus accordingly. None of the selling shareholders is a broker-dealer registered under Section 15 of the Exchange Act or an affiliate of a broker-dealer registered under Section 15 of the Exchange Act. The selling shareholders may hold or acquire at any time Class A shares in addition to those offered by this prospectus and may have acquired additional Class A shares since the date on which the information reflected herein was provided to us. In addition, the selling shareholders may have sold, transferred or otherwise disposed of some or all of their Class A shares since the date on which the information reflected herein was provided to us and may in the future sell, transfer or otherwise dispose of some or all of their Class A shares in private placement transactions exempt from or not subject to the registration requirements of the Securities Act.</w:t>
      </w:r>
    </w:p>
    <w:p>
      <w:pPr>
        <w:spacing w:after="0" w:line="172" w:lineRule="exact"/>
        <w:rPr>
          <w:sz w:val="20"/>
          <w:szCs w:val="20"/>
          <w:color w:val="auto"/>
        </w:rPr>
      </w:pPr>
    </w:p>
    <w:p>
      <w:pPr>
        <w:ind w:right="600" w:firstLine="341"/>
        <w:spacing w:after="0" w:line="370" w:lineRule="auto"/>
        <w:rPr>
          <w:sz w:val="20"/>
          <w:szCs w:val="20"/>
          <w:color w:val="auto"/>
        </w:rPr>
      </w:pPr>
      <w:r>
        <w:rPr>
          <w:rFonts w:ascii="Arial" w:cs="Arial" w:eastAsia="Arial" w:hAnsi="Arial"/>
          <w:sz w:val="15"/>
          <w:szCs w:val="15"/>
          <w:color w:val="auto"/>
        </w:rPr>
        <w:t>As of March 8, 2016, there were an aggregate of 265,641,573 Class A shares and 358,384,551 Class B shares outstanding. The beneficial ownership information presented below assumes that all 358,384,551 Class B shares (and related AAP Class A units) have been exchanged pursuant to the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Right for an equivalent number of Class A shares and such Class A shares are held by the selling shareholders.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Class A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Class A Shares</w:t>
            </w:r>
          </w:p>
        </w:tc>
        <w:tc>
          <w:tcPr>
            <w:tcW w:w="160" w:type="dxa"/>
            <w:vAlign w:val="bottom"/>
          </w:tcPr>
          <w:p>
            <w:pPr>
              <w:spacing w:after="0"/>
              <w:rPr>
                <w:sz w:val="12"/>
                <w:szCs w:val="12"/>
                <w:color w:val="auto"/>
              </w:rPr>
            </w:pPr>
          </w:p>
        </w:tc>
        <w:tc>
          <w:tcPr>
            <w:tcW w:w="94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2"/>
              </w:rPr>
              <w:t>Class A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w:t>
            </w: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94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60" w:type="dxa"/>
            <w:vAlign w:val="bottom"/>
          </w:tcPr>
          <w:p>
            <w:pPr>
              <w:spacing w:after="0"/>
              <w:rPr>
                <w:sz w:val="12"/>
                <w:szCs w:val="12"/>
                <w:color w:val="auto"/>
              </w:rPr>
            </w:pPr>
          </w:p>
        </w:tc>
        <w:tc>
          <w:tcPr>
            <w:tcW w:w="94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Offered</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Owned After</w:t>
            </w: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Owned After</w:t>
            </w:r>
          </w:p>
        </w:tc>
        <w:tc>
          <w:tcPr>
            <w:tcW w:w="0" w:type="dxa"/>
            <w:vAlign w:val="bottom"/>
          </w:tcPr>
          <w:p>
            <w:pPr>
              <w:spacing w:after="0"/>
              <w:rPr>
                <w:sz w:val="1"/>
                <w:szCs w:val="1"/>
                <w:color w:val="auto"/>
              </w:rPr>
            </w:pPr>
          </w:p>
        </w:tc>
      </w:tr>
      <w:tr>
        <w:trPr>
          <w:trHeight w:val="161"/>
        </w:trPr>
        <w:tc>
          <w:tcPr>
            <w:tcW w:w="3040" w:type="dxa"/>
            <w:vAlign w:val="bottom"/>
            <w:gridSpan w:val="4"/>
          </w:tcPr>
          <w:p>
            <w:pPr>
              <w:spacing w:after="0"/>
              <w:rPr>
                <w:sz w:val="20"/>
                <w:szCs w:val="20"/>
                <w:color w:val="auto"/>
              </w:rPr>
            </w:pPr>
            <w:r>
              <w:rPr>
                <w:rFonts w:ascii="Arial" w:cs="Arial" w:eastAsia="Arial" w:hAnsi="Arial"/>
                <w:sz w:val="14"/>
                <w:szCs w:val="14"/>
                <w:b w:val="1"/>
                <w:bCs w:val="1"/>
                <w:color w:val="auto"/>
              </w:rPr>
              <w:t>Selling Shareholders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to the Offering</w:t>
            </w:r>
          </w:p>
        </w:tc>
        <w:tc>
          <w:tcPr>
            <w:tcW w:w="160" w:type="dxa"/>
            <w:vAlign w:val="bottom"/>
          </w:tcPr>
          <w:p>
            <w:pPr>
              <w:spacing w:after="0"/>
              <w:rPr>
                <w:sz w:val="14"/>
                <w:szCs w:val="14"/>
                <w:color w:val="auto"/>
              </w:rPr>
            </w:pPr>
          </w:p>
        </w:tc>
        <w:tc>
          <w:tcPr>
            <w:tcW w:w="940" w:type="dxa"/>
            <w:vAlign w:val="bottom"/>
          </w:tcPr>
          <w:p>
            <w:pPr>
              <w:jc w:val="center"/>
              <w:ind w:left="12"/>
              <w:spacing w:after="0"/>
              <w:rPr>
                <w:sz w:val="20"/>
                <w:szCs w:val="20"/>
                <w:color w:val="auto"/>
              </w:rPr>
            </w:pPr>
            <w:r>
              <w:rPr>
                <w:rFonts w:ascii="Arial" w:cs="Arial" w:eastAsia="Arial" w:hAnsi="Arial"/>
                <w:sz w:val="14"/>
                <w:szCs w:val="14"/>
                <w:b w:val="1"/>
                <w:bCs w:val="1"/>
                <w:color w:val="auto"/>
                <w:w w:val="89"/>
              </w:rPr>
              <w:t>to the Offering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Hereby</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160"/>
              <w:spacing w:after="0"/>
              <w:rPr>
                <w:sz w:val="20"/>
                <w:szCs w:val="20"/>
                <w:color w:val="auto"/>
              </w:rPr>
            </w:pPr>
            <w:r>
              <w:rPr>
                <w:rFonts w:ascii="Arial" w:cs="Arial" w:eastAsia="Arial" w:hAnsi="Arial"/>
                <w:sz w:val="18"/>
                <w:szCs w:val="18"/>
                <w:color w:val="auto"/>
              </w:rPr>
              <w:t>John vonBerg(1)</w:t>
            </w:r>
          </w:p>
        </w:tc>
        <w:tc>
          <w:tcPr>
            <w:tcW w:w="1060" w:type="dxa"/>
            <w:vAlign w:val="bottom"/>
          </w:tcPr>
          <w:p>
            <w:pPr>
              <w:jc w:val="right"/>
              <w:spacing w:after="0"/>
              <w:rPr>
                <w:sz w:val="20"/>
                <w:szCs w:val="20"/>
                <w:color w:val="auto"/>
              </w:rPr>
            </w:pPr>
            <w:r>
              <w:rPr>
                <w:rFonts w:ascii="Arial" w:cs="Arial" w:eastAsia="Arial" w:hAnsi="Arial"/>
                <w:sz w:val="18"/>
                <w:szCs w:val="18"/>
                <w:color w:val="auto"/>
              </w:rPr>
              <w:t>3,423,264</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3,423,264</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Mark J. Gorman(2)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2,689,707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2,689,707</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160"/>
              <w:spacing w:after="0"/>
              <w:rPr>
                <w:sz w:val="20"/>
                <w:szCs w:val="20"/>
                <w:color w:val="auto"/>
              </w:rPr>
            </w:pPr>
            <w:r>
              <w:rPr>
                <w:rFonts w:ascii="Arial" w:cs="Arial" w:eastAsia="Arial" w:hAnsi="Arial"/>
                <w:sz w:val="18"/>
                <w:szCs w:val="18"/>
                <w:color w:val="auto"/>
              </w:rPr>
              <w:t>Al Swanson(3)</w:t>
            </w:r>
          </w:p>
        </w:tc>
        <w:tc>
          <w:tcPr>
            <w:tcW w:w="1060" w:type="dxa"/>
            <w:vAlign w:val="bottom"/>
          </w:tcPr>
          <w:p>
            <w:pPr>
              <w:jc w:val="right"/>
              <w:spacing w:after="0"/>
              <w:rPr>
                <w:sz w:val="20"/>
                <w:szCs w:val="20"/>
                <w:color w:val="auto"/>
              </w:rPr>
            </w:pPr>
            <w:r>
              <w:rPr>
                <w:rFonts w:ascii="Arial" w:cs="Arial" w:eastAsia="Arial" w:hAnsi="Arial"/>
                <w:sz w:val="18"/>
                <w:szCs w:val="18"/>
                <w:color w:val="auto"/>
              </w:rPr>
              <w:t>2,445,189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2,445,189</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 David Duckett(4)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2,345,327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2,345,327</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160"/>
              <w:spacing w:after="0"/>
              <w:rPr>
                <w:sz w:val="20"/>
                <w:szCs w:val="20"/>
                <w:color w:val="auto"/>
              </w:rPr>
            </w:pPr>
            <w:r>
              <w:rPr>
                <w:rFonts w:ascii="Arial" w:cs="Arial" w:eastAsia="Arial" w:hAnsi="Arial"/>
                <w:sz w:val="18"/>
                <w:szCs w:val="18"/>
                <w:color w:val="auto"/>
              </w:rPr>
              <w:t>Phil Kramer(5)</w:t>
            </w:r>
          </w:p>
        </w:tc>
        <w:tc>
          <w:tcPr>
            <w:tcW w:w="1060" w:type="dxa"/>
            <w:vAlign w:val="bottom"/>
          </w:tcPr>
          <w:p>
            <w:pPr>
              <w:jc w:val="right"/>
              <w:spacing w:after="0"/>
              <w:rPr>
                <w:sz w:val="20"/>
                <w:szCs w:val="20"/>
                <w:color w:val="auto"/>
              </w:rPr>
            </w:pPr>
            <w:r>
              <w:rPr>
                <w:rFonts w:ascii="Arial" w:cs="Arial" w:eastAsia="Arial" w:hAnsi="Arial"/>
                <w:sz w:val="18"/>
                <w:szCs w:val="18"/>
                <w:color w:val="auto"/>
              </w:rPr>
              <w:t>1,711,632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1,711,632</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Harry N. Pefanis(6)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489,065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469,065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Other Current Officers as a Group(7)</w:t>
            </w:r>
          </w:p>
        </w:tc>
        <w:tc>
          <w:tcPr>
            <w:tcW w:w="1060" w:type="dxa"/>
            <w:vAlign w:val="bottom"/>
          </w:tcPr>
          <w:p>
            <w:pPr>
              <w:jc w:val="right"/>
              <w:spacing w:after="0"/>
              <w:rPr>
                <w:sz w:val="20"/>
                <w:szCs w:val="20"/>
                <w:color w:val="auto"/>
              </w:rPr>
            </w:pPr>
            <w:r>
              <w:rPr>
                <w:rFonts w:ascii="Arial" w:cs="Arial" w:eastAsia="Arial" w:hAnsi="Arial"/>
                <w:sz w:val="18"/>
                <w:szCs w:val="18"/>
                <w:color w:val="auto"/>
              </w:rPr>
              <w:t>1,049,412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1,049,412</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Former Officers and Employees as a</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Group(8)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3,833,655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3,821,155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right="20" w:hanging="531"/>
        <w:spacing w:after="0" w:line="298" w:lineRule="auto"/>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selling shareholder has served as Executive Vice President—Commercial Activities of our general partner since February 2014 and served as Senior Vice President—Commercial Activities of our general partner from July 2013 until February 2014. He has also served as Executive Vice President—Commercial Operations of PAA's general partner since February 2014. Previously he served as Senior Vice President—Commercial Activities of PAA's general partner from August 2008 until February 2014.</w:t>
      </w:r>
    </w:p>
    <w:p>
      <w:pPr>
        <w:spacing w:after="0" w:line="180" w:lineRule="exact"/>
        <w:rPr>
          <w:rFonts w:ascii="Arial" w:cs="Arial" w:eastAsia="Arial" w:hAnsi="Arial"/>
          <w:sz w:val="16"/>
          <w:szCs w:val="16"/>
          <w:color w:val="auto"/>
        </w:rPr>
      </w:pPr>
    </w:p>
    <w:p>
      <w:pPr>
        <w:ind w:left="1680" w:hanging="531"/>
        <w:spacing w:after="0" w:line="256"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selling shareholder has served as Executive Vice President—Operations and Engineering of our general partner and of PAA's general partner since December 2015. He served as Executive Vice President—Operations and Business Development of our general partner from July 2013 until December 2015 and as Executive Vice President—Operations and Business Development of PAA's general partner from February 2013 until December 2015.</w:t>
      </w:r>
    </w:p>
    <w:p>
      <w:pPr>
        <w:spacing w:after="0" w:line="210" w:lineRule="exact"/>
        <w:rPr>
          <w:rFonts w:ascii="Arial" w:cs="Arial" w:eastAsia="Arial" w:hAnsi="Arial"/>
          <w:sz w:val="18"/>
          <w:szCs w:val="18"/>
          <w:color w:val="auto"/>
        </w:rPr>
      </w:pPr>
    </w:p>
    <w:p>
      <w:pPr>
        <w:ind w:left="1680" w:right="120" w:hanging="531"/>
        <w:spacing w:after="0" w:line="268"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selling shareholder has served as Executive Vice President and Chief Financial Officer of our general partner since July 2013 and as Executive Vice President and Chief Financial Officer of PAA's general partner since February 2011.</w:t>
      </w:r>
    </w:p>
    <w:p>
      <w:pPr>
        <w:spacing w:after="0" w:line="212" w:lineRule="exact"/>
        <w:rPr>
          <w:rFonts w:ascii="Arial" w:cs="Arial" w:eastAsia="Arial" w:hAnsi="Arial"/>
          <w:sz w:val="18"/>
          <w:szCs w:val="18"/>
          <w:color w:val="auto"/>
        </w:rPr>
      </w:pPr>
    </w:p>
    <w:p>
      <w:pPr>
        <w:ind w:left="1680" w:right="80" w:hanging="531"/>
        <w:spacing w:after="0" w:line="268"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selling shareholder has served as Chief Executive Officer of Plains Midstream Canada since January 1, 2016. He served as President of Plains Midstream Canada from June 2003 through December 2015.</w:t>
      </w:r>
    </w:p>
    <w:p>
      <w:pPr>
        <w:spacing w:after="0" w:line="199" w:lineRule="exact"/>
        <w:rPr>
          <w:rFonts w:ascii="Arial" w:cs="Arial" w:eastAsia="Arial" w:hAnsi="Arial"/>
          <w:sz w:val="18"/>
          <w:szCs w:val="18"/>
          <w:color w:val="auto"/>
        </w:rPr>
      </w:pPr>
    </w:p>
    <w:p>
      <w:pPr>
        <w:ind w:left="1680" w:right="100" w:hanging="531"/>
        <w:spacing w:after="0" w:line="268"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selling shareholder has served as Executive Vice President of our general partner since July 2013 and as Executive Vice President of PAA's general partner since November 2008.</w:t>
      </w:r>
    </w:p>
    <w:p>
      <w:pPr>
        <w:spacing w:after="0" w:line="199" w:lineRule="exact"/>
        <w:rPr>
          <w:rFonts w:ascii="Arial" w:cs="Arial" w:eastAsia="Arial" w:hAnsi="Arial"/>
          <w:sz w:val="18"/>
          <w:szCs w:val="18"/>
          <w:color w:val="auto"/>
        </w:rPr>
      </w:pPr>
    </w:p>
    <w:p>
      <w:pPr>
        <w:ind w:left="1680" w:hanging="531"/>
        <w:spacing w:after="0" w:line="306" w:lineRule="auto"/>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selling shareholder has served as President and Chief Operating Officer of our general partner since July 2013 and as President and Chief Operating Officer of PAA's general partner since PAA's formation in 1998. The selling shareholder received 469,065 Class A shares in connection with the conversion and exchange of AAP management units; 20,000 Class A shares were previously owned.</w:t>
      </w:r>
    </w:p>
    <w:p>
      <w:pPr>
        <w:spacing w:after="0" w:line="187" w:lineRule="exact"/>
        <w:rPr>
          <w:rFonts w:ascii="Arial" w:cs="Arial" w:eastAsia="Arial" w:hAnsi="Arial"/>
          <w:sz w:val="16"/>
          <w:szCs w:val="16"/>
          <w:color w:val="auto"/>
        </w:rPr>
      </w:pPr>
    </w:p>
    <w:p>
      <w:pPr>
        <w:ind w:left="1680" w:right="20" w:hanging="531"/>
        <w:spacing w:after="0" w:line="259"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three persons not otherwise listed above, none of which currently owns more than 0.1% of the Class A shares. Collectively, these shareholders own approximately 0.2% of the Class A shares. All of the selling shareholders in this group currently serve as officers of PAA's general partner.</w:t>
      </w:r>
    </w:p>
    <w:p>
      <w:pPr>
        <w:spacing w:after="0" w:line="207" w:lineRule="exact"/>
        <w:rPr>
          <w:rFonts w:ascii="Arial" w:cs="Arial" w:eastAsia="Arial" w:hAnsi="Arial"/>
          <w:sz w:val="18"/>
          <w:szCs w:val="18"/>
          <w:color w:val="auto"/>
        </w:rPr>
      </w:pPr>
    </w:p>
    <w:p>
      <w:pPr>
        <w:ind w:left="1680" w:right="100" w:hanging="531"/>
        <w:spacing w:after="0" w:line="294" w:lineRule="auto"/>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five persons not otherwise listed above, none of which currently owns more than 0.4% of the Class A shares. Collectively, these shareholders own approximately 0.6% of the Class A shares. All of the selling shareholders in this group are former officers and employees of PAA's general partner or of Plains Midstream Canada ULC, our wholly owned subsidiary. The selling shareholders in this group received an aggregate of 3,821,155 Class A shares in connection with the conversion and exchange of AAP management units; 12,500 Class A shares were previously owned.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ind w:right="440" w:firstLine="348"/>
        <w:spacing w:after="0" w:line="259" w:lineRule="auto"/>
        <w:rPr>
          <w:sz w:val="20"/>
          <w:szCs w:val="20"/>
          <w:color w:val="auto"/>
        </w:rPr>
      </w:pPr>
      <w:r>
        <w:rPr>
          <w:rFonts w:ascii="Arial" w:cs="Arial" w:eastAsia="Arial" w:hAnsi="Arial"/>
          <w:sz w:val="18"/>
          <w:szCs w:val="18"/>
          <w:color w:val="auto"/>
        </w:rPr>
        <w:t>We are registering the Class A shares offered by this prospectus on behalf of the selling shareholders. As used in this prospectus, "selling shareholders" includes partners, pledgees, donees (including charitable organizations), transferees or other successors-in-interest selling Class A shares received from any selling shareholder identified in this prospectus after the date of this prospectus.</w:t>
      </w:r>
    </w:p>
    <w:p>
      <w:pPr>
        <w:spacing w:after="0" w:line="19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Subject to certain restrictions on transfer that may be applicable to the selling shareholders, the selling shareholders intend to offer and sell the Class A shares offered by this prospectus by one or more of, or a combination of, the following methods:</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Class A shares as principal and thereafter resell the Class A shares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offering price per Class A share will be determined from time to time by the selling shareholders in connection with, and at the time of, the sale by such selling shareholders. The selling shareholders may price the Class A shares at:</w:t>
      </w:r>
    </w:p>
    <w:p>
      <w:pPr>
        <w:spacing w:after="0" w:line="213"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prices related to the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addition, the selling shareholders may from time to time sell Class A shares in compliance with Rule 144 under the Securities Act, if available, or pursuant to other available exemptions from the registration requirements under the Securities Act, rather than pursuant to this prospectus. The selling shareholders may be required by the securities laws of certain states to offer and sell the Class A shares only through registered or licensed brokers or dealers.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selling shareholders may act independently of us in making decisions with respect to the timing, manner and size of each of their sales.</w:t>
      </w:r>
    </w:p>
    <w:p>
      <w:pPr>
        <w:spacing w:after="0" w:line="248"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The selling shareholders may authorize underwriters acting as their agent to offer and sell Class A shares upon the terms and conditions as are set forth in an applicable prospectus supplement. In connection with the sale of these Class A shares, underwriters may be deemed to have received compensation from the selling shareholders in the form of underwriting discounts or commissions and may also receive commissions from purchasers of Class A shares for whom they may act as agent or to whom they sell as principals, or both. Underwriters may sell Class A shares to or through dealers. Dealers may receive compensation in the form of discounts, concessions or commissions from the underwriters and/or commissions from the purchasers for whom they may act as agent or to whom they sell as principals, or both. A member firm of the NYSE may be engaged to act as the agent of the selling shareholders in the sale of Class A shares.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of the date of this prospectus, the selling shareholders have not engaged any underwriter, broker, dealer or agent in connection with the offer and sale of Class A shares pursuant to this prospectus by the selling shareholders. To the extent required, the names of the specific managing underwriter or underwriters, if any, as well as other important information, will be set forth in an applicable prospectus supplement. In that event, any underwriting compensation paid by the selling shareholders to underwriters or agents in connection with the offering of these Class A shares, and any discounts, concessions or commissions allowed by underwriters to participating dealers, will be set forth in the applicable prospectus supplement.</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Broker-dealers may also receive compensation in the form of underwriting discounts or commissions and may receive commissions from purchasers of the Class A shares for whom they may act as agents. If any broker-dealer purchases the Class A shares as principal, it may effect resales of the Class A shares from time to time to or through other broker-dealers, and other broker-dealers may receive compensation in the form of concessions or commissions from the purchasers of Class A shares for whom they may act as agents.</w:t>
      </w:r>
    </w:p>
    <w:p>
      <w:pPr>
        <w:spacing w:after="0" w:line="19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will pay the costs and expenses related to the registration and offering of the Class A shares offered hereby. We will not pay any underwriting fees, discounts and selling commissions (and similar fees or arrangements associated therewith) allocable to each selling shareholder's sale of its respective Class A shares; these expenses will be paid by the selling shareholders.</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agreed to indemnify the selling shareholders against certain liabilities to which they may become subject in connection with the sale of the Class A shares owned by the selling shareholders and registered under this prospectus, including liabilities arising under the Securities Act. We may indemnify underwriters, brokers, dealers and agents against specific liabilities to which they may become subject in connection with the sale of the Class A shares owned by the selling shareholders and registered under this prospectus, including liabilities under the Securities Act.</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underwriters, brokers, dealers and agents who participate in any sale of the Class A shares may also engage in transactions with, or perform services for, us or our affiliates in the ordinary course of their businesses.</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Because FINRA views our Class A shares as interests in a direct participation program, any offering of Class A shares under the registration statement of which this prospectus forms a part will be made in compliance with Rule 2310 of the FINRA Rules.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statement and in compliance with applicable law, underwriters, brokers or dealers may engage in transactions which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w:t>
      </w:r>
    </w:p>
    <w:p>
      <w:pPr>
        <w:spacing w:after="0" w:line="174"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2015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Set forth below are the expenses (other than underwriting discounts and commissions) expected to be incurred in connection with the issuance and distribution of the Class A shares registered hereby. With the exception of the SEC registration fee, the amounts set forth below are estimates. We will cause AAP to pay all expenses (other than underwriting discounts and commissions) incurred by the selling shareholders.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Printing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r>
      <w:tr>
        <w:trPr>
          <w:trHeight w:val="20"/>
        </w:trPr>
        <w:tc>
          <w:tcPr>
            <w:tcW w:w="4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103,868</w:t>
            </w:r>
          </w:p>
        </w:tc>
      </w:tr>
      <w:tr>
        <w:trPr>
          <w:trHeight w:val="20"/>
        </w:trPr>
        <w:tc>
          <w:tcPr>
            <w:tcW w:w="4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Section 17-108 of the Delaware Revised Uniform Limited Partnership Act empowers a Delaware limited partnership to indemnify and hold harmless any partner or other persons from and against all claims and demands whatsoever. Under Plains GP Holdings, L.P.'s partnership agreement and subject to specified limitations expressly in its partnership agreement, Plains GP Holdings, L.P. shall indemnify to the fullest extent permitted by Delaware law:</w:t>
      </w:r>
    </w:p>
    <w:p>
      <w:pPr>
        <w:spacing w:after="0" w:line="174"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its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Qualifying Interest Holders (as defined in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person who is or was an affiliate of its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20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its general partner or any departing general partner or any affiliate of its general partner, any departing general partner or the Legacy Owners;</w:t>
      </w:r>
    </w:p>
    <w:p>
      <w:pPr>
        <w:spacing w:after="0" w:line="152" w:lineRule="exact"/>
        <w:rPr>
          <w:rFonts w:ascii="Arial" w:cs="Arial" w:eastAsia="Arial" w:hAnsi="Arial"/>
          <w:sz w:val="16"/>
          <w:szCs w:val="16"/>
          <w:color w:val="auto"/>
        </w:rPr>
      </w:pPr>
    </w:p>
    <w:p>
      <w:pPr>
        <w:ind w:left="1080" w:right="14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person designated by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from and against all losses, claims, damages or similar events arising by reason of such person's above mentioned position with respect to Plains</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GP Holdings, L.P. Provided, that such person shall not be indemnified and held harmless if there has been a final and non-appealable judgment entered by a court determining that such person acted in bad faith or engaged in fraud, willful misconduct or acted with the knowledge that his or her conduct was unlawful. Any indemnification under Plains GP Holdings, L.P.'s partnership agreement will only be out of its assets. Plains GP Holdings, L.P. is authorized to purchase insurance against liabilities asserted against and expenses incurred by persons from Plains GP Holdings, L.P.'s activities, regardless of whether Plains GP Holdings, L.P. would have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power to indemnify the person against liabilities under Plains GP Holdings, L.P.'s partnership agreement.</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registration statement on Form S-3, which Exhibit Index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left="700" w:hanging="34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080" w:right="40" w:firstLine="403"/>
        <w:spacing w:after="0" w:line="290" w:lineRule="auto"/>
        <w:tabs>
          <w:tab w:leader="none" w:pos="1774" w:val="left"/>
        </w:tabs>
        <w:numPr>
          <w:ilvl w:val="2"/>
          <w:numId w:val="3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2" w:lineRule="exact"/>
        <w:rPr>
          <w:rFonts w:ascii="Arial" w:cs="Arial" w:eastAsia="Arial" w:hAnsi="Arial"/>
          <w:sz w:val="16"/>
          <w:szCs w:val="16"/>
          <w:color w:val="auto"/>
        </w:rPr>
      </w:pPr>
    </w:p>
    <w:p>
      <w:pPr>
        <w:ind w:left="1080" w:right="100" w:firstLine="360"/>
        <w:spacing w:after="0" w:line="268" w:lineRule="auto"/>
        <w:tabs>
          <w:tab w:leader="none" w:pos="1779" w:val="left"/>
        </w:tabs>
        <w:numPr>
          <w:ilvl w:val="2"/>
          <w:numId w:val="3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(i), (ii) and (iii) above do not apply if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97" w:lineRule="exact"/>
        <w:rPr>
          <w:sz w:val="20"/>
          <w:szCs w:val="20"/>
          <w:color w:val="auto"/>
        </w:rPr>
      </w:pPr>
    </w:p>
    <w:p>
      <w:pPr>
        <w:ind w:left="540" w:right="220" w:firstLine="359"/>
        <w:spacing w:after="0" w:line="259" w:lineRule="auto"/>
        <w:tabs>
          <w:tab w:leader="none" w:pos="12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20" w:firstLine="359"/>
        <w:spacing w:after="0" w:line="268" w:lineRule="auto"/>
        <w:tabs>
          <w:tab w:leader="none" w:pos="12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080" w:right="120" w:firstLine="447"/>
        <w:spacing w:after="0" w:line="268" w:lineRule="auto"/>
        <w:tabs>
          <w:tab w:leader="none" w:pos="1772"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right="620"/>
        <w:spacing w:after="0" w:line="261" w:lineRule="auto"/>
        <w:rPr>
          <w:sz w:val="20"/>
          <w:szCs w:val="20"/>
          <w:color w:val="auto"/>
        </w:rPr>
      </w:pPr>
      <w:r>
        <w:rPr>
          <w:rFonts w:ascii="Arial" w:cs="Arial" w:eastAsia="Arial" w:hAnsi="Arial"/>
          <w:sz w:val="18"/>
          <w:szCs w:val="18"/>
          <w:color w:val="auto"/>
        </w:rPr>
        <w:t>Rule 430B relating to an offering made pursuant to Rule 415(a)(1)(i), (vii) or (x) for the purpose of providing the information required by Section 10(a) of the Securities Act shall be deemed to be part of and included in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88" w:lineRule="auto"/>
        <w:rPr>
          <w:sz w:val="20"/>
          <w:szCs w:val="20"/>
          <w:color w:val="auto"/>
        </w:rPr>
      </w:pPr>
      <w:r>
        <w:rPr>
          <w:rFonts w:ascii="Arial" w:cs="Arial" w:eastAsia="Arial" w:hAnsi="Arial"/>
          <w:sz w:val="16"/>
          <w:szCs w:val="16"/>
          <w:color w:val="auto"/>
        </w:rPr>
        <w:t>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4" w:lineRule="exact"/>
        <w:rPr>
          <w:sz w:val="20"/>
          <w:szCs w:val="20"/>
          <w:color w:val="auto"/>
        </w:rPr>
      </w:pPr>
    </w:p>
    <w:p>
      <w:pPr>
        <w:ind w:right="80" w:firstLine="359"/>
        <w:spacing w:after="0" w:line="256" w:lineRule="auto"/>
        <w:tabs>
          <w:tab w:leader="none" w:pos="6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Securities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Arial" w:cs="Arial" w:eastAsia="Arial" w:hAnsi="Arial"/>
          <w:sz w:val="18"/>
          <w:szCs w:val="18"/>
          <w:color w:val="auto"/>
        </w:rPr>
      </w:pPr>
    </w:p>
    <w:p>
      <w:pPr>
        <w:ind w:firstLine="359"/>
        <w:spacing w:after="0" w:line="290" w:lineRule="auto"/>
        <w:tabs>
          <w:tab w:leader="none" w:pos="688"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March 10, 2016.</w:t>
      </w:r>
    </w:p>
    <w:p>
      <w:pPr>
        <w:spacing w:after="0" w:line="18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PLAINS GP HOLDINGS, L.P.</w:t>
      </w:r>
    </w:p>
    <w:p>
      <w:pPr>
        <w:spacing w:after="0" w:line="258"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52" w:lineRule="exact"/>
        <w:rPr>
          <w:sz w:val="20"/>
          <w:szCs w:val="20"/>
          <w:color w:val="auto"/>
        </w:rPr>
      </w:pPr>
    </w:p>
    <w:p>
      <w:pPr>
        <w:ind w:left="57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Greg L. Armstrong</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the dates indicated.</w:t>
      </w:r>
    </w:p>
    <w:p>
      <w:pPr>
        <w:spacing w:after="0" w:line="182" w:lineRule="exact"/>
        <w:rPr>
          <w:sz w:val="20"/>
          <w:szCs w:val="20"/>
          <w:color w:val="auto"/>
        </w:rPr>
      </w:pPr>
    </w:p>
    <w:p>
      <w:pPr>
        <w:ind w:left="2640"/>
        <w:spacing w:after="0"/>
        <w:tabs>
          <w:tab w:leader="none" w:pos="6520" w:val="left"/>
          <w:tab w:leader="none" w:pos="93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GREG L. ARMSTRONG</w:t>
            </w:r>
          </w:p>
        </w:tc>
        <w:tc>
          <w:tcPr>
            <w:tcW w:w="3900" w:type="dxa"/>
            <w:vAlign w:val="bottom"/>
          </w:tcPr>
          <w:p>
            <w:pPr>
              <w:ind w:left="160"/>
              <w:spacing w:after="0"/>
              <w:rPr>
                <w:sz w:val="20"/>
                <w:szCs w:val="20"/>
                <w:color w:val="auto"/>
              </w:rPr>
            </w:pPr>
            <w:r>
              <w:rPr>
                <w:rFonts w:ascii="Arial" w:cs="Arial" w:eastAsia="Arial" w:hAnsi="Arial"/>
                <w:sz w:val="18"/>
                <w:szCs w:val="18"/>
                <w:color w:val="auto"/>
              </w:rPr>
              <w:t>Chairman of the Board and Chief Executive</w:t>
            </w:r>
          </w:p>
        </w:tc>
        <w:tc>
          <w:tcPr>
            <w:tcW w:w="2780" w:type="dxa"/>
            <w:vAlign w:val="bottom"/>
          </w:tcPr>
          <w:p>
            <w:pPr>
              <w:ind w:left="260"/>
              <w:spacing w:after="0"/>
              <w:rPr>
                <w:sz w:val="20"/>
                <w:szCs w:val="20"/>
                <w:color w:val="auto"/>
              </w:rPr>
            </w:pPr>
            <w:r>
              <w:rPr>
                <w:rFonts w:ascii="Arial" w:cs="Arial" w:eastAsia="Arial" w:hAnsi="Arial"/>
                <w:sz w:val="18"/>
                <w:szCs w:val="18"/>
                <w:color w:val="auto"/>
              </w:rPr>
              <w:t>March 10, 2016</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00" w:type="dxa"/>
            <w:vAlign w:val="bottom"/>
            <w:vMerge w:val="restart"/>
          </w:tcPr>
          <w:p>
            <w:pPr>
              <w:ind w:left="160"/>
              <w:spacing w:after="0"/>
              <w:rPr>
                <w:sz w:val="20"/>
                <w:szCs w:val="20"/>
                <w:color w:val="auto"/>
              </w:rPr>
            </w:pPr>
            <w:r>
              <w:rPr>
                <w:rFonts w:ascii="Arial" w:cs="Arial" w:eastAsia="Arial" w:hAnsi="Arial"/>
                <w:sz w:val="18"/>
                <w:szCs w:val="18"/>
                <w:color w:val="auto"/>
              </w:rPr>
              <w:t>Officer of PAA GP Holdings LLC (Principal</w:t>
            </w: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Greg L. Armstrong</w:t>
            </w:r>
          </w:p>
        </w:tc>
        <w:tc>
          <w:tcPr>
            <w:tcW w:w="3900" w:type="dxa"/>
            <w:vAlign w:val="bottom"/>
            <w:vMerge w:val="continue"/>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80" w:type="dxa"/>
            <w:vAlign w:val="bottom"/>
            <w:vMerge w:val="continue"/>
          </w:tcPr>
          <w:p>
            <w:pPr>
              <w:spacing w:after="0"/>
              <w:rPr>
                <w:sz w:val="19"/>
                <w:szCs w:val="19"/>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Executive Officer)</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HARRY N. PEFANIS</w:t>
            </w:r>
          </w:p>
        </w:tc>
        <w:tc>
          <w:tcPr>
            <w:tcW w:w="3900" w:type="dxa"/>
            <w:vAlign w:val="bottom"/>
          </w:tcPr>
          <w:p>
            <w:pPr>
              <w:ind w:left="160"/>
              <w:spacing w:after="0"/>
              <w:rPr>
                <w:sz w:val="20"/>
                <w:szCs w:val="20"/>
                <w:color w:val="auto"/>
              </w:rPr>
            </w:pPr>
            <w:r>
              <w:rPr>
                <w:rFonts w:ascii="Arial" w:cs="Arial" w:eastAsia="Arial" w:hAnsi="Arial"/>
                <w:sz w:val="18"/>
                <w:szCs w:val="18"/>
                <w:color w:val="auto"/>
                <w:w w:val="94"/>
              </w:rPr>
              <w:t>President and Chief Operating Officer of PAA GP</w:t>
            </w:r>
          </w:p>
        </w:tc>
        <w:tc>
          <w:tcPr>
            <w:tcW w:w="2780" w:type="dxa"/>
            <w:vAlign w:val="bottom"/>
          </w:tcPr>
          <w:p>
            <w:pPr>
              <w:ind w:left="260"/>
              <w:spacing w:after="0"/>
              <w:rPr>
                <w:sz w:val="20"/>
                <w:szCs w:val="20"/>
                <w:color w:val="auto"/>
              </w:rPr>
            </w:pPr>
            <w:r>
              <w:rPr>
                <w:rFonts w:ascii="Arial" w:cs="Arial" w:eastAsia="Arial" w:hAnsi="Arial"/>
                <w:sz w:val="18"/>
                <w:szCs w:val="18"/>
                <w:color w:val="auto"/>
              </w:rPr>
              <w:t>March 10, 2016</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00" w:type="dxa"/>
            <w:vAlign w:val="bottom"/>
            <w:vMerge w:val="restart"/>
          </w:tcPr>
          <w:p>
            <w:pPr>
              <w:ind w:left="160"/>
              <w:spacing w:after="0"/>
              <w:rPr>
                <w:sz w:val="20"/>
                <w:szCs w:val="20"/>
                <w:color w:val="auto"/>
              </w:rPr>
            </w:pPr>
            <w:r>
              <w:rPr>
                <w:rFonts w:ascii="Arial" w:cs="Arial" w:eastAsia="Arial" w:hAnsi="Arial"/>
                <w:sz w:val="18"/>
                <w:szCs w:val="18"/>
                <w:color w:val="auto"/>
              </w:rPr>
              <w:t>Holdings LLC</w:t>
            </w: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9"/>
              </w:rPr>
              <w:t>Harry N. Pefanis</w:t>
            </w:r>
          </w:p>
        </w:tc>
        <w:tc>
          <w:tcPr>
            <w:tcW w:w="3900" w:type="dxa"/>
            <w:vAlign w:val="bottom"/>
            <w:vMerge w:val="continue"/>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9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/s/ AL SWANSON</w:t>
            </w:r>
          </w:p>
        </w:tc>
        <w:tc>
          <w:tcPr>
            <w:tcW w:w="3900" w:type="dxa"/>
            <w:vAlign w:val="bottom"/>
          </w:tcPr>
          <w:p>
            <w:pPr>
              <w:ind w:left="160"/>
              <w:spacing w:after="0"/>
              <w:rPr>
                <w:sz w:val="20"/>
                <w:szCs w:val="20"/>
                <w:color w:val="auto"/>
              </w:rPr>
            </w:pPr>
            <w:r>
              <w:rPr>
                <w:rFonts w:ascii="Arial" w:cs="Arial" w:eastAsia="Arial" w:hAnsi="Arial"/>
                <w:sz w:val="18"/>
                <w:szCs w:val="18"/>
                <w:color w:val="auto"/>
              </w:rPr>
              <w:t>Executive Vice President and Chief Financial</w:t>
            </w:r>
          </w:p>
        </w:tc>
        <w:tc>
          <w:tcPr>
            <w:tcW w:w="2780" w:type="dxa"/>
            <w:vAlign w:val="bottom"/>
          </w:tcPr>
          <w:p>
            <w:pPr>
              <w:ind w:left="260"/>
              <w:spacing w:after="0"/>
              <w:rPr>
                <w:sz w:val="20"/>
                <w:szCs w:val="20"/>
                <w:color w:val="auto"/>
              </w:rPr>
            </w:pPr>
            <w:r>
              <w:rPr>
                <w:rFonts w:ascii="Arial" w:cs="Arial" w:eastAsia="Arial" w:hAnsi="Arial"/>
                <w:sz w:val="18"/>
                <w:szCs w:val="18"/>
                <w:color w:val="auto"/>
              </w:rPr>
              <w:t>March 10, 2016</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00" w:type="dxa"/>
            <w:vAlign w:val="bottom"/>
            <w:vMerge w:val="restart"/>
          </w:tcPr>
          <w:p>
            <w:pPr>
              <w:ind w:left="160"/>
              <w:spacing w:after="0"/>
              <w:rPr>
                <w:sz w:val="20"/>
                <w:szCs w:val="20"/>
                <w:color w:val="auto"/>
              </w:rPr>
            </w:pPr>
            <w:r>
              <w:rPr>
                <w:rFonts w:ascii="Arial" w:cs="Arial" w:eastAsia="Arial" w:hAnsi="Arial"/>
                <w:sz w:val="18"/>
                <w:szCs w:val="18"/>
                <w:color w:val="auto"/>
              </w:rPr>
              <w:t>Officer of PAA GP Holdings LLC (Principal</w:t>
            </w: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Al Swanson</w:t>
            </w:r>
          </w:p>
        </w:tc>
        <w:tc>
          <w:tcPr>
            <w:tcW w:w="3900" w:type="dxa"/>
            <w:vAlign w:val="bottom"/>
            <w:vMerge w:val="continue"/>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80" w:type="dxa"/>
            <w:vAlign w:val="bottom"/>
            <w:vMerge w:val="continue"/>
          </w:tcPr>
          <w:p>
            <w:pPr>
              <w:spacing w:after="0"/>
              <w:rPr>
                <w:sz w:val="19"/>
                <w:szCs w:val="19"/>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Financial Officer)</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00" w:type="dxa"/>
            <w:vAlign w:val="bottom"/>
          </w:tcPr>
          <w:p>
            <w:pPr>
              <w:ind w:left="840"/>
              <w:spacing w:after="0"/>
              <w:rPr>
                <w:sz w:val="20"/>
                <w:szCs w:val="20"/>
                <w:color w:val="auto"/>
              </w:rPr>
            </w:pPr>
            <w:r>
              <w:rPr>
                <w:rFonts w:ascii="Arial" w:cs="Arial" w:eastAsia="Arial" w:hAnsi="Arial"/>
                <w:sz w:val="18"/>
                <w:szCs w:val="18"/>
                <w:color w:val="auto"/>
              </w:rPr>
              <w:t>II-4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tabs>
          <w:tab w:leader="none" w:pos="6520" w:val="left"/>
          <w:tab w:leader="none" w:pos="93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3780" w:type="dxa"/>
            <w:vAlign w:val="bottom"/>
          </w:tcPr>
          <w:p>
            <w:pPr>
              <w:ind w:left="160"/>
              <w:spacing w:after="0"/>
              <w:rPr>
                <w:sz w:val="20"/>
                <w:szCs w:val="20"/>
                <w:color w:val="auto"/>
              </w:rPr>
            </w:pPr>
            <w:r>
              <w:rPr>
                <w:rFonts w:ascii="Arial" w:cs="Arial" w:eastAsia="Arial" w:hAnsi="Arial"/>
                <w:sz w:val="18"/>
                <w:szCs w:val="18"/>
                <w:color w:val="auto"/>
              </w:rPr>
              <w:t>Vice President—Accounting and Chief</w:t>
            </w:r>
          </w:p>
        </w:tc>
        <w:tc>
          <w:tcPr>
            <w:tcW w:w="2900" w:type="dxa"/>
            <w:vAlign w:val="bottom"/>
          </w:tcPr>
          <w:p>
            <w:pPr>
              <w:ind w:left="380"/>
              <w:spacing w:after="0"/>
              <w:rPr>
                <w:sz w:val="20"/>
                <w:szCs w:val="20"/>
                <w:color w:val="auto"/>
              </w:rPr>
            </w:pPr>
            <w:r>
              <w:rPr>
                <w:rFonts w:ascii="Arial" w:cs="Arial" w:eastAsia="Arial" w:hAnsi="Arial"/>
                <w:sz w:val="18"/>
                <w:szCs w:val="18"/>
                <w:color w:val="auto"/>
              </w:rPr>
              <w:t>March 10, 2016</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Accounting Officer of PAA GP Holdings LLC</w:t>
            </w: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Chris Herbold</w:t>
            </w:r>
          </w:p>
        </w:tc>
        <w:tc>
          <w:tcPr>
            <w:tcW w:w="3780" w:type="dxa"/>
            <w:vAlign w:val="bottom"/>
            <w:vMerge w:val="continue"/>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80" w:type="dxa"/>
            <w:vAlign w:val="bottom"/>
            <w:vMerge w:val="continue"/>
          </w:tcPr>
          <w:p>
            <w:pPr>
              <w:spacing w:after="0"/>
              <w:rPr>
                <w:sz w:val="19"/>
                <w:szCs w:val="19"/>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(Principal Accounting Officer)</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/s/ VICTOR BURK</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 of PAA GP Holdings LLC</w:t>
            </w:r>
          </w:p>
        </w:tc>
        <w:tc>
          <w:tcPr>
            <w:tcW w:w="2900" w:type="dxa"/>
            <w:vAlign w:val="bottom"/>
          </w:tcPr>
          <w:p>
            <w:pPr>
              <w:ind w:left="380"/>
              <w:spacing w:after="0"/>
              <w:rPr>
                <w:sz w:val="20"/>
                <w:szCs w:val="20"/>
                <w:color w:val="auto"/>
              </w:rPr>
            </w:pPr>
            <w:r>
              <w:rPr>
                <w:rFonts w:ascii="Arial" w:cs="Arial" w:eastAsia="Arial" w:hAnsi="Arial"/>
                <w:sz w:val="18"/>
                <w:szCs w:val="18"/>
                <w:color w:val="auto"/>
              </w:rPr>
              <w:t>March 10, 2016</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5"/>
              </w:rPr>
              <w:t>Victor Burk</w:t>
            </w:r>
          </w:p>
        </w:tc>
        <w:tc>
          <w:tcPr>
            <w:tcW w:w="3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/s/ BERNARD FIGLOCK</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 of PAA GP Holdings LLC</w:t>
            </w:r>
          </w:p>
        </w:tc>
        <w:tc>
          <w:tcPr>
            <w:tcW w:w="2900" w:type="dxa"/>
            <w:vAlign w:val="bottom"/>
          </w:tcPr>
          <w:p>
            <w:pPr>
              <w:ind w:left="380"/>
              <w:spacing w:after="0"/>
              <w:rPr>
                <w:sz w:val="20"/>
                <w:szCs w:val="20"/>
                <w:color w:val="auto"/>
              </w:rPr>
            </w:pPr>
            <w:r>
              <w:rPr>
                <w:rFonts w:ascii="Arial" w:cs="Arial" w:eastAsia="Arial" w:hAnsi="Arial"/>
                <w:sz w:val="18"/>
                <w:szCs w:val="18"/>
                <w:color w:val="auto"/>
              </w:rPr>
              <w:t>March 10, 2016</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Bernard Figlock</w:t>
            </w:r>
          </w:p>
        </w:tc>
        <w:tc>
          <w:tcPr>
            <w:tcW w:w="3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EVERARDO GOYANES</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 of PAA GP Holdings LLC</w:t>
            </w:r>
          </w:p>
        </w:tc>
        <w:tc>
          <w:tcPr>
            <w:tcW w:w="2900" w:type="dxa"/>
            <w:vAlign w:val="bottom"/>
          </w:tcPr>
          <w:p>
            <w:pPr>
              <w:ind w:left="380"/>
              <w:spacing w:after="0"/>
              <w:rPr>
                <w:sz w:val="20"/>
                <w:szCs w:val="20"/>
                <w:color w:val="auto"/>
              </w:rPr>
            </w:pPr>
            <w:r>
              <w:rPr>
                <w:rFonts w:ascii="Arial" w:cs="Arial" w:eastAsia="Arial" w:hAnsi="Arial"/>
                <w:sz w:val="18"/>
                <w:szCs w:val="18"/>
                <w:color w:val="auto"/>
              </w:rPr>
              <w:t>March 10, 2016</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6"/>
              </w:rPr>
              <w:t>Everardo Goyanes</w:t>
            </w:r>
          </w:p>
        </w:tc>
        <w:tc>
          <w:tcPr>
            <w:tcW w:w="3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/s/ JOHN T. RAYMOND</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 of PAA GP Holdings LLC</w:t>
            </w:r>
          </w:p>
        </w:tc>
        <w:tc>
          <w:tcPr>
            <w:tcW w:w="2900" w:type="dxa"/>
            <w:vAlign w:val="bottom"/>
          </w:tcPr>
          <w:p>
            <w:pPr>
              <w:ind w:left="380"/>
              <w:spacing w:after="0"/>
              <w:rPr>
                <w:sz w:val="20"/>
                <w:szCs w:val="20"/>
                <w:color w:val="auto"/>
              </w:rPr>
            </w:pPr>
            <w:r>
              <w:rPr>
                <w:rFonts w:ascii="Arial" w:cs="Arial" w:eastAsia="Arial" w:hAnsi="Arial"/>
                <w:sz w:val="18"/>
                <w:szCs w:val="18"/>
                <w:color w:val="auto"/>
              </w:rPr>
              <w:t>March 10, 2016</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7"/>
              </w:rPr>
              <w:t>John T. Raymond</w:t>
            </w:r>
          </w:p>
        </w:tc>
        <w:tc>
          <w:tcPr>
            <w:tcW w:w="3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/s/ BOBBY S. SHACKOULS</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 of PAA GP Holdings LLC</w:t>
            </w:r>
          </w:p>
        </w:tc>
        <w:tc>
          <w:tcPr>
            <w:tcW w:w="2900" w:type="dxa"/>
            <w:vAlign w:val="bottom"/>
          </w:tcPr>
          <w:p>
            <w:pPr>
              <w:ind w:left="380"/>
              <w:spacing w:after="0"/>
              <w:rPr>
                <w:sz w:val="20"/>
                <w:szCs w:val="20"/>
                <w:color w:val="auto"/>
              </w:rPr>
            </w:pPr>
            <w:r>
              <w:rPr>
                <w:rFonts w:ascii="Arial" w:cs="Arial" w:eastAsia="Arial" w:hAnsi="Arial"/>
                <w:sz w:val="18"/>
                <w:szCs w:val="18"/>
                <w:color w:val="auto"/>
              </w:rPr>
              <w:t>March 10, 2016</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8"/>
              </w:rPr>
              <w:t>Bobby S. Shackouls</w:t>
            </w:r>
          </w:p>
        </w:tc>
        <w:tc>
          <w:tcPr>
            <w:tcW w:w="3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/s/ ROBERT V. SINNOTT</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 of PAA GP Holdings LLC</w:t>
            </w:r>
          </w:p>
        </w:tc>
        <w:tc>
          <w:tcPr>
            <w:tcW w:w="2900" w:type="dxa"/>
            <w:vAlign w:val="bottom"/>
          </w:tcPr>
          <w:p>
            <w:pPr>
              <w:ind w:left="380"/>
              <w:spacing w:after="0"/>
              <w:rPr>
                <w:sz w:val="20"/>
                <w:szCs w:val="20"/>
                <w:color w:val="auto"/>
              </w:rPr>
            </w:pPr>
            <w:r>
              <w:rPr>
                <w:rFonts w:ascii="Arial" w:cs="Arial" w:eastAsia="Arial" w:hAnsi="Arial"/>
                <w:sz w:val="18"/>
                <w:szCs w:val="18"/>
                <w:color w:val="auto"/>
              </w:rPr>
              <w:t>March 10, 2016</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8"/>
              </w:rPr>
              <w:t>Robert V. Sinnott</w:t>
            </w:r>
          </w:p>
        </w:tc>
        <w:tc>
          <w:tcPr>
            <w:tcW w:w="3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Arial" w:cs="Arial" w:eastAsia="Arial" w:hAnsi="Arial"/>
                <w:sz w:val="18"/>
                <w:szCs w:val="18"/>
                <w:color w:val="auto"/>
              </w:rPr>
              <w:t>II-5</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740" w:type="dxa"/>
            <w:vAlign w:val="bottom"/>
          </w:tcPr>
          <w:p>
            <w:pPr>
              <w:ind w:left="12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4"/>
        </w:trPr>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4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spacing w:after="0"/>
              <w:rPr>
                <w:sz w:val="14"/>
                <w:szCs w:val="14"/>
                <w:color w:val="auto"/>
              </w:rPr>
            </w:pPr>
          </w:p>
        </w:tc>
        <w:tc>
          <w:tcPr>
            <w:tcW w:w="674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440" w:type="dxa"/>
            <w:vAlign w:val="bottom"/>
            <w:vMerge w:val="continue"/>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417"/>
        </w:trPr>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8260" w:type="dxa"/>
            <w:vAlign w:val="bottom"/>
            <w:gridSpan w:val="3"/>
          </w:tcPr>
          <w:p>
            <w:pPr>
              <w:ind w:left="80"/>
              <w:spacing w:after="0"/>
              <w:rPr>
                <w:sz w:val="20"/>
                <w:szCs w:val="20"/>
                <w:color w:val="auto"/>
              </w:rPr>
            </w:pPr>
            <w:r>
              <w:rPr>
                <w:rFonts w:ascii="Arial" w:cs="Arial" w:eastAsia="Arial" w:hAnsi="Arial"/>
                <w:sz w:val="18"/>
                <w:szCs w:val="18"/>
                <w:color w:val="auto"/>
                <w:w w:val="89"/>
              </w:rPr>
              <w:t>—  Amended and Restated Limited Partnership Agreement of Plains GP Holdings, L.P. (incorporated by reference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to Exhibit 3.1 to the Current Report on Form 8-K filed October 25, 2013).</w:t>
            </w:r>
          </w:p>
        </w:tc>
        <w:tc>
          <w:tcPr>
            <w:tcW w:w="0" w:type="dxa"/>
            <w:vAlign w:val="bottom"/>
          </w:tcPr>
          <w:p>
            <w:pPr>
              <w:spacing w:after="0"/>
              <w:rPr>
                <w:sz w:val="1"/>
                <w:szCs w:val="1"/>
                <w:color w:val="auto"/>
              </w:rPr>
            </w:pPr>
          </w:p>
        </w:tc>
      </w:tr>
      <w:tr>
        <w:trPr>
          <w:trHeight w:val="426"/>
        </w:trPr>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8260" w:type="dxa"/>
            <w:vAlign w:val="bottom"/>
            <w:gridSpan w:val="3"/>
          </w:tcPr>
          <w:p>
            <w:pPr>
              <w:ind w:left="80"/>
              <w:spacing w:after="0"/>
              <w:rPr>
                <w:sz w:val="20"/>
                <w:szCs w:val="20"/>
                <w:color w:val="auto"/>
              </w:rPr>
            </w:pPr>
            <w:r>
              <w:rPr>
                <w:rFonts w:ascii="Arial" w:cs="Arial" w:eastAsia="Arial" w:hAnsi="Arial"/>
                <w:sz w:val="18"/>
                <w:szCs w:val="18"/>
                <w:color w:val="auto"/>
                <w:w w:val="94"/>
              </w:rPr>
              <w:t>—  Amended and Restated Limited Liability Company Agreement of PAA GP Holdings LLC (incorporated by</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reference to Exhibit 3.2 to the Current Report on Form 8-K filed October 25, 2013).</w:t>
            </w:r>
          </w:p>
        </w:tc>
        <w:tc>
          <w:tcPr>
            <w:tcW w:w="0" w:type="dxa"/>
            <w:vAlign w:val="bottom"/>
          </w:tcPr>
          <w:p>
            <w:pPr>
              <w:spacing w:after="0"/>
              <w:rPr>
                <w:sz w:val="1"/>
                <w:szCs w:val="1"/>
                <w:color w:val="auto"/>
              </w:rPr>
            </w:pPr>
          </w:p>
        </w:tc>
      </w:tr>
      <w:tr>
        <w:trPr>
          <w:trHeight w:val="426"/>
        </w:trPr>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  Amendment No. 1 to Amended and Restated Limited Liability Company Agreement of PAA GP</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w w:val="89"/>
              </w:rPr>
              <w:t>Holdings LLC, dated as of December 31, 2013 (incorporated by reference to Exhibit 3.2 to the Current Report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on Form 8-K filed December 31, 2013).</w:t>
            </w:r>
          </w:p>
        </w:tc>
        <w:tc>
          <w:tcPr>
            <w:tcW w:w="0" w:type="dxa"/>
            <w:vAlign w:val="bottom"/>
          </w:tcPr>
          <w:p>
            <w:pPr>
              <w:spacing w:after="0"/>
              <w:rPr>
                <w:sz w:val="1"/>
                <w:szCs w:val="1"/>
                <w:color w:val="auto"/>
              </w:rPr>
            </w:pPr>
          </w:p>
        </w:tc>
      </w:tr>
      <w:tr>
        <w:trPr>
          <w:trHeight w:val="426"/>
        </w:trPr>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8260" w:type="dxa"/>
            <w:vAlign w:val="bottom"/>
            <w:gridSpan w:val="3"/>
          </w:tcPr>
          <w:p>
            <w:pPr>
              <w:ind w:left="80"/>
              <w:spacing w:after="0"/>
              <w:rPr>
                <w:sz w:val="20"/>
                <w:szCs w:val="20"/>
                <w:color w:val="auto"/>
              </w:rPr>
            </w:pPr>
            <w:r>
              <w:rPr>
                <w:rFonts w:ascii="Arial" w:cs="Arial" w:eastAsia="Arial" w:hAnsi="Arial"/>
                <w:sz w:val="18"/>
                <w:szCs w:val="18"/>
                <w:color w:val="auto"/>
                <w:w w:val="89"/>
              </w:rPr>
              <w:t>—  Specimen certificate representing Class A shares (incorporated by reference to Exhibit 4.20 to the Registration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Statement on Form S-1/A filed September 26, 2013).</w:t>
            </w:r>
          </w:p>
        </w:tc>
        <w:tc>
          <w:tcPr>
            <w:tcW w:w="0" w:type="dxa"/>
            <w:vAlign w:val="bottom"/>
          </w:tcPr>
          <w:p>
            <w:pPr>
              <w:spacing w:after="0"/>
              <w:rPr>
                <w:sz w:val="1"/>
                <w:szCs w:val="1"/>
                <w:color w:val="auto"/>
              </w:rPr>
            </w:pPr>
          </w:p>
        </w:tc>
      </w:tr>
      <w:tr>
        <w:trPr>
          <w:trHeight w:val="426"/>
        </w:trPr>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  Shareholder and Registration Rights Agreement dated October 21, 2013, by and among Plains GP</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w w:val="90"/>
              </w:rPr>
              <w:t>Holdings, L.P. and the other parties signatory thereto (incorporated by reference to Exhibit 4.1 to the Current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Report on Form 8-K filed October 25, 2013).</w:t>
            </w:r>
          </w:p>
        </w:tc>
        <w:tc>
          <w:tcPr>
            <w:tcW w:w="0" w:type="dxa"/>
            <w:vAlign w:val="bottom"/>
          </w:tcPr>
          <w:p>
            <w:pPr>
              <w:spacing w:after="0"/>
              <w:rPr>
                <w:sz w:val="1"/>
                <w:szCs w:val="1"/>
                <w:color w:val="auto"/>
              </w:rPr>
            </w:pPr>
          </w:p>
        </w:tc>
      </w:tr>
      <w:tr>
        <w:trPr>
          <w:trHeight w:val="432"/>
        </w:trPr>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  Opinion of Vinson &amp; Elkins L.L.P. as to the legality of the securities being registered.</w:t>
            </w:r>
          </w:p>
        </w:tc>
        <w:tc>
          <w:tcPr>
            <w:tcW w:w="0" w:type="dxa"/>
            <w:vAlign w:val="bottom"/>
          </w:tcPr>
          <w:p>
            <w:pPr>
              <w:spacing w:after="0"/>
              <w:rPr>
                <w:sz w:val="1"/>
                <w:szCs w:val="1"/>
                <w:color w:val="auto"/>
              </w:rPr>
            </w:pPr>
          </w:p>
        </w:tc>
      </w:tr>
      <w:tr>
        <w:trPr>
          <w:trHeight w:val="432"/>
        </w:trPr>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  Opinion of Vinson &amp; Elkins L.L.P. relating to tax matters.</w:t>
            </w:r>
          </w:p>
        </w:tc>
        <w:tc>
          <w:tcPr>
            <w:tcW w:w="0" w:type="dxa"/>
            <w:vAlign w:val="bottom"/>
          </w:tcPr>
          <w:p>
            <w:pPr>
              <w:spacing w:after="0"/>
              <w:rPr>
                <w:sz w:val="1"/>
                <w:szCs w:val="1"/>
                <w:color w:val="auto"/>
              </w:rPr>
            </w:pPr>
          </w:p>
        </w:tc>
      </w:tr>
      <w:tr>
        <w:trPr>
          <w:trHeight w:val="432"/>
        </w:trPr>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  Consent of PricewaterhouseCoopers LLP.</w:t>
            </w:r>
          </w:p>
        </w:tc>
        <w:tc>
          <w:tcPr>
            <w:tcW w:w="0" w:type="dxa"/>
            <w:vAlign w:val="bottom"/>
          </w:tcPr>
          <w:p>
            <w:pPr>
              <w:spacing w:after="0"/>
              <w:rPr>
                <w:sz w:val="1"/>
                <w:szCs w:val="1"/>
                <w:color w:val="auto"/>
              </w:rPr>
            </w:pPr>
          </w:p>
        </w:tc>
      </w:tr>
      <w:tr>
        <w:trPr>
          <w:trHeight w:val="432"/>
        </w:trPr>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  Consent of Vinson &amp; Elkins L.L.P. (contained in Exhibits 5.1 and 8.1).</w:t>
            </w:r>
          </w:p>
        </w:tc>
        <w:tc>
          <w:tcPr>
            <w:tcW w:w="0" w:type="dxa"/>
            <w:vAlign w:val="bottom"/>
          </w:tcPr>
          <w:p>
            <w:pPr>
              <w:spacing w:after="0"/>
              <w:rPr>
                <w:sz w:val="1"/>
                <w:szCs w:val="1"/>
                <w:color w:val="auto"/>
              </w:rPr>
            </w:pPr>
          </w:p>
        </w:tc>
      </w:tr>
      <w:tr>
        <w:trPr>
          <w:trHeight w:val="432"/>
        </w:trPr>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  Power of Attorney (included on signature pages of this registration statement).</w:t>
            </w:r>
          </w:p>
        </w:tc>
        <w:tc>
          <w:tcPr>
            <w:tcW w:w="0" w:type="dxa"/>
            <w:vAlign w:val="bottom"/>
          </w:tcPr>
          <w:p>
            <w:pPr>
              <w:spacing w:after="0"/>
              <w:rPr>
                <w:sz w:val="1"/>
                <w:szCs w:val="1"/>
                <w:color w:val="auto"/>
              </w:rPr>
            </w:pPr>
          </w:p>
        </w:tc>
      </w:tr>
      <w:tr>
        <w:trPr>
          <w:trHeight w:val="110"/>
        </w:trPr>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center"/>
        <w:ind w:left="5580" w:right="240" w:hanging="4431"/>
        <w:spacing w:after="0" w:line="519" w:lineRule="auto"/>
        <w:tabs>
          <w:tab w:leader="none" w:pos="168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or a post-effective amendment to this registration statement. 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spacing w:after="0"/>
        <w:rPr>
          <w:rFonts w:ascii="Arial" w:cs="Arial" w:eastAsia="Arial" w:hAnsi="Arial"/>
          <w:sz w:val="22"/>
          <w:szCs w:val="22"/>
          <w:color w:val="0000EE"/>
        </w:rPr>
      </w:pPr>
      <w:hyperlink w:anchor="page5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758315" cy="231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583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Tel </w:t>
      </w:r>
      <w:r>
        <w:rPr>
          <w:rFonts w:ascii="Arial" w:cs="Arial" w:eastAsia="Arial" w:hAnsi="Arial"/>
          <w:sz w:val="14"/>
          <w:szCs w:val="14"/>
          <w:color w:val="auto"/>
        </w:rPr>
        <w:t>713.758.2222</w:t>
      </w:r>
      <w:r>
        <w:rPr>
          <w:rFonts w:ascii="Arial" w:cs="Arial" w:eastAsia="Arial" w:hAnsi="Arial"/>
          <w:sz w:val="14"/>
          <w:szCs w:val="14"/>
          <w:b w:val="1"/>
          <w:bCs w:val="1"/>
          <w:color w:val="auto"/>
        </w:rPr>
        <w:t xml:space="preserve"> Fax </w:t>
      </w:r>
      <w:r>
        <w:rPr>
          <w:rFonts w:ascii="Arial" w:cs="Arial" w:eastAsia="Arial" w:hAnsi="Arial"/>
          <w:sz w:val="14"/>
          <w:szCs w:val="14"/>
          <w:color w:val="auto"/>
        </w:rPr>
        <w:t>713.758.2346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March 10,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acted as counsel to Plains GP Holdings, L.P., a Delaware limited partnership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in connection with the preparation and filing of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on or about the date hereof with the Securities and Exchange Commission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connection with the registration by the Partnership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the offer and sale,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from time to time, pursuant to Rule 415 under the Securities Act, by the selling shareholders named in the Registration Statement, of Class A shares representing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limited partner interests in the Partnership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also participated in the preparation of the Prospectus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contained in the Registration Statement to which this opinion is an exhibit.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herein shall have the meanings ascribed to them in the Prospectus.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the basis for the opinion hereinafter expressed, we examined such statutes, including the Delaware Revised Uniform Limited Partnership Act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Delaware LP Act</w:t>
      </w:r>
      <w:r>
        <w:rPr>
          <w:rFonts w:ascii="Arial" w:cs="Arial" w:eastAsia="Arial" w:hAnsi="Arial"/>
          <w:sz w:val="15"/>
          <w:szCs w:val="15"/>
          <w:color w:val="auto"/>
        </w:rPr>
        <w:t>"), and the Partnership's records and documents, certificates of the Partnership and public officials, and other instruments and documents as we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deemed necessary or advisable for the purposes of this opinion. In such examination, we have assumed (i) the authenticity of all documents submitted to us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originals and the conformity with the original documents of all documents submitted to us as copies; (ii) that all signatures on each such document examined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us are genuine; (iii) that the Registration Statement, and any amendments thereto (including post-effective amendments), will have become effective; and (iv) that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all Shares will be issued and sold in compliance with applicable federal and state securities laws and in the manner stated in the Registration Statement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appropriate Prospectus Supplement.</w:t>
      </w:r>
    </w:p>
    <w:p>
      <w:pPr>
        <w:spacing w:after="0" w:line="219"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Based upon and subject to the foregoing, we are of the opinion that the Shares, when issued and delivered against payment therefor as described in the Registration Statement, will be duly authorized, validly issued, fully paid and non-assessable.</w:t>
      </w:r>
    </w:p>
    <w:p>
      <w:pPr>
        <w:spacing w:after="0" w:line="186"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623570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93980</wp:posOffset>
            </wp:positionV>
            <wp:extent cx="5737225" cy="394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37225" cy="39433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50" w:name="page51"/>
    <w:bookmarkEnd w:id="50"/>
    <w:p>
      <w:pPr>
        <w:ind w:firstLine="348"/>
        <w:spacing w:after="0" w:line="332" w:lineRule="auto"/>
        <w:rPr>
          <w:sz w:val="20"/>
          <w:szCs w:val="20"/>
          <w:color w:val="auto"/>
        </w:rPr>
      </w:pPr>
      <w:r>
        <w:rPr>
          <w:rFonts w:ascii="Arial" w:cs="Arial" w:eastAsia="Arial" w:hAnsi="Arial"/>
          <w:sz w:val="16"/>
          <w:szCs w:val="16"/>
          <w:color w:val="auto"/>
        </w:rPr>
        <w:t>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w:t>
      </w:r>
    </w:p>
    <w:p>
      <w:pPr>
        <w:spacing w:after="0" w:line="139" w:lineRule="exact"/>
        <w:rPr>
          <w:sz w:val="20"/>
          <w:szCs w:val="20"/>
          <w:color w:val="auto"/>
        </w:rPr>
      </w:pPr>
    </w:p>
    <w:p>
      <w:pPr>
        <w:jc w:val="both"/>
        <w:ind w:right="320" w:firstLine="348"/>
        <w:spacing w:after="0" w:line="259"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9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Vinson &amp; Elkins L.L.P.</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8.1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March 10,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Plains GP Holdings,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acted as counsel for Plains GP Holdings, L.P. ("</w:t>
      </w:r>
      <w:r>
        <w:rPr>
          <w:rFonts w:ascii="Arial" w:cs="Arial" w:eastAsia="Arial" w:hAnsi="Arial"/>
          <w:sz w:val="16"/>
          <w:szCs w:val="16"/>
          <w:b w:val="1"/>
          <w:bCs w:val="1"/>
          <w:i w:val="1"/>
          <w:iCs w:val="1"/>
          <w:color w:val="auto"/>
        </w:rPr>
        <w:t>PAGP</w:t>
      </w:r>
      <w:r>
        <w:rPr>
          <w:rFonts w:ascii="Arial" w:cs="Arial" w:eastAsia="Arial" w:hAnsi="Arial"/>
          <w:sz w:val="16"/>
          <w:szCs w:val="16"/>
          <w:color w:val="auto"/>
        </w:rPr>
        <w:t>"), a Delaware limited partnership that has elected to be treated as a corporation for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purposes, with respect to certain legal matters in connection with the preparation of a Prospectus dated on or about the date hereof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forming part of the Registration Statement on Form S-3 dated on or about the date hereof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This opinion is based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various facts and assumptions, including factual representations of PAGP concerning its business, properties and governing documents as set forth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w:t>
      </w:r>
    </w:p>
    <w:p>
      <w:pPr>
        <w:spacing w:after="0" w:line="219"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In addition, in rendering this opinion we have assumed the truth and accuracy of all representations and statements made to us which are qualified as to knowledge or belief, without regard to such qualification.</w:t>
      </w:r>
    </w:p>
    <w:p>
      <w:pPr>
        <w:spacing w:after="0" w:line="172"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hereby confirm that all statements of legal conclusions contained in the discussion in the Prospectus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may affect the conclusions stated herein.</w:t>
      </w:r>
    </w:p>
    <w:p>
      <w:pPr>
        <w:spacing w:after="0" w:line="17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No opinion is expressed as to any matter not discussed in the Prospectus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is for your use in connection with the transactions set forth in the Registration Statement. This opinion may not be relied upon by you for any other purpose without our prior written consent. However, this opinion may be relied upon by you and by persons entitled to rely on it pursuant to applicable provisions of federal securities law, including persons purchasing common units pursuant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ind w:firstLine="348"/>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under the caption "Material U.S. Federal Income Tax Consequences" in the Registration Statement. By giving this consent, we do not admit that we are within the category of persons whose consent is required under Section 7 of the Securities Act of 1933, as amended.</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VINSON &amp; ELKINS L.L.P.</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131" w:right="67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spacing w:after="0"/>
        <w:rPr>
          <w:rFonts w:ascii="Arial" w:cs="Arial" w:eastAsia="Arial" w:hAnsi="Arial"/>
          <w:sz w:val="22"/>
          <w:szCs w:val="22"/>
          <w:color w:val="0000EE"/>
        </w:rPr>
      </w:pPr>
      <w:hyperlink w:anchor="page5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February 25, 2016 relating to the financial statements, and the effectiveness of internal control over financial reporting, which appears in Plains GP Holdings, L.P.'s Annual Report on Form 10-K for the year ended December 31, 2015. We also consent to the reference to us under the heading "Experts" in such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5"/>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lowerRoman"/>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
      <w:numFmt w:val="bullet"/>
      <w:start w:val="1"/>
    </w:lvl>
    <w:lvl w:ilvl="1">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
    <w:nsid w:val="51EAD36B"/>
    <w:multiLevelType w:val="hybridMultilevel"/>
    <w:lvl w:ilvl="0">
      <w:lvlJc w:val="left"/>
      <w:lvlText w:val="(%1)"/>
      <w:numFmt w:val="lowerLetter"/>
      <w:start w:val="2"/>
    </w:lvl>
    <w:lvl w:ilvl="1">
      <w:lvlJc w:val="left"/>
      <w:lvlText w:val="(%2)"/>
      <w:numFmt w:val="lowerRoman"/>
      <w:start w:val="1"/>
    </w:lvl>
  </w:abstractNum>
  <w:abstractNum w:abstractNumId="38">
    <w:nsid w:val="2D517796"/>
    <w:multiLevelType w:val="hybridMultilevel"/>
    <w:lvl w:ilvl="0">
      <w:lvlJc w:val="left"/>
      <w:lvlText w:val="(%1)"/>
      <w:numFmt w:val="decimal"/>
      <w:start w:val="2"/>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2020-01-19T20:26:46Z</dcterms:created>
  <dcterms:modified xsi:type="dcterms:W3CDTF">2020-01-19T20:26:46Z</dcterms:modified>
</cp:coreProperties>
</file>