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64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2520" w:type="dxa"/>
            <w:vAlign w:val="bottom"/>
          </w:tcPr>
          <w:p>
            <w:pPr>
              <w:jc w:val="center"/>
              <w:ind w:right="282"/>
              <w:spacing w:after="0"/>
              <w:rPr>
                <w:sz w:val="20"/>
                <w:szCs w:val="20"/>
                <w:color w:val="auto"/>
              </w:rPr>
            </w:pPr>
            <w:r>
              <w:rPr>
                <w:rFonts w:ascii="Arial" w:cs="Arial" w:eastAsia="Arial" w:hAnsi="Arial"/>
                <w:sz w:val="18"/>
                <w:szCs w:val="18"/>
                <w:b w:val="1"/>
                <w:bCs w:val="1"/>
                <w:color w:val="auto"/>
                <w:w w:val="90"/>
              </w:rPr>
              <w:t>1-14569</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1"/>
              </w:rPr>
              <w:t>76-0582150</w:t>
            </w:r>
          </w:p>
        </w:tc>
      </w:tr>
      <w:tr>
        <w:trPr>
          <w:trHeight w:val="149"/>
        </w:trPr>
        <w:tc>
          <w:tcPr>
            <w:tcW w:w="364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jc w:val="center"/>
              <w:ind w:right="282"/>
              <w:spacing w:after="0"/>
              <w:rPr>
                <w:sz w:val="20"/>
                <w:szCs w:val="20"/>
                <w:color w:val="auto"/>
              </w:rPr>
            </w:pPr>
            <w:r>
              <w:rPr>
                <w:rFonts w:ascii="Arial" w:cs="Arial" w:eastAsia="Arial" w:hAnsi="Arial"/>
                <w:sz w:val="14"/>
                <w:szCs w:val="14"/>
                <w:b w:val="1"/>
                <w:bCs w:val="1"/>
                <w:color w:val="auto"/>
                <w:w w:val="98"/>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333 Clay Street, Suite 1600</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Houston, Texas</w:t>
            </w:r>
          </w:p>
        </w:tc>
        <w:tc>
          <w:tcPr>
            <w:tcW w:w="252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Arial" w:cs="Arial" w:eastAsia="Arial" w:hAnsi="Arial"/>
                <w:sz w:val="18"/>
                <w:szCs w:val="18"/>
                <w:b w:val="1"/>
                <w:bCs w:val="1"/>
                <w:color w:val="auto"/>
              </w:rPr>
              <w:t>77002</w:t>
            </w:r>
          </w:p>
        </w:tc>
      </w:tr>
      <w:tr>
        <w:trPr>
          <w:trHeight w:val="186"/>
        </w:trPr>
        <w:tc>
          <w:tcPr>
            <w:tcW w:w="3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646-4100</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September 2, 2014, Plains All American Pipeline, L.P. (the “Partnership”) and PAA Finance Corp. (“PAA Finance,” and together with the Partnership, the “Issuers”) entered into an underwriting agreement (the “Underwriting Agreement”) with J.P. Morgan Securities LLC, Barclays Capital Inc., BNP Paribas Securities Corp. and Merrill Lynch, Pierce, Fenner &amp; Smith Incorporated, as representatives of the several underwriters named therein (collectively, the “Underwriters”), relating to the issuance and sale to the Underwriters of $750 million aggregate principal amount of 3.60% Senior Notes due 2024 (the “Notes”), subject to the terms and conditions therein.</w:t>
      </w:r>
    </w:p>
    <w:p>
      <w:pPr>
        <w:spacing w:after="0" w:line="188" w:lineRule="exact"/>
        <w:rPr>
          <w:sz w:val="20"/>
          <w:szCs w:val="20"/>
          <w:color w:val="auto"/>
        </w:rPr>
      </w:pPr>
    </w:p>
    <w:p>
      <w:pPr>
        <w:ind w:right="740" w:firstLine="456"/>
        <w:spacing w:after="0" w:line="286" w:lineRule="auto"/>
        <w:rPr>
          <w:sz w:val="20"/>
          <w:szCs w:val="20"/>
          <w:color w:val="auto"/>
        </w:rPr>
      </w:pPr>
      <w:r>
        <w:rPr>
          <w:rFonts w:ascii="Arial" w:cs="Arial" w:eastAsia="Arial" w:hAnsi="Arial"/>
          <w:sz w:val="17"/>
          <w:szCs w:val="17"/>
          <w:color w:val="auto"/>
        </w:rPr>
        <w:t>The Notes are being offered and sold under the Issuers’ shelf registration statement on Form S-3 (Registration No. 333-184137) filed with the Securities and Exchange Commission on September 27, 2012 (the “Registration Statement”), and are described in a Prospectus Supplement dated September 2, 2014 to the Prospectus dated September 27, 2012, which is included in the Registration Statement.</w:t>
      </w:r>
    </w:p>
    <w:p>
      <w:pPr>
        <w:spacing w:after="0" w:line="166"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Notes will be issued pursuant to a supplemental indenture to be dated September 9, 2014 by and among the Issuers and U.S. Bank National Association (successor to Wachovia Bank, National Association), as trustee (the “Trustee”). The supplemental indenture will be entered into in accordance with the provisions of the Indenture dated September 25, 2002 by and among the Issuers and the Trustee.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closing of the offering of the Notes is expected to occur on September 9, 2014, subject to customary closing conditions.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is filed as Exhibit 1.1 to this Current Report on Form 8-K and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10340" w:type="dxa"/>
            <w:vAlign w:val="bottom"/>
            <w:vMerge w:val="restart"/>
          </w:tcPr>
          <w:p>
            <w:pPr>
              <w:ind w:left="4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10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jc w:val="right"/>
              <w:ind w:right="117"/>
              <w:spacing w:after="0" w:line="189" w:lineRule="exact"/>
              <w:rPr>
                <w:sz w:val="20"/>
                <w:szCs w:val="20"/>
                <w:color w:val="auto"/>
              </w:rPr>
            </w:pPr>
            <w:r>
              <w:rPr>
                <w:rFonts w:ascii="Arial" w:cs="Arial" w:eastAsia="Arial" w:hAnsi="Arial"/>
                <w:sz w:val="18"/>
                <w:szCs w:val="18"/>
                <w:color w:val="auto"/>
              </w:rPr>
              <w:t>1.1</w:t>
            </w:r>
          </w:p>
        </w:tc>
        <w:tc>
          <w:tcPr>
            <w:tcW w:w="560" w:type="dxa"/>
            <w:vAlign w:val="bottom"/>
          </w:tcPr>
          <w:p>
            <w:pPr>
              <w:spacing w:after="0"/>
              <w:rPr>
                <w:sz w:val="16"/>
                <w:szCs w:val="16"/>
                <w:color w:val="auto"/>
              </w:rPr>
            </w:pPr>
          </w:p>
        </w:tc>
        <w:tc>
          <w:tcPr>
            <w:tcW w:w="10340" w:type="dxa"/>
            <w:vAlign w:val="bottom"/>
          </w:tcPr>
          <w:p>
            <w:pPr>
              <w:spacing w:after="0" w:line="189" w:lineRule="exact"/>
              <w:rPr>
                <w:sz w:val="20"/>
                <w:szCs w:val="20"/>
                <w:color w:val="auto"/>
              </w:rPr>
            </w:pPr>
            <w:r>
              <w:rPr>
                <w:rFonts w:ascii="Arial" w:cs="Arial" w:eastAsia="Arial" w:hAnsi="Arial"/>
                <w:sz w:val="18"/>
                <w:szCs w:val="18"/>
                <w:color w:val="auto"/>
                <w:w w:val="93"/>
              </w:rPr>
              <w:t>Underwriting Agreement, dated September 2, 2014, by and among Plains All American Pipeline, L.P., PAA Finance Corp., and J.P. Morgan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Securities LLC, Barclays Capital Inc., BNP Paribas Securities Corp. and Merrill Lynch, Pierce, Fenner &amp; Smith Incorporated, as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representatives of the several underwriters named therein.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Vinson &amp; Elkins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Vinson &amp; Elkins L.L.P. (included in Exhibit 5.1).</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900" w:type="dxa"/>
            <w:vAlign w:val="bottom"/>
            <w:gridSpan w:val="2"/>
          </w:tcPr>
          <w:p>
            <w:pPr>
              <w:jc w:val="right"/>
              <w:ind w:right="55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PLAINS ALL AMERICAN GP LLC,</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McGee</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2014</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240" w:top="270"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jc w:val="center"/>
              <w:ind w:right="973"/>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4"/>
                <w:szCs w:val="24"/>
                <w:color w:val="auto"/>
              </w:rPr>
            </w:pPr>
          </w:p>
        </w:tc>
        <w:tc>
          <w:tcPr>
            <w:tcW w:w="10340" w:type="dxa"/>
            <w:vAlign w:val="bottom"/>
            <w:vMerge w:val="restart"/>
          </w:tcPr>
          <w:p>
            <w:pPr>
              <w:ind w:left="4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10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jc w:val="right"/>
              <w:ind w:right="117"/>
              <w:spacing w:after="0" w:line="189" w:lineRule="exact"/>
              <w:rPr>
                <w:sz w:val="20"/>
                <w:szCs w:val="20"/>
                <w:color w:val="auto"/>
              </w:rPr>
            </w:pPr>
            <w:r>
              <w:rPr>
                <w:rFonts w:ascii="Arial" w:cs="Arial" w:eastAsia="Arial" w:hAnsi="Arial"/>
                <w:sz w:val="18"/>
                <w:szCs w:val="18"/>
                <w:color w:val="auto"/>
              </w:rPr>
              <w:t>1.1</w:t>
            </w:r>
          </w:p>
        </w:tc>
        <w:tc>
          <w:tcPr>
            <w:tcW w:w="560" w:type="dxa"/>
            <w:vAlign w:val="bottom"/>
          </w:tcPr>
          <w:p>
            <w:pPr>
              <w:spacing w:after="0"/>
              <w:rPr>
                <w:sz w:val="16"/>
                <w:szCs w:val="16"/>
                <w:color w:val="auto"/>
              </w:rPr>
            </w:pPr>
          </w:p>
        </w:tc>
        <w:tc>
          <w:tcPr>
            <w:tcW w:w="10340" w:type="dxa"/>
            <w:vAlign w:val="bottom"/>
          </w:tcPr>
          <w:p>
            <w:pPr>
              <w:spacing w:after="0" w:line="189" w:lineRule="exact"/>
              <w:rPr>
                <w:sz w:val="20"/>
                <w:szCs w:val="20"/>
                <w:color w:val="auto"/>
              </w:rPr>
            </w:pPr>
            <w:r>
              <w:rPr>
                <w:rFonts w:ascii="Arial" w:cs="Arial" w:eastAsia="Arial" w:hAnsi="Arial"/>
                <w:sz w:val="18"/>
                <w:szCs w:val="18"/>
                <w:color w:val="auto"/>
                <w:w w:val="93"/>
              </w:rPr>
              <w:t>Underwriting Agreement, dated September 2, 2014, by and among Plains All American Pipeline, L.P., PAA Finance Corp., and J.P. Morgan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Securities LLC, Barclays Capital Inc., BNP Paribas Securities Corp. and Merrill Lynch, Pierce, Fenner &amp; Smith Incorporated, as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representatives of the several underwriters named therein.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Vinson &amp; Elkins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Vinson &amp; Elkins L.L.P. (included in Exhibit 5.1).</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900" w:type="dxa"/>
            <w:vAlign w:val="bottom"/>
            <w:gridSpan w:val="2"/>
          </w:tcPr>
          <w:p>
            <w:pPr>
              <w:jc w:val="right"/>
              <w:ind w:right="557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FINANCE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$750,000,000 3.60% Senior Notes due 2024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Plains All American Pipeline, L.P., a Delaware limited partnership (the “</w:t>
      </w:r>
      <w:r>
        <w:rPr>
          <w:rFonts w:ascii="Arial" w:cs="Arial" w:eastAsia="Arial" w:hAnsi="Arial"/>
          <w:sz w:val="16"/>
          <w:szCs w:val="16"/>
          <w:b w:val="1"/>
          <w:bCs w:val="1"/>
          <w:color w:val="auto"/>
        </w:rPr>
        <w:t>Partnership</w:t>
      </w:r>
      <w:r>
        <w:rPr>
          <w:rFonts w:ascii="Arial" w:cs="Arial" w:eastAsia="Arial" w:hAnsi="Arial"/>
          <w:sz w:val="16"/>
          <w:szCs w:val="16"/>
          <w:color w:val="auto"/>
        </w:rPr>
        <w:t>”), and PAA Finance Corp., a Delaware corporation (“</w:t>
      </w:r>
      <w:r>
        <w:rPr>
          <w:rFonts w:ascii="Arial" w:cs="Arial" w:eastAsia="Arial" w:hAnsi="Arial"/>
          <w:sz w:val="16"/>
          <w:szCs w:val="16"/>
          <w:b w:val="1"/>
          <w:bCs w:val="1"/>
          <w:color w:val="auto"/>
        </w:rPr>
        <w:t>PAA</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w:t>
      </w:r>
      <w:r>
        <w:rPr>
          <w:rFonts w:ascii="Arial" w:cs="Arial" w:eastAsia="Arial" w:hAnsi="Arial"/>
          <w:sz w:val="17"/>
          <w:szCs w:val="17"/>
          <w:color w:val="auto"/>
        </w:rPr>
        <w:t>” and, together with the Partnership, the “</w:t>
      </w:r>
      <w:r>
        <w:rPr>
          <w:rFonts w:ascii="Arial" w:cs="Arial" w:eastAsia="Arial" w:hAnsi="Arial"/>
          <w:sz w:val="17"/>
          <w:szCs w:val="17"/>
          <w:b w:val="1"/>
          <w:bCs w:val="1"/>
          <w:color w:val="auto"/>
        </w:rPr>
        <w:t>Issuers</w:t>
      </w:r>
      <w:r>
        <w:rPr>
          <w:rFonts w:ascii="Arial" w:cs="Arial" w:eastAsia="Arial" w:hAnsi="Arial"/>
          <w:sz w:val="17"/>
          <w:szCs w:val="17"/>
          <w:color w:val="auto"/>
        </w:rPr>
        <w:t>”), propose to issue and sell to the several underwriters named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I</w:t>
      </w:r>
      <w:r>
        <w:rPr>
          <w:rFonts w:ascii="Arial" w:cs="Arial" w:eastAsia="Arial" w:hAnsi="Arial"/>
          <w:sz w:val="17"/>
          <w:szCs w:val="17"/>
          <w:b w:val="1"/>
          <w:bCs w:val="1"/>
          <w:color w:val="auto"/>
        </w:rPr>
        <w:t xml:space="preserve"> </w:t>
      </w:r>
      <w:r>
        <w:rPr>
          <w:rFonts w:ascii="Arial" w:cs="Arial" w:eastAsia="Arial" w:hAnsi="Arial"/>
          <w:sz w:val="17"/>
          <w:szCs w:val="17"/>
          <w:color w:val="auto"/>
        </w:rPr>
        <w:t>hereto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Underwriters</w:t>
      </w:r>
      <w:r>
        <w:rPr>
          <w:rFonts w:ascii="Arial" w:cs="Arial" w:eastAsia="Arial" w:hAnsi="Arial"/>
          <w:sz w:val="17"/>
          <w:szCs w:val="17"/>
          <w:color w:val="auto"/>
        </w:rPr>
        <w:t>”), for whom J.P. Morgan Securities LLC, Barclays Capital Inc., BNP Paribas Securities Corp. and Merrill Lynch, Pierce, Fenner &amp; Smith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Incorporated are acting as the representatives (the “</w:t>
      </w:r>
      <w:r>
        <w:rPr>
          <w:rFonts w:ascii="Arial" w:cs="Arial" w:eastAsia="Arial" w:hAnsi="Arial"/>
          <w:sz w:val="16"/>
          <w:szCs w:val="16"/>
          <w:b w:val="1"/>
          <w:bCs w:val="1"/>
          <w:color w:val="auto"/>
        </w:rPr>
        <w:t>Representatives</w:t>
      </w:r>
      <w:r>
        <w:rPr>
          <w:rFonts w:ascii="Arial" w:cs="Arial" w:eastAsia="Arial" w:hAnsi="Arial"/>
          <w:sz w:val="16"/>
          <w:szCs w:val="16"/>
          <w:color w:val="auto"/>
        </w:rPr>
        <w:t>”), $750,000,000 aggregate principal amount of 3.60% Senior Notes due 2024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under an indenture dated as of September 25, 2002 (the “</w:t>
      </w:r>
      <w:r>
        <w:rPr>
          <w:rFonts w:ascii="Arial" w:cs="Arial" w:eastAsia="Arial" w:hAnsi="Arial"/>
          <w:sz w:val="16"/>
          <w:szCs w:val="16"/>
          <w:b w:val="1"/>
          <w:bCs w:val="1"/>
          <w:color w:val="auto"/>
        </w:rPr>
        <w:t>Base Indenture</w:t>
      </w:r>
      <w:r>
        <w:rPr>
          <w:rFonts w:ascii="Arial" w:cs="Arial" w:eastAsia="Arial" w:hAnsi="Arial"/>
          <w:sz w:val="16"/>
          <w:szCs w:val="16"/>
          <w:color w:val="auto"/>
        </w:rPr>
        <w:t>”), among the Issuers and U.S. Bank 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Association, as successor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Twenty-Sixth Supplemental Indenture, to be dated as of September 9, 2014, among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Issuers and the Trustee (the “</w:t>
      </w:r>
      <w:r>
        <w:rPr>
          <w:rFonts w:ascii="Arial" w:cs="Arial" w:eastAsia="Arial" w:hAnsi="Arial"/>
          <w:sz w:val="18"/>
          <w:szCs w:val="18"/>
          <w:b w:val="1"/>
          <w:bCs w:val="1"/>
          <w:color w:val="auto"/>
        </w:rPr>
        <w:t>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color w:val="auto"/>
        </w:rPr>
        <w:t>Indenture</w:t>
      </w:r>
      <w:r>
        <w:rPr>
          <w:rFonts w:ascii="Arial" w:cs="Arial" w:eastAsia="Arial" w:hAnsi="Arial"/>
          <w:sz w:val="18"/>
          <w:szCs w:val="18"/>
          <w:color w:val="auto"/>
        </w:rPr>
        <w:t>”).</w:t>
      </w:r>
    </w:p>
    <w:p>
      <w:pPr>
        <w:spacing w:after="0" w:line="207" w:lineRule="exact"/>
        <w:rPr>
          <w:sz w:val="20"/>
          <w:szCs w:val="20"/>
          <w:color w:val="auto"/>
        </w:rPr>
      </w:pPr>
    </w:p>
    <w:p>
      <w:pPr>
        <w:ind w:right="240" w:firstLine="913"/>
        <w:spacing w:after="0" w:line="314" w:lineRule="auto"/>
        <w:rPr>
          <w:sz w:val="20"/>
          <w:szCs w:val="20"/>
          <w:color w:val="auto"/>
        </w:rPr>
      </w:pPr>
      <w:r>
        <w:rPr>
          <w:rFonts w:ascii="Arial" w:cs="Arial" w:eastAsia="Arial" w:hAnsi="Arial"/>
          <w:sz w:val="16"/>
          <w:szCs w:val="16"/>
          <w:color w:val="auto"/>
        </w:rPr>
        <w:t>PAA GP LLC, a Delaware limited liability company (the “</w:t>
      </w:r>
      <w:r>
        <w:rPr>
          <w:rFonts w:ascii="Arial" w:cs="Arial" w:eastAsia="Arial" w:hAnsi="Arial"/>
          <w:sz w:val="16"/>
          <w:szCs w:val="16"/>
          <w:b w:val="1"/>
          <w:bCs w:val="1"/>
          <w:color w:val="auto"/>
        </w:rPr>
        <w:t>General Partner</w:t>
      </w:r>
      <w:r>
        <w:rPr>
          <w:rFonts w:ascii="Arial" w:cs="Arial" w:eastAsia="Arial" w:hAnsi="Arial"/>
          <w:sz w:val="16"/>
          <w:szCs w:val="16"/>
          <w:color w:val="auto"/>
        </w:rPr>
        <w:t>”), is the general partner of the Partnership. Plains AAP, L.P., a Delaware limited partnership (“</w:t>
      </w:r>
      <w:r>
        <w:rPr>
          <w:rFonts w:ascii="Arial" w:cs="Arial" w:eastAsia="Arial" w:hAnsi="Arial"/>
          <w:sz w:val="16"/>
          <w:szCs w:val="16"/>
          <w:b w:val="1"/>
          <w:bCs w:val="1"/>
          <w:color w:val="auto"/>
        </w:rPr>
        <w:t>Plains AAP</w:t>
      </w:r>
      <w:r>
        <w:rPr>
          <w:rFonts w:ascii="Arial" w:cs="Arial" w:eastAsia="Arial" w:hAnsi="Arial"/>
          <w:sz w:val="16"/>
          <w:szCs w:val="16"/>
          <w:color w:val="auto"/>
        </w:rPr>
        <w:t>”), owns a 100% membership interest in the General Partner. Plains All American GP LLC, a Delaware limited liability company (“</w:t>
      </w:r>
      <w:r>
        <w:rPr>
          <w:rFonts w:ascii="Arial" w:cs="Arial" w:eastAsia="Arial" w:hAnsi="Arial"/>
          <w:sz w:val="16"/>
          <w:szCs w:val="16"/>
          <w:b w:val="1"/>
          <w:bCs w:val="1"/>
          <w:color w:val="auto"/>
        </w:rPr>
        <w:t>GP LLC</w:t>
      </w:r>
      <w:r>
        <w:rPr>
          <w:rFonts w:ascii="Arial" w:cs="Arial" w:eastAsia="Arial" w:hAnsi="Arial"/>
          <w:sz w:val="16"/>
          <w:szCs w:val="16"/>
          <w:color w:val="auto"/>
        </w:rPr>
        <w:t>” and, collectively with the General Partner and Plains AAP, the “</w:t>
      </w:r>
      <w:r>
        <w:rPr>
          <w:rFonts w:ascii="Arial" w:cs="Arial" w:eastAsia="Arial" w:hAnsi="Arial"/>
          <w:sz w:val="16"/>
          <w:szCs w:val="16"/>
          <w:b w:val="1"/>
          <w:bCs w:val="1"/>
          <w:color w:val="auto"/>
        </w:rPr>
        <w:t>GP Entities</w:t>
      </w:r>
      <w:r>
        <w:rPr>
          <w:rFonts w:ascii="Arial" w:cs="Arial" w:eastAsia="Arial" w:hAnsi="Arial"/>
          <w:sz w:val="16"/>
          <w:szCs w:val="16"/>
          <w:color w:val="auto"/>
        </w:rPr>
        <w:t>”), is the general partner of Plains AAP.</w:t>
      </w:r>
    </w:p>
    <w:p>
      <w:pPr>
        <w:spacing w:after="0" w:line="142"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color w:val="auto"/>
        </w:rPr>
        <w:t xml:space="preserve">The subsidiaries of the Partnership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color w:val="auto"/>
        </w:rPr>
        <w:t>Material Subsidiaries</w:t>
      </w:r>
      <w:r>
        <w:rPr>
          <w:rFonts w:ascii="Arial" w:cs="Arial" w:eastAsia="Arial" w:hAnsi="Arial"/>
          <w:sz w:val="18"/>
          <w:szCs w:val="18"/>
          <w:color w:val="auto"/>
        </w:rPr>
        <w:t xml:space="preserve">,” and the Material Subsidiaries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color w:val="auto"/>
        </w:rPr>
        <w:t>Domestic Subsidiaries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to confirm the agreement among the Issuers and the Underwriters concerning the several purchases of the Notes by the Underwriters.</w:t>
      </w:r>
    </w:p>
    <w:p>
      <w:pPr>
        <w:spacing w:after="0" w:line="140" w:lineRule="exact"/>
        <w:rPr>
          <w:sz w:val="20"/>
          <w:szCs w:val="20"/>
          <w:color w:val="auto"/>
        </w:rPr>
      </w:pPr>
    </w:p>
    <w:p>
      <w:pPr>
        <w:ind w:left="180" w:hanging="176"/>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Issuers</w:t>
      </w:r>
      <w:r>
        <w:rPr>
          <w:rFonts w:ascii="Arial" w:cs="Arial" w:eastAsia="Arial" w:hAnsi="Arial"/>
          <w:sz w:val="18"/>
          <w:szCs w:val="18"/>
          <w:color w:val="auto"/>
        </w:rPr>
        <w:t>. The Issuers, jointly and severally, represent and warrant to the Underwriters that:</w:t>
      </w:r>
    </w:p>
    <w:p>
      <w:pPr>
        <w:spacing w:after="0" w:line="117" w:lineRule="exact"/>
        <w:rPr>
          <w:rFonts w:ascii="Arial" w:cs="Arial" w:eastAsia="Arial" w:hAnsi="Arial"/>
          <w:sz w:val="18"/>
          <w:szCs w:val="18"/>
          <w:color w:val="auto"/>
        </w:rPr>
      </w:pPr>
    </w:p>
    <w:p>
      <w:pPr>
        <w:ind w:right="140" w:firstLine="443"/>
        <w:spacing w:after="0" w:line="257" w:lineRule="auto"/>
        <w:tabs>
          <w:tab w:leader="none" w:pos="683"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w:t>
      </w:r>
      <w:r>
        <w:rPr>
          <w:rFonts w:ascii="Arial" w:cs="Arial" w:eastAsia="Arial" w:hAnsi="Arial"/>
          <w:sz w:val="18"/>
          <w:szCs w:val="18"/>
          <w:color w:val="auto"/>
        </w:rPr>
        <w:t>A registration statement on Form S-3 relating to the Notes (File No. 333-184137) (i) has been prepared by the Issuers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conformity with the requirements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rules and regulations (the “</w:t>
      </w:r>
      <w:r>
        <w:rPr>
          <w:rFonts w:ascii="Arial" w:cs="Arial" w:eastAsia="Arial" w:hAnsi="Arial"/>
          <w:sz w:val="18"/>
          <w:szCs w:val="18"/>
          <w:b w:val="1"/>
          <w:bCs w:val="1"/>
          <w:color w:val="auto"/>
        </w:rPr>
        <w:t>Rules and</w:t>
      </w:r>
      <w:r>
        <w:rPr>
          <w:rFonts w:ascii="Arial" w:cs="Arial" w:eastAsia="Arial" w:hAnsi="Arial"/>
          <w:sz w:val="18"/>
          <w:szCs w:val="18"/>
          <w:color w:val="auto"/>
        </w:rPr>
        <w:t xml:space="preserve"> </w:t>
      </w:r>
      <w:r>
        <w:rPr>
          <w:rFonts w:ascii="Arial" w:cs="Arial" w:eastAsia="Arial" w:hAnsi="Arial"/>
          <w:sz w:val="18"/>
          <w:szCs w:val="18"/>
          <w:b w:val="1"/>
          <w:bCs w:val="1"/>
          <w:color w:val="auto"/>
        </w:rPr>
        <w:t>Regulations</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thereunder; (ii) has been filed with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and (iii) is effective under the Securities Act. Copies of such registration statement and any amendment thereto have been delivered by the Issuers to the Representatives. As used in this Agreement:</w:t>
      </w:r>
    </w:p>
    <w:p>
      <w:pPr>
        <w:spacing w:after="0" w:line="76" w:lineRule="exact"/>
        <w:rPr>
          <w:rFonts w:ascii="Arial" w:cs="Arial" w:eastAsia="Arial" w:hAnsi="Arial"/>
          <w:sz w:val="18"/>
          <w:szCs w:val="18"/>
          <w:color w:val="auto"/>
        </w:rPr>
      </w:pPr>
    </w:p>
    <w:p>
      <w:pPr>
        <w:ind w:left="460" w:right="300" w:firstLine="421"/>
        <w:spacing w:after="0" w:line="282" w:lineRule="auto"/>
        <w:tabs>
          <w:tab w:leader="none" w:pos="1095"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4:47 p.m., New York City time, on September 2, 2014, which the Underwriters have informed the Issuers and their counsel is a time prior to the first sale of the Notes;</w:t>
      </w:r>
    </w:p>
    <w:p>
      <w:pPr>
        <w:spacing w:after="0" w:line="53" w:lineRule="exact"/>
        <w:rPr>
          <w:rFonts w:ascii="Arial" w:cs="Arial" w:eastAsia="Arial" w:hAnsi="Arial"/>
          <w:sz w:val="18"/>
          <w:szCs w:val="18"/>
          <w:color w:val="auto"/>
        </w:rPr>
      </w:pPr>
    </w:p>
    <w:p>
      <w:pPr>
        <w:ind w:left="1140" w:hanging="259"/>
        <w:spacing w:after="0"/>
        <w:tabs>
          <w:tab w:leader="none" w:pos="1140"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Prospectus</w:t>
      </w:r>
      <w:r>
        <w:rPr>
          <w:rFonts w:ascii="Arial" w:cs="Arial" w:eastAsia="Arial" w:hAnsi="Arial"/>
          <w:sz w:val="18"/>
          <w:szCs w:val="18"/>
          <w:color w:val="auto"/>
        </w:rPr>
        <w:t>” means the base prospectus included in the Registration Statement at the Applicable Time.</w:t>
      </w:r>
    </w:p>
    <w:p>
      <w:pPr>
        <w:spacing w:after="0" w:line="117" w:lineRule="exact"/>
        <w:rPr>
          <w:rFonts w:ascii="Arial" w:cs="Arial" w:eastAsia="Arial" w:hAnsi="Arial"/>
          <w:sz w:val="18"/>
          <w:szCs w:val="18"/>
          <w:color w:val="auto"/>
        </w:rPr>
      </w:pPr>
    </w:p>
    <w:p>
      <w:pPr>
        <w:ind w:left="460" w:firstLine="421"/>
        <w:spacing w:after="0" w:line="282" w:lineRule="auto"/>
        <w:tabs>
          <w:tab w:leader="none" w:pos="1195"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any date as of which any part of such registration statement relating to the Notes became, or is deemed to have become, effective under the Securities Act in accordance with the Rules and Regulations;</w:t>
      </w:r>
    </w:p>
    <w:p>
      <w:pPr>
        <w:spacing w:after="0" w:line="53" w:lineRule="exact"/>
        <w:rPr>
          <w:rFonts w:ascii="Arial" w:cs="Arial" w:eastAsia="Arial" w:hAnsi="Arial"/>
          <w:sz w:val="18"/>
          <w:szCs w:val="18"/>
          <w:color w:val="auto"/>
        </w:rPr>
      </w:pPr>
    </w:p>
    <w:p>
      <w:pPr>
        <w:ind w:left="460" w:right="100" w:firstLine="421"/>
        <w:spacing w:after="0" w:line="266" w:lineRule="auto"/>
        <w:tabs>
          <w:tab w:leader="none" w:pos="1185"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means each “free writing prospectus” (as defined in Rule 405 of the Rules and Regulations) or “issuer free writing prospectus” (as defined in Rule 433 of the Rules and Regulations) prepared by or on behalf of the Issuers or used or referred to by the Issuers in connection with the offering of the Notes;</w:t>
      </w:r>
    </w:p>
    <w:p>
      <w:pPr>
        <w:spacing w:after="0" w:line="68" w:lineRule="exact"/>
        <w:rPr>
          <w:rFonts w:ascii="Arial" w:cs="Arial" w:eastAsia="Arial" w:hAnsi="Arial"/>
          <w:sz w:val="18"/>
          <w:szCs w:val="18"/>
          <w:color w:val="auto"/>
        </w:rPr>
      </w:pPr>
    </w:p>
    <w:p>
      <w:pPr>
        <w:ind w:left="460" w:firstLine="421"/>
        <w:spacing w:after="0" w:line="266" w:lineRule="auto"/>
        <w:tabs>
          <w:tab w:leader="none" w:pos="1135"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relating to the Notes included in such registration statement or filed with the Commission pursuant to Rule 424(b) of the Rules and Regulations, including the Base Prospectus and any preliminary prospectus supplement thereto relating to the Notes;</w:t>
      </w:r>
    </w:p>
    <w:p>
      <w:pPr>
        <w:spacing w:after="0" w:line="68" w:lineRule="exact"/>
        <w:rPr>
          <w:rFonts w:ascii="Arial" w:cs="Arial" w:eastAsia="Arial" w:hAnsi="Arial"/>
          <w:sz w:val="18"/>
          <w:szCs w:val="18"/>
          <w:color w:val="auto"/>
        </w:rPr>
      </w:pPr>
    </w:p>
    <w:p>
      <w:pPr>
        <w:jc w:val="both"/>
        <w:ind w:left="460" w:right="160" w:firstLine="421"/>
        <w:spacing w:after="0" w:line="261" w:lineRule="auto"/>
        <w:tabs>
          <w:tab w:leader="none" w:pos="1185"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Disclosure Package</w:t>
      </w:r>
      <w:r>
        <w:rPr>
          <w:rFonts w:ascii="Arial" w:cs="Arial" w:eastAsia="Arial" w:hAnsi="Arial"/>
          <w:sz w:val="18"/>
          <w:szCs w:val="18"/>
          <w:color w:val="auto"/>
        </w:rPr>
        <w:t xml:space="preserve">” means, as of the Applicable Time, (A) the most recent Preliminary Prospectus, (B) the Issuer Free Writing Prospectus attached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and (C) each other Issuer Free Writing Prospectuses filed or used by the Partnership on or before the Applicable Time identified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other than a road show that is an Issuer Free Writing Prospectus under Rule 433 of the Rules and Regulations;</w:t>
      </w:r>
    </w:p>
    <w:p>
      <w:pPr>
        <w:spacing w:after="0" w:line="71" w:lineRule="exact"/>
        <w:rPr>
          <w:rFonts w:ascii="Arial" w:cs="Arial" w:eastAsia="Arial" w:hAnsi="Arial"/>
          <w:sz w:val="18"/>
          <w:szCs w:val="18"/>
          <w:color w:val="auto"/>
        </w:rPr>
      </w:pPr>
    </w:p>
    <w:p>
      <w:pPr>
        <w:ind w:left="460" w:right="160" w:firstLine="421"/>
        <w:spacing w:after="0" w:line="282" w:lineRule="auto"/>
        <w:tabs>
          <w:tab w:leader="none" w:pos="1235" w:val="left"/>
        </w:tabs>
        <w:numPr>
          <w:ilvl w:val="2"/>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final prospectus relating to the Notes, including the Base Prospectus and any prospectus supplement thereto relating to the Notes, as filed with the Commission pursuant to Rule 424(b) of the Rules and Regulations; and</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74" w:right="239" w:bottom="1440" w:gutter="0" w:footer="0" w:header="0"/>
        </w:sectPr>
      </w:pPr>
    </w:p>
    <w:bookmarkStart w:id="6" w:name="page7"/>
    <w:bookmarkEnd w:id="6"/>
    <w:p>
      <w:pPr>
        <w:ind w:left="920" w:firstLine="421"/>
        <w:spacing w:after="0" w:line="282" w:lineRule="auto"/>
        <w:tabs>
          <w:tab w:leader="none" w:pos="1745"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the registration statement on Form S-3 (File No. 333-184137), as amended as of the Effective Date, including any Preliminary Prospectus or the Prospectus and all exhibits to such registration statement.</w:t>
      </w:r>
    </w:p>
    <w:p>
      <w:pPr>
        <w:spacing w:after="0" w:line="16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date of such Registration Statement, Preliminary Prospectus or Prospectus, as the case may be, or in the case of the Pricing Disclosure Package, as of the Applicable Time. Any reference to the “</w:t>
      </w:r>
      <w:r>
        <w:rPr>
          <w:rFonts w:ascii="Arial" w:cs="Arial" w:eastAsia="Arial" w:hAnsi="Arial"/>
          <w:sz w:val="16"/>
          <w:szCs w:val="16"/>
          <w:b w:val="1"/>
          <w:bCs w:val="1"/>
          <w:color w:val="auto"/>
        </w:rPr>
        <w:t>most recent Preliminary Prospectus</w:t>
      </w:r>
      <w:r>
        <w:rPr>
          <w:rFonts w:ascii="Arial" w:cs="Arial" w:eastAsia="Arial" w:hAnsi="Arial"/>
          <w:sz w:val="16"/>
          <w:szCs w:val="16"/>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periodic report of the Partnership filed with the Commission pursuant to Section 13(a) or 15(d) of the Exchange Act after the Effective Date that is incorporated by reference in the Registration Statement. As used herein, the term “</w:t>
      </w:r>
      <w:r>
        <w:rPr>
          <w:rFonts w:ascii="Arial" w:cs="Arial" w:eastAsia="Arial" w:hAnsi="Arial"/>
          <w:sz w:val="16"/>
          <w:szCs w:val="16"/>
          <w:b w:val="1"/>
          <w:bCs w:val="1"/>
          <w:color w:val="auto"/>
        </w:rPr>
        <w:t>Incorporated Documents</w:t>
      </w:r>
      <w:r>
        <w:rPr>
          <w:rFonts w:ascii="Arial" w:cs="Arial" w:eastAsia="Arial" w:hAnsi="Arial"/>
          <w:sz w:val="16"/>
          <w:szCs w:val="16"/>
          <w:color w:val="auto"/>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Issuers of any objection to the use of the form of the Registration Statement.</w:t>
      </w:r>
    </w:p>
    <w:p>
      <w:pPr>
        <w:spacing w:after="0" w:line="280" w:lineRule="exact"/>
        <w:rPr>
          <w:sz w:val="20"/>
          <w:szCs w:val="20"/>
          <w:color w:val="auto"/>
        </w:rPr>
      </w:pPr>
    </w:p>
    <w:p>
      <w:pPr>
        <w:ind w:right="80" w:firstLine="921"/>
        <w:spacing w:after="0" w:line="271" w:lineRule="auto"/>
        <w:tabs>
          <w:tab w:leader="none" w:pos="1168"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Form of Documents. </w:t>
      </w:r>
      <w:r>
        <w:rPr>
          <w:rFonts w:ascii="Arial" w:cs="Arial" w:eastAsia="Arial" w:hAnsi="Arial"/>
          <w:sz w:val="17"/>
          <w:szCs w:val="17"/>
          <w:color w:val="auto"/>
        </w:rPr>
        <w:t>The Registration Statement conformed in all material respects on the Effective Date and on the Delivery Date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The Registration Statement and the Prospectus conform in all material respects to the requirements applicable to them under the Trust Indenture Act of 1939, as amended (the “</w:t>
      </w:r>
      <w:r>
        <w:rPr>
          <w:rFonts w:ascii="Arial" w:cs="Arial" w:eastAsia="Arial" w:hAnsi="Arial"/>
          <w:sz w:val="17"/>
          <w:szCs w:val="17"/>
          <w:b w:val="1"/>
          <w:bCs w:val="1"/>
          <w:color w:val="auto"/>
        </w:rPr>
        <w:t>Trust Indenture Act</w:t>
      </w:r>
      <w:r>
        <w:rPr>
          <w:rFonts w:ascii="Arial" w:cs="Arial" w:eastAsia="Arial" w:hAnsi="Arial"/>
          <w:sz w:val="17"/>
          <w:szCs w:val="17"/>
          <w:color w:val="auto"/>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7" w:name="page8"/>
    <w:bookmarkEnd w:id="7"/>
    <w:p>
      <w:pPr>
        <w:ind w:right="140" w:firstLine="921"/>
        <w:spacing w:after="0" w:line="257" w:lineRule="auto"/>
        <w:tabs>
          <w:tab w:leader="none" w:pos="115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Misstatements or Omissions in Registration Statement</w:t>
      </w:r>
      <w:r>
        <w:rPr>
          <w:rFonts w:ascii="Arial" w:cs="Arial" w:eastAsia="Arial" w:hAnsi="Arial"/>
          <w:sz w:val="18"/>
          <w:szCs w:val="18"/>
          <w:color w:val="auto"/>
        </w:rPr>
        <w:t>. The Registration Statement did not, as of its most recent Effective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contain an untrue statement of a material fact or omit to state a material fact required to be stated therein or necessary to make the statements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Registration Statement in reliance upon and in conformity with written information furnished to the Issuers through the Representatives by or on behalf of any Underwriter specifically for inclusion therein, which information is specified in Section 12.</w:t>
      </w:r>
    </w:p>
    <w:p>
      <w:pPr>
        <w:spacing w:after="0" w:line="80" w:lineRule="exact"/>
        <w:rPr>
          <w:rFonts w:ascii="Arial" w:cs="Arial" w:eastAsia="Arial" w:hAnsi="Arial"/>
          <w:sz w:val="18"/>
          <w:szCs w:val="18"/>
          <w:color w:val="auto"/>
        </w:rPr>
      </w:pPr>
    </w:p>
    <w:p>
      <w:pPr>
        <w:ind w:right="20" w:firstLine="921"/>
        <w:spacing w:after="0" w:line="257" w:lineRule="auto"/>
        <w:tabs>
          <w:tab w:leader="none" w:pos="116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Prospectus</w:t>
      </w:r>
      <w:r>
        <w:rPr>
          <w:rFonts w:ascii="Arial" w:cs="Arial" w:eastAsia="Arial" w:hAnsi="Arial"/>
          <w:sz w:val="18"/>
          <w:szCs w:val="18"/>
          <w:color w:val="auto"/>
        </w:rPr>
        <w:t>. The Prospectus will not, as of its date and on the Delivery Date, include an untrue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Prospectus in reliance upon and in conformity with written information furnished to the Issuers through the Representatives by or on behalf of any Underwriter specifically for inclusion therein, which information is specified in Section 12.</w:t>
      </w:r>
    </w:p>
    <w:p>
      <w:pPr>
        <w:spacing w:after="0" w:line="80" w:lineRule="exact"/>
        <w:rPr>
          <w:rFonts w:ascii="Arial" w:cs="Arial" w:eastAsia="Arial" w:hAnsi="Arial"/>
          <w:sz w:val="18"/>
          <w:szCs w:val="18"/>
          <w:color w:val="auto"/>
        </w:rPr>
      </w:pPr>
    </w:p>
    <w:p>
      <w:pPr>
        <w:ind w:right="460" w:firstLine="921"/>
        <w:spacing w:after="0" w:line="264" w:lineRule="auto"/>
        <w:tabs>
          <w:tab w:leader="none" w:pos="115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Documents Incorporated by Reference</w:t>
      </w:r>
      <w:r>
        <w:rPr>
          <w:rFonts w:ascii="Arial" w:cs="Arial" w:eastAsia="Arial" w:hAnsi="Arial"/>
          <w:sz w:val="18"/>
          <w:szCs w:val="18"/>
          <w:color w:val="auto"/>
        </w:rPr>
        <w:t>. The Incorporated Documents, when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did not and will not include an untrue statement of a material fact or omit to state a material fact necessary in order to make the statements therein, in the light of the circumstances under which they were made, not misleading.</w:t>
      </w:r>
    </w:p>
    <w:p>
      <w:pPr>
        <w:spacing w:after="0" w:line="73" w:lineRule="exact"/>
        <w:rPr>
          <w:rFonts w:ascii="Arial" w:cs="Arial" w:eastAsia="Arial" w:hAnsi="Arial"/>
          <w:sz w:val="18"/>
          <w:szCs w:val="18"/>
          <w:color w:val="auto"/>
        </w:rPr>
      </w:pPr>
    </w:p>
    <w:p>
      <w:pPr>
        <w:ind w:firstLine="921"/>
        <w:spacing w:after="0" w:line="276" w:lineRule="auto"/>
        <w:tabs>
          <w:tab w:leader="none" w:pos="1138"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Pricing Disclosure Package</w:t>
      </w:r>
      <w:r>
        <w:rPr>
          <w:rFonts w:ascii="Arial" w:cs="Arial" w:eastAsia="Arial" w:hAnsi="Arial"/>
          <w:sz w:val="17"/>
          <w:szCs w:val="17"/>
          <w:color w:val="auto"/>
        </w:rPr>
        <w:t>. The Pricing Disclosure Package did not, as of the Applicable Time,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Pricing Disclosure Package in reliance upon and in conformity with written information furnished to the Issuers through the Representatives by or on behalf of any Underwriter specifically for inclusion therein, which information is specified in Section 12.</w:t>
      </w:r>
    </w:p>
    <w:p>
      <w:pPr>
        <w:spacing w:after="0" w:line="64" w:lineRule="exact"/>
        <w:rPr>
          <w:rFonts w:ascii="Arial" w:cs="Arial" w:eastAsia="Arial" w:hAnsi="Arial"/>
          <w:sz w:val="17"/>
          <w:szCs w:val="17"/>
          <w:color w:val="auto"/>
        </w:rPr>
      </w:pPr>
    </w:p>
    <w:p>
      <w:pPr>
        <w:ind w:right="160" w:firstLine="921"/>
        <w:spacing w:after="0" w:line="255" w:lineRule="auto"/>
        <w:tabs>
          <w:tab w:leader="none" w:pos="116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Issuer Free Writing Prospectus and Pricing Disclosure Package</w:t>
      </w:r>
      <w:r>
        <w:rPr>
          <w:rFonts w:ascii="Arial" w:cs="Arial" w:eastAsia="Arial" w:hAnsi="Arial"/>
          <w:sz w:val="18"/>
          <w:szCs w:val="18"/>
          <w:color w:val="auto"/>
        </w:rPr>
        <w:t>. Each Issuer Free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Prospectus (including,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that no representation or warranty is made as to information contained in or omitted from such Issuer Free Writing Prospectus in reliance upon and in conformity with written information furnished to the Issuers through the Representatives by or on behalf of any Underwriter specifically for inclusion therein, which information is specified in Section 12.</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ind w:left="-20" w:right="40" w:firstLine="921"/>
        <w:spacing w:after="0" w:line="272" w:lineRule="auto"/>
        <w:tabs>
          <w:tab w:leader="none" w:pos="1148"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Free Writing Prospectuses Conform to the Requirements of the Securities Act</w:t>
      </w:r>
      <w:r>
        <w:rPr>
          <w:rFonts w:ascii="Arial" w:cs="Arial" w:eastAsia="Arial" w:hAnsi="Arial"/>
          <w:sz w:val="17"/>
          <w:szCs w:val="17"/>
          <w:color w:val="auto"/>
        </w:rPr>
        <w:t>. Each Issuer Free Writing Prospectus conformed or will</w:t>
      </w:r>
      <w:r>
        <w:rPr>
          <w:rFonts w:ascii="Arial" w:cs="Arial" w:eastAsia="Arial" w:hAnsi="Arial"/>
          <w:sz w:val="17"/>
          <w:szCs w:val="17"/>
          <w:i w:val="1"/>
          <w:iCs w:val="1"/>
          <w:color w:val="auto"/>
        </w:rPr>
        <w:t xml:space="preserve"> </w:t>
      </w:r>
      <w:r>
        <w:rPr>
          <w:rFonts w:ascii="Arial" w:cs="Arial" w:eastAsia="Arial" w:hAnsi="Arial"/>
          <w:sz w:val="17"/>
          <w:szCs w:val="17"/>
          <w:color w:val="auto"/>
        </w:rPr>
        <w:t>conform in all material respects to the requirements of the Securities Act and the Rules and Regulations on the date of first use, and the Issuers have complied with any filing requirements applicable to such Issuer Free Writing Prospectus pursuant to the Rules and Regulations. The Issuers have not made any offer relating to the Notes that would constitute an Issuer Free Writing Prospectus without the prior written consent of the Representatives. The Issuers have retained in accordance with the Rules and Regulations all Issuer Free Writing Prospectuses that were not required to be filed pursuant to the Rules and Regulations. The Issuers have taken all actions necessary so that any road show (as defined in Rule 433 of the Rules and Regulations) in connection with the offering of the Notes will not be required to be filed pursuant to the Rules and Regulations.</w:t>
      </w:r>
    </w:p>
    <w:p>
      <w:pPr>
        <w:spacing w:after="0" w:line="69" w:lineRule="exact"/>
        <w:rPr>
          <w:rFonts w:ascii="Arial" w:cs="Arial" w:eastAsia="Arial" w:hAnsi="Arial"/>
          <w:sz w:val="17"/>
          <w:szCs w:val="17"/>
          <w:color w:val="auto"/>
        </w:rPr>
      </w:pPr>
    </w:p>
    <w:p>
      <w:pPr>
        <w:ind w:left="-20" w:firstLine="921"/>
        <w:spacing w:after="0" w:line="259" w:lineRule="auto"/>
        <w:tabs>
          <w:tab w:leader="none" w:pos="1108"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Well-Known Seasoned Issuer and Not an Ineligible Issuer</w:t>
      </w:r>
      <w:r>
        <w:rPr>
          <w:rFonts w:ascii="Arial" w:cs="Arial" w:eastAsia="Arial" w:hAnsi="Arial"/>
          <w:sz w:val="18"/>
          <w:szCs w:val="18"/>
          <w:color w:val="auto"/>
        </w:rPr>
        <w:t>. Each of the Issuers is a “well-known seasoned issuer” (as defined in Rule 405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Rules and Regulations). At the earliest time after the initial filing of the Registration Statement that the Issuers or another offering participant made a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 (within the meaning of Rule 164(h)(2) of the Rules and Regulations) of the Notes, neither of the Issuers was an “ineligible issuer,”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Rule 405 of the Rules and Regulations.</w:t>
      </w:r>
    </w:p>
    <w:p>
      <w:pPr>
        <w:spacing w:after="0" w:line="78" w:lineRule="exact"/>
        <w:rPr>
          <w:rFonts w:ascii="Arial" w:cs="Arial" w:eastAsia="Arial" w:hAnsi="Arial"/>
          <w:sz w:val="18"/>
          <w:szCs w:val="18"/>
          <w:color w:val="auto"/>
        </w:rPr>
      </w:pPr>
    </w:p>
    <w:p>
      <w:pPr>
        <w:ind w:left="-20" w:right="20" w:firstLine="921"/>
        <w:spacing w:after="0" w:line="269" w:lineRule="auto"/>
        <w:tabs>
          <w:tab w:leader="none" w:pos="1108"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Formation and Qualification of Certain Entities</w:t>
      </w:r>
      <w:r>
        <w:rPr>
          <w:rFonts w:ascii="Arial" w:cs="Arial" w:eastAsia="Arial" w:hAnsi="Arial"/>
          <w:sz w:val="17"/>
          <w:szCs w:val="17"/>
          <w:color w:val="auto"/>
        </w:rPr>
        <w:t>. Each of the Issuers, the GP Entities and the Material Subsidiaries has been duly formed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Issuers,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Arial" w:cs="Arial" w:eastAsia="Arial" w:hAnsi="Arial"/>
          <w:sz w:val="17"/>
          <w:szCs w:val="17"/>
          <w:b w:val="1"/>
          <w:bCs w:val="1"/>
          <w:color w:val="auto"/>
        </w:rPr>
        <w:t>Subsidiaries</w:t>
      </w:r>
      <w:r>
        <w:rPr>
          <w:rFonts w:ascii="Arial" w:cs="Arial" w:eastAsia="Arial" w:hAnsi="Arial"/>
          <w:sz w:val="17"/>
          <w:szCs w:val="17"/>
          <w:color w:val="auto"/>
        </w:rPr>
        <w:t>”) and the Partnership (collectively, the “</w:t>
      </w:r>
      <w:r>
        <w:rPr>
          <w:rFonts w:ascii="Arial" w:cs="Arial" w:eastAsia="Arial" w:hAnsi="Arial"/>
          <w:sz w:val="17"/>
          <w:szCs w:val="17"/>
          <w:b w:val="1"/>
          <w:bCs w:val="1"/>
          <w:color w:val="auto"/>
        </w:rPr>
        <w:t>Plains Entities</w:t>
      </w:r>
      <w:r>
        <w:rPr>
          <w:rFonts w:ascii="Arial" w:cs="Arial" w:eastAsia="Arial" w:hAnsi="Arial"/>
          <w:sz w:val="17"/>
          <w:szCs w:val="17"/>
          <w:color w:val="auto"/>
        </w:rPr>
        <w:t>”), taken as a whole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or (ii) subject the limited partners of the Partnership to any material liability or disability.</w:t>
      </w:r>
    </w:p>
    <w:p>
      <w:pPr>
        <w:spacing w:after="0" w:line="74" w:lineRule="exact"/>
        <w:rPr>
          <w:rFonts w:ascii="Arial" w:cs="Arial" w:eastAsia="Arial" w:hAnsi="Arial"/>
          <w:sz w:val="17"/>
          <w:szCs w:val="17"/>
          <w:color w:val="auto"/>
        </w:rPr>
      </w:pPr>
    </w:p>
    <w:p>
      <w:pPr>
        <w:ind w:left="-20" w:right="140" w:firstLine="921"/>
        <w:spacing w:after="0" w:line="264" w:lineRule="auto"/>
        <w:tabs>
          <w:tab w:leader="none" w:pos="1148"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General Partners</w:t>
      </w:r>
      <w:r>
        <w:rPr>
          <w:rFonts w:ascii="Arial" w:cs="Arial" w:eastAsia="Arial" w:hAnsi="Arial"/>
          <w:sz w:val="18"/>
          <w:szCs w:val="18"/>
          <w:color w:val="auto"/>
        </w:rPr>
        <w:t>. Each Plains Entity or GP Entity that serves as a general partner of another Plains Entity or GP Entity has full corporate or</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liability company power and authority, as the case may be, to serve as general partner of such Plains Entity or GP Entity, in each case in all material respects, as disclosed in the Pricing Disclosure Package and the Prospectus.</w:t>
      </w:r>
    </w:p>
    <w:p>
      <w:pPr>
        <w:spacing w:after="0" w:line="73" w:lineRule="exact"/>
        <w:rPr>
          <w:rFonts w:ascii="Arial" w:cs="Arial" w:eastAsia="Arial" w:hAnsi="Arial"/>
          <w:sz w:val="18"/>
          <w:szCs w:val="18"/>
          <w:color w:val="auto"/>
        </w:rPr>
      </w:pPr>
    </w:p>
    <w:p>
      <w:pPr>
        <w:ind w:left="-20" w:right="60" w:firstLine="921"/>
        <w:spacing w:after="0" w:line="312" w:lineRule="auto"/>
        <w:tabs>
          <w:tab w:leader="none" w:pos="1108"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Ownership of Interests in the Partnership, the General Partner and Plains AAP</w:t>
      </w:r>
      <w:r>
        <w:rPr>
          <w:rFonts w:ascii="Arial" w:cs="Arial" w:eastAsia="Arial" w:hAnsi="Arial"/>
          <w:sz w:val="16"/>
          <w:szCs w:val="16"/>
          <w:color w:val="auto"/>
        </w:rPr>
        <w:t>. The GP Entities hold the general partner and membership</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4" w:right="239" w:bottom="1440" w:gutter="0" w:footer="0" w:header="0"/>
        </w:sectPr>
      </w:pPr>
    </w:p>
    <w:bookmarkStart w:id="9" w:name="page10"/>
    <w:bookmarkEnd w:id="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under the Limited Liability Company Agreement of the General Partner (as the same may be amended or restated prior to the Delivery Date, such agreement being referred to herein as the “</w:t>
      </w:r>
      <w:r>
        <w:rPr>
          <w:rFonts w:ascii="Arial" w:cs="Arial" w:eastAsia="Arial" w:hAnsi="Arial"/>
          <w:sz w:val="17"/>
          <w:szCs w:val="17"/>
          <w:b w:val="1"/>
          <w:bCs w:val="1"/>
          <w:color w:val="auto"/>
        </w:rPr>
        <w:t>General Partner LLC Agreement</w:t>
      </w:r>
      <w:r>
        <w:rPr>
          <w:rFonts w:ascii="Arial" w:cs="Arial" w:eastAsia="Arial" w:hAnsi="Arial"/>
          <w:sz w:val="17"/>
          <w:szCs w:val="17"/>
          <w:color w:val="auto"/>
        </w:rPr>
        <w:t>”) and nonassessable (except as such nonassessability may be affected by Sections 18-607 and 18-804 of the Delaware Limited Liability Company Act (the “</w:t>
      </w:r>
      <w:r>
        <w:rPr>
          <w:rFonts w:ascii="Arial" w:cs="Arial" w:eastAsia="Arial" w:hAnsi="Arial"/>
          <w:sz w:val="17"/>
          <w:szCs w:val="17"/>
          <w:b w:val="1"/>
          <w:bCs w:val="1"/>
          <w:color w:val="auto"/>
        </w:rPr>
        <w:t>Delaware LLC Act</w:t>
      </w:r>
      <w:r>
        <w:rPr>
          <w:rFonts w:ascii="Arial" w:cs="Arial" w:eastAsia="Arial" w:hAnsi="Arial"/>
          <w:sz w:val="17"/>
          <w:szCs w:val="17"/>
          <w:color w:val="auto"/>
        </w:rPr>
        <w:t>”)); and such general partner and membership interests held by the GP Entities are owned free and clear of all liens, encumbrances, security interests, equities, charges or claims (“</w:t>
      </w:r>
      <w:r>
        <w:rPr>
          <w:rFonts w:ascii="Arial" w:cs="Arial" w:eastAsia="Arial" w:hAnsi="Arial"/>
          <w:sz w:val="17"/>
          <w:szCs w:val="17"/>
          <w:b w:val="1"/>
          <w:bCs w:val="1"/>
          <w:color w:val="auto"/>
        </w:rPr>
        <w:t>Liens</w:t>
      </w:r>
      <w:r>
        <w:rPr>
          <w:rFonts w:ascii="Arial" w:cs="Arial" w:eastAsia="Arial" w:hAnsi="Arial"/>
          <w:sz w:val="17"/>
          <w:szCs w:val="17"/>
          <w:color w:val="auto"/>
        </w:rPr>
        <w:t>”), except (i) as disclosed in the Pricing Disclosure Package and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Pricing Disclosure Package and the Prospectus to be conducted.</w:t>
      </w:r>
    </w:p>
    <w:p>
      <w:pPr>
        <w:spacing w:after="0" w:line="70" w:lineRule="exact"/>
        <w:rPr>
          <w:sz w:val="20"/>
          <w:szCs w:val="20"/>
          <w:color w:val="auto"/>
        </w:rPr>
      </w:pPr>
    </w:p>
    <w:p>
      <w:pPr>
        <w:ind w:left="1220" w:hanging="299"/>
        <w:spacing w:after="0"/>
        <w:tabs>
          <w:tab w:leader="none" w:pos="1220"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Ownership of the Material Subsidiaries</w:t>
      </w:r>
      <w:r>
        <w:rPr>
          <w:rFonts w:ascii="Arial" w:cs="Arial" w:eastAsia="Arial" w:hAnsi="Arial"/>
          <w:sz w:val="16"/>
          <w:szCs w:val="16"/>
          <w:color w:val="auto"/>
        </w:rPr>
        <w:t>. All of the outstanding shares of capital stock or other equity interests of each Material Subsidiary</w:t>
      </w:r>
    </w:p>
    <w:p>
      <w:pPr>
        <w:spacing w:after="0" w:line="46" w:lineRule="exact"/>
        <w:rPr>
          <w:rFonts w:ascii="Arial" w:cs="Arial" w:eastAsia="Arial" w:hAnsi="Arial"/>
          <w:sz w:val="16"/>
          <w:szCs w:val="16"/>
          <w:color w:val="auto"/>
        </w:rPr>
      </w:pPr>
    </w:p>
    <w:p>
      <w:pPr>
        <w:ind w:right="20" w:firstLine="8"/>
        <w:spacing w:after="0" w:line="285" w:lineRule="auto"/>
        <w:tabs>
          <w:tab w:leader="none" w:pos="245" w:val="left"/>
        </w:tabs>
        <w:numPr>
          <w:ilvl w:val="0"/>
          <w:numId w:val="8"/>
        </w:numPr>
        <w:rPr>
          <w:rFonts w:ascii="Arial" w:cs="Arial" w:eastAsia="Arial" w:hAnsi="Arial"/>
          <w:sz w:val="16"/>
          <w:szCs w:val="16"/>
          <w:color w:val="auto"/>
        </w:rPr>
      </w:pPr>
      <w:r>
        <w:rPr>
          <w:rFonts w:ascii="Arial" w:cs="Arial" w:eastAsia="Arial" w:hAnsi="Arial"/>
          <w:sz w:val="16"/>
          <w:szCs w:val="16"/>
          <w:color w:val="auto"/>
        </w:rPr>
        <w:t>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date hereof and as the same may be amended or restated prior to the Delivery Date) (the “</w:t>
      </w:r>
      <w:r>
        <w:rPr>
          <w:rFonts w:ascii="Arial" w:cs="Arial" w:eastAsia="Arial" w:hAnsi="Arial"/>
          <w:sz w:val="16"/>
          <w:szCs w:val="16"/>
          <w:b w:val="1"/>
          <w:bCs w:val="1"/>
          <w:color w:val="auto"/>
        </w:rPr>
        <w:t>Organizational Documents</w:t>
      </w:r>
      <w:r>
        <w:rPr>
          <w:rFonts w:ascii="Arial" w:cs="Arial" w:eastAsia="Arial" w:hAnsi="Arial"/>
          <w:sz w:val="16"/>
          <w:szCs w:val="16"/>
          <w:color w:val="auto"/>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Arial" w:cs="Arial" w:eastAsia="Arial" w:hAnsi="Arial"/>
          <w:sz w:val="16"/>
          <w:szCs w:val="16"/>
          <w:b w:val="1"/>
          <w:bCs w:val="1"/>
          <w:color w:val="auto"/>
        </w:rPr>
        <w:t>Delaware LP Act</w:t>
      </w:r>
      <w:r>
        <w:rPr>
          <w:rFonts w:ascii="Arial" w:cs="Arial" w:eastAsia="Arial" w:hAnsi="Arial"/>
          <w:sz w:val="16"/>
          <w:szCs w:val="16"/>
          <w:color w:val="auto"/>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are owned, directly or indirectly, by the Partnership, free and clear of all Liens. The Subsidiaries other than the Material Subsidiaries would not have, individually or in the aggregate, accounted for (i) more than 10% of the total assets of the Plains Entities, taken as a whole, as of the most recent fiscal year end or (ii) more than 10% of the net income of the Plains Entities, taken as a whole, for the most recent fiscal year.</w:t>
      </w:r>
    </w:p>
    <w:p>
      <w:pPr>
        <w:spacing w:after="0" w:line="62" w:lineRule="exact"/>
        <w:rPr>
          <w:rFonts w:ascii="Arial" w:cs="Arial" w:eastAsia="Arial" w:hAnsi="Arial"/>
          <w:sz w:val="16"/>
          <w:szCs w:val="16"/>
          <w:color w:val="auto"/>
        </w:rPr>
      </w:pPr>
    </w:p>
    <w:p>
      <w:pPr>
        <w:ind w:right="100" w:firstLine="921"/>
        <w:spacing w:after="0" w:line="277" w:lineRule="auto"/>
        <w:tabs>
          <w:tab w:leader="none" w:pos="1168"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No Registration Rights</w:t>
      </w:r>
      <w:r>
        <w:rPr>
          <w:rFonts w:ascii="Arial" w:cs="Arial" w:eastAsia="Arial" w:hAnsi="Arial"/>
          <w:sz w:val="18"/>
          <w:szCs w:val="18"/>
          <w:color w:val="auto"/>
        </w:rPr>
        <w:t>. The offering and sale of the Notes as contemplated by this Agreement do not give rise to any rights for or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of any other securities of the Issuers, except such rights as have been waived or satisfied.</w:t>
      </w:r>
    </w:p>
    <w:p>
      <w:pPr>
        <w:spacing w:after="0" w:line="62" w:lineRule="exact"/>
        <w:rPr>
          <w:rFonts w:ascii="Arial" w:cs="Arial" w:eastAsia="Arial" w:hAnsi="Arial"/>
          <w:sz w:val="18"/>
          <w:szCs w:val="18"/>
          <w:color w:val="auto"/>
        </w:rPr>
      </w:pPr>
    </w:p>
    <w:p>
      <w:pPr>
        <w:ind w:right="120" w:firstLine="921"/>
        <w:spacing w:after="0" w:line="264" w:lineRule="auto"/>
        <w:tabs>
          <w:tab w:leader="none" w:pos="1168"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Conformity to Description of Notes</w:t>
      </w:r>
      <w:r>
        <w:rPr>
          <w:rFonts w:ascii="Arial" w:cs="Arial" w:eastAsia="Arial" w:hAnsi="Arial"/>
          <w:sz w:val="18"/>
          <w:szCs w:val="18"/>
          <w:color w:val="auto"/>
        </w:rPr>
        <w:t>. The Notes, when issued and delivered against payment therefor as provided herein and in the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Indenture will conform in all material respects to the descriptions thereof contained in the Pricing Disclosure Package and the Prospectus (and any amendment or supplement thereto).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0" w:name="page11"/>
    <w:bookmarkEnd w:id="10"/>
    <w:p>
      <w:pPr>
        <w:ind w:left="-8" w:firstLine="921"/>
        <w:spacing w:after="0" w:line="286" w:lineRule="auto"/>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Authority</w:t>
      </w:r>
      <w:r>
        <w:rPr>
          <w:rFonts w:ascii="Arial" w:cs="Arial" w:eastAsia="Arial" w:hAnsi="Arial"/>
          <w:sz w:val="16"/>
          <w:szCs w:val="16"/>
          <w:color w:val="auto"/>
        </w:rPr>
        <w:t>. Each of the Issuers has all requisite partnership or corporate, as applicable, power and authority to issue, sell and deliver the Notes</w:t>
      </w:r>
      <w:r>
        <w:rPr>
          <w:rFonts w:ascii="Arial" w:cs="Arial" w:eastAsia="Arial" w:hAnsi="Arial"/>
          <w:sz w:val="16"/>
          <w:szCs w:val="16"/>
          <w:i w:val="1"/>
          <w:iCs w:val="1"/>
          <w:color w:val="auto"/>
        </w:rPr>
        <w:t xml:space="preserve"> </w:t>
      </w:r>
      <w:r>
        <w:rPr>
          <w:rFonts w:ascii="Arial" w:cs="Arial" w:eastAsia="Arial" w:hAnsi="Arial"/>
          <w:sz w:val="16"/>
          <w:szCs w:val="16"/>
          <w:color w:val="auto"/>
        </w:rPr>
        <w:t>in accordance with and upon the terms and conditions set forth in this Agreement, its respective Organizational Documents, the Indenture, the Registration Statement, the Pricing Disclosure Package and the Prospectus. All action required to be taken by the Issuers or its respective partners or stockholder for (i) the due and proper authorization, execution and delivery of this Agreement and the Indenture, (ii) the authorization, issuance, sale and delivery of the Notes and</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consummation of the other transactions contemplated hereby and thereby shall have been duly and validly taken.</w:t>
      </w:r>
    </w:p>
    <w:p>
      <w:pPr>
        <w:spacing w:after="0" w:line="102" w:lineRule="exact"/>
        <w:rPr>
          <w:rFonts w:ascii="Arial" w:cs="Arial" w:eastAsia="Arial" w:hAnsi="Arial"/>
          <w:sz w:val="18"/>
          <w:szCs w:val="18"/>
          <w:color w:val="auto"/>
        </w:rPr>
      </w:pPr>
    </w:p>
    <w:p>
      <w:pPr>
        <w:ind w:left="-8" w:right="20" w:firstLine="921"/>
        <w:spacing w:after="0" w:line="277"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Authorization, Execution and Delivery of this Agreement</w:t>
      </w:r>
      <w:r>
        <w:rPr>
          <w:rFonts w:ascii="Arial" w:cs="Arial" w:eastAsia="Arial" w:hAnsi="Arial"/>
          <w:sz w:val="18"/>
          <w:szCs w:val="18"/>
          <w:color w:val="auto"/>
        </w:rPr>
        <w:t>. This Agreement has been duly and validly authorized, executed and delivered by or</w:t>
      </w:r>
      <w:r>
        <w:rPr>
          <w:rFonts w:ascii="Arial" w:cs="Arial" w:eastAsia="Arial" w:hAnsi="Arial"/>
          <w:sz w:val="18"/>
          <w:szCs w:val="18"/>
          <w:i w:val="1"/>
          <w:iCs w:val="1"/>
          <w:color w:val="auto"/>
        </w:rPr>
        <w:t xml:space="preserve"> </w:t>
      </w:r>
      <w:r>
        <w:rPr>
          <w:rFonts w:ascii="Arial" w:cs="Arial" w:eastAsia="Arial" w:hAnsi="Arial"/>
          <w:sz w:val="18"/>
          <w:szCs w:val="18"/>
          <w:color w:val="auto"/>
        </w:rPr>
        <w:t>on behalf of the Issuers.</w:t>
      </w:r>
    </w:p>
    <w:p>
      <w:pPr>
        <w:spacing w:after="0" w:line="62" w:lineRule="exact"/>
        <w:rPr>
          <w:rFonts w:ascii="Arial" w:cs="Arial" w:eastAsia="Arial" w:hAnsi="Arial"/>
          <w:sz w:val="18"/>
          <w:szCs w:val="18"/>
          <w:color w:val="auto"/>
        </w:rPr>
      </w:pPr>
    </w:p>
    <w:p>
      <w:pPr>
        <w:ind w:left="-8" w:right="60" w:firstLine="921"/>
        <w:spacing w:after="0" w:line="254" w:lineRule="auto"/>
        <w:tabs>
          <w:tab w:leader="none" w:pos="113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Enforceability of the Indenture</w:t>
      </w:r>
      <w:r>
        <w:rPr>
          <w:rFonts w:ascii="Arial" w:cs="Arial" w:eastAsia="Arial" w:hAnsi="Arial"/>
          <w:sz w:val="18"/>
          <w:szCs w:val="18"/>
          <w:color w:val="auto"/>
        </w:rPr>
        <w:t>. The execution and delivery of, and the performance by each of the Issuers of their respective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the Indenture have been duly and validly authorized by each of the Issuers; the Indenture has been duly qualified under the Trust Indenture Act and, assuming due authorization, execution and delivery of the Base Indenture and the Supplemental Indenture thereto by the Trustee, when the Supplemental Indenture is executed and delivered by each of the Issuers, will constitute the valid and legally binding agreement of each of the Issuers, enforceable against each of the Issuers in accordance with its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84" w:lineRule="exact"/>
        <w:rPr>
          <w:rFonts w:ascii="Arial" w:cs="Arial" w:eastAsia="Arial" w:hAnsi="Arial"/>
          <w:sz w:val="18"/>
          <w:szCs w:val="18"/>
          <w:color w:val="auto"/>
        </w:rPr>
      </w:pPr>
    </w:p>
    <w:p>
      <w:pPr>
        <w:ind w:left="-8" w:right="20" w:firstLine="921"/>
        <w:spacing w:after="0" w:line="293" w:lineRule="auto"/>
        <w:tabs>
          <w:tab w:leader="none" w:pos="114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Valid Issuance of the Notes</w:t>
      </w:r>
      <w:r>
        <w:rPr>
          <w:rFonts w:ascii="Arial" w:cs="Arial" w:eastAsia="Arial" w:hAnsi="Arial"/>
          <w:sz w:val="16"/>
          <w:szCs w:val="16"/>
          <w:color w:val="auto"/>
        </w:rPr>
        <w:t>. The Notes have been duly authorized, and, when executed and authenticated in accordance with the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Indenture and delivered to and paid for by the Underwriters, will have been duly executed and delivered by each of the Issuers and will constitute the valid and legally binding obligations of the Issuers, enforceable against the Issuers in accordance with their terms and entitled to the benefits of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56" w:lineRule="exact"/>
        <w:rPr>
          <w:rFonts w:ascii="Arial" w:cs="Arial" w:eastAsia="Arial" w:hAnsi="Arial"/>
          <w:sz w:val="16"/>
          <w:szCs w:val="16"/>
          <w:color w:val="auto"/>
        </w:rPr>
      </w:pPr>
    </w:p>
    <w:p>
      <w:pPr>
        <w:ind w:left="-8" w:right="40" w:firstLine="921"/>
        <w:spacing w:after="0" w:line="273" w:lineRule="auto"/>
        <w:tabs>
          <w:tab w:leader="none" w:pos="1120"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Authorization, Execution and Enforceability of the Operating Agreements</w:t>
      </w:r>
      <w:r>
        <w:rPr>
          <w:rFonts w:ascii="Arial" w:cs="Arial" w:eastAsia="Arial" w:hAnsi="Arial"/>
          <w:sz w:val="17"/>
          <w:szCs w:val="17"/>
          <w:color w:val="auto"/>
        </w:rPr>
        <w:t>. The partnership agreement or limited liability company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as applicable, of each of the Issuers, the GP Entities and the Material Subsidiaries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4" w:right="259" w:bottom="1440" w:gutter="0" w:footer="0" w:header="0"/>
        </w:sectPr>
      </w:pPr>
    </w:p>
    <w:bookmarkStart w:id="11" w:name="page12"/>
    <w:bookmarkEnd w:id="11"/>
    <w:p>
      <w:pPr>
        <w:ind w:right="40" w:firstLine="921"/>
        <w:spacing w:after="0" w:line="286" w:lineRule="auto"/>
        <w:tabs>
          <w:tab w:leader="none" w:pos="1168"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Conflicts or Violations</w:t>
      </w:r>
      <w:r>
        <w:rPr>
          <w:rFonts w:ascii="Arial" w:cs="Arial" w:eastAsia="Arial" w:hAnsi="Arial"/>
          <w:sz w:val="16"/>
          <w:szCs w:val="16"/>
          <w:color w:val="auto"/>
        </w:rPr>
        <w:t>. None of (i) the offering, issuance and sale by the Issuers of the Notes, (ii) the execution, delivery and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Agreement by each of the Issuers, (iii) the consummation of the transactions contemplated by this Agreement or (iv) the execution, delivery and performance of the Indenture by each of the Issuers or the consummation of the transactions contemplated thereby (A) conflicts or will conflict with or constitutes or will constitute a violation of the Organizational Documents of either of the Issuers, any of the GP Entities or any of the Material Subsidiaries,</w:t>
      </w:r>
    </w:p>
    <w:p>
      <w:pPr>
        <w:spacing w:after="0" w:line="1" w:lineRule="exact"/>
        <w:rPr>
          <w:rFonts w:ascii="Arial" w:cs="Arial" w:eastAsia="Arial" w:hAnsi="Arial"/>
          <w:sz w:val="16"/>
          <w:szCs w:val="16"/>
          <w:color w:val="auto"/>
        </w:rPr>
      </w:pPr>
    </w:p>
    <w:p>
      <w:pPr>
        <w:ind w:firstLine="8"/>
        <w:spacing w:after="0" w:line="251" w:lineRule="auto"/>
        <w:tabs>
          <w:tab w:leader="none" w:pos="2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either of the Issuers,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either of the Issuers, any of the GP Entities or any of the Material Subsidiaries or any of their properties in a proceeding to which any of them or their property is a party or (D) results or will result in the creation or imposition of any Lien upon any property or assets of either of the Issuers, any of the GP Entities or any of the Material Subsidiaries, which conflicts, breaches, violations, defaults or Liens, in the case of clauses (B), (C) or (D), would reasonably be expected to have a Material Adverse Effect or materially impair the ability of the Issuers to consummate the transactions contemplated by this Agreement.</w:t>
      </w:r>
    </w:p>
    <w:p>
      <w:pPr>
        <w:spacing w:after="0" w:line="90" w:lineRule="exact"/>
        <w:rPr>
          <w:rFonts w:ascii="Arial" w:cs="Arial" w:eastAsia="Arial" w:hAnsi="Arial"/>
          <w:sz w:val="18"/>
          <w:szCs w:val="18"/>
          <w:color w:val="auto"/>
        </w:rPr>
      </w:pPr>
    </w:p>
    <w:p>
      <w:pPr>
        <w:ind w:right="60" w:firstLine="921"/>
        <w:spacing w:after="0" w:line="253" w:lineRule="auto"/>
        <w:tabs>
          <w:tab w:leader="none" w:pos="1168"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No Consents</w:t>
      </w:r>
      <w:r>
        <w:rPr>
          <w:rFonts w:ascii="Arial" w:cs="Arial" w:eastAsia="Arial" w:hAnsi="Arial"/>
          <w:sz w:val="18"/>
          <w:szCs w:val="18"/>
          <w:color w:val="auto"/>
        </w:rPr>
        <w:t>. No consent, approval, authorization, filing with or order of any court, governmental agency or body having jurisdiction over</w:t>
      </w:r>
      <w:r>
        <w:rPr>
          <w:rFonts w:ascii="Arial" w:cs="Arial" w:eastAsia="Arial" w:hAnsi="Arial"/>
          <w:sz w:val="18"/>
          <w:szCs w:val="18"/>
          <w:i w:val="1"/>
          <w:iCs w:val="1"/>
          <w:color w:val="auto"/>
        </w:rPr>
        <w:t xml:space="preserve"> </w:t>
      </w:r>
      <w:r>
        <w:rPr>
          <w:rFonts w:ascii="Arial" w:cs="Arial" w:eastAsia="Arial" w:hAnsi="Arial"/>
          <w:sz w:val="18"/>
          <w:szCs w:val="18"/>
          <w:color w:val="auto"/>
        </w:rPr>
        <w:t>any of the Plains Entities or any of the GP Entities or any of their respective properties is required in connection with (i) the offering, issuance and sale by the Issuers of the Notes, (ii) the execution, delivery and performance of, or the consummation by each of the Issuers of the transactions contemplated by this Agreement, (iii) the execution, delivery and performance of the Indenture by each of the Issuers or the consummation of the transactions contemplated thereby, except (A) such as have been obtained under the Securities Act, (B) such as may be required under the blue sky laws of any jurisdiction or the by-laws and rules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in connection with the purchase and distribution by the Underwriters of the Notes in the manner contemplated herein and in the Pricing Disclosure Package and the Prospectus and (C) such that the failure to obtain or make would not reasonably be expected to have a Material Adverse Effect or materially impair the ability of the Issuers to consummate the transactions contemplated by this Agreement.</w:t>
      </w:r>
    </w:p>
    <w:p>
      <w:pPr>
        <w:spacing w:after="0" w:line="89" w:lineRule="exact"/>
        <w:rPr>
          <w:rFonts w:ascii="Arial" w:cs="Arial" w:eastAsia="Arial" w:hAnsi="Arial"/>
          <w:sz w:val="18"/>
          <w:szCs w:val="18"/>
          <w:color w:val="auto"/>
        </w:rPr>
      </w:pPr>
    </w:p>
    <w:p>
      <w:pPr>
        <w:ind w:right="20" w:firstLine="921"/>
        <w:spacing w:after="0" w:line="271" w:lineRule="auto"/>
        <w:tabs>
          <w:tab w:leader="none" w:pos="1208" w:val="left"/>
        </w:tabs>
        <w:numPr>
          <w:ilvl w:val="1"/>
          <w:numId w:val="12"/>
        </w:numPr>
        <w:rPr>
          <w:rFonts w:ascii="Arial" w:cs="Arial" w:eastAsia="Arial" w:hAnsi="Arial"/>
          <w:sz w:val="17"/>
          <w:szCs w:val="17"/>
          <w:color w:val="auto"/>
        </w:rPr>
      </w:pPr>
      <w:r>
        <w:rPr>
          <w:rFonts w:ascii="Arial" w:cs="Arial" w:eastAsia="Arial" w:hAnsi="Arial"/>
          <w:sz w:val="17"/>
          <w:szCs w:val="17"/>
          <w:i w:val="1"/>
          <w:iCs w:val="1"/>
          <w:color w:val="auto"/>
        </w:rPr>
        <w:t>No Default</w:t>
      </w:r>
      <w:r>
        <w:rPr>
          <w:rFonts w:ascii="Arial" w:cs="Arial" w:eastAsia="Arial" w:hAnsi="Arial"/>
          <w:sz w:val="17"/>
          <w:szCs w:val="17"/>
          <w:color w:val="auto"/>
        </w:rPr>
        <w:t>. (i) None of the Issuers or the GP Entities or the Material Subsidiaries is in violation of its Organizational Documents in any</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respect; (ii) none of the Issuers, the GP Entities or the Material Subsidiaries is in violation of any law, statute, ordinance, administrative or governmental rule or regulation applicable to it or of any decree of any court or governmental agency or body having jurisdiction over it and (iii) none of the Issuers,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either of the Issuers to perform its obligations under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2" w:name="page13"/>
    <w:bookmarkEnd w:id="12"/>
    <w:p>
      <w:pPr>
        <w:jc w:val="both"/>
        <w:ind w:firstLine="921"/>
        <w:spacing w:after="0" w:line="279" w:lineRule="auto"/>
        <w:tabs>
          <w:tab w:leader="none" w:pos="1168"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Registered Public Accounting Firm</w:t>
      </w:r>
      <w:r>
        <w:rPr>
          <w:rFonts w:ascii="Arial" w:cs="Arial" w:eastAsia="Arial" w:hAnsi="Arial"/>
          <w:sz w:val="17"/>
          <w:szCs w:val="17"/>
          <w:color w:val="auto"/>
        </w:rPr>
        <w:t>. PricewaterhouseCoopers LLP, which has certified certain audited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or incorporated by reference in the Registration Statement, the most recent Preliminary Prospectus and the Prospectus (and any amendment or supplement thereto), are an independent registered public accounting firm with respect to the GP Entities and the Partnership and its consolidated subsidiaries, as required by the Securities Act and the Rules and Regulations and the Public Company Accounting Oversight Board.</w:t>
      </w:r>
    </w:p>
    <w:p>
      <w:pPr>
        <w:spacing w:after="0" w:line="63" w:lineRule="exact"/>
        <w:rPr>
          <w:rFonts w:ascii="Arial" w:cs="Arial" w:eastAsia="Arial" w:hAnsi="Arial"/>
          <w:sz w:val="17"/>
          <w:szCs w:val="17"/>
          <w:color w:val="auto"/>
        </w:rPr>
      </w:pPr>
    </w:p>
    <w:p>
      <w:pPr>
        <w:ind w:right="40" w:firstLine="921"/>
        <w:spacing w:after="0" w:line="267" w:lineRule="auto"/>
        <w:tabs>
          <w:tab w:leader="none" w:pos="1168"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Financial Statements</w:t>
      </w:r>
      <w:r>
        <w:rPr>
          <w:rFonts w:ascii="Arial" w:cs="Arial" w:eastAsia="Arial" w:hAnsi="Arial"/>
          <w:sz w:val="17"/>
          <w:szCs w:val="17"/>
          <w:color w:val="auto"/>
        </w:rPr>
        <w:t>. At June 30, 2014, the Partnership had, on an as adjusted basis as indicated in the Prospectus (and any amendment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 thereto), an approximate total capitalization as set forth therein. The financial statements (including the related notes and supporting schedules) and other financial information included or incorporated by reference in the Registration Statement, the most recent Preliminary Prospectus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if any, included or incorporated by reference in the Registration Statement, the most recent Preliminary Prospectus and the Prospectus (and any amendment or supplement thereto)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the most recent Preliminary Prospectus and the Prospectus (and any amendment or supplement thereto) are reasonable, and the adjustments used therein are appropriate to give effect to the transactions or circumstances referred to therein. No other financial statements or schedules of the Issuers are required by the Securities Act or the Exchange Act to be included in the Registration Statement, the most recent Preliminary Prospectus or the Prospectus.</w:t>
      </w:r>
    </w:p>
    <w:p>
      <w:pPr>
        <w:spacing w:after="0" w:line="84" w:lineRule="exact"/>
        <w:rPr>
          <w:rFonts w:ascii="Arial" w:cs="Arial" w:eastAsia="Arial" w:hAnsi="Arial"/>
          <w:sz w:val="17"/>
          <w:szCs w:val="17"/>
          <w:color w:val="auto"/>
        </w:rPr>
      </w:pPr>
    </w:p>
    <w:p>
      <w:pPr>
        <w:ind w:firstLine="921"/>
        <w:spacing w:after="0" w:line="272" w:lineRule="auto"/>
        <w:tabs>
          <w:tab w:leader="none" w:pos="1157"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No Material Adverse Change</w:t>
      </w:r>
      <w:r>
        <w:rPr>
          <w:rFonts w:ascii="Arial" w:cs="Arial" w:eastAsia="Arial" w:hAnsi="Arial"/>
          <w:sz w:val="17"/>
          <w:szCs w:val="17"/>
          <w:color w:val="auto"/>
        </w:rPr>
        <w:t>. None of the Plains Entities or the GP Entities has sustained, since the date of the latest audited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 in each case other than as set forth in the Registration Statement, the Pricing Disclosure Package and the Prospectus.</w:t>
      </w:r>
    </w:p>
    <w:p>
      <w:pPr>
        <w:spacing w:after="0" w:line="70" w:lineRule="exact"/>
        <w:rPr>
          <w:sz w:val="20"/>
          <w:szCs w:val="20"/>
          <w:color w:val="auto"/>
        </w:rPr>
      </w:pPr>
    </w:p>
    <w:p>
      <w:pPr>
        <w:ind w:firstLine="921"/>
        <w:spacing w:after="0" w:line="273" w:lineRule="auto"/>
        <w:tabs>
          <w:tab w:leader="none" w:pos="1237"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Required Disclosures and Descriptions</w:t>
      </w:r>
      <w:r>
        <w:rPr>
          <w:rFonts w:ascii="Arial" w:cs="Arial" w:eastAsia="Arial" w:hAnsi="Arial"/>
          <w:sz w:val="17"/>
          <w:szCs w:val="17"/>
          <w:color w:val="auto"/>
        </w:rPr>
        <w:t>. There are no legal or governmental proceedings pending or, to the knowledge of the Issuers,</w:t>
      </w:r>
      <w:r>
        <w:rPr>
          <w:rFonts w:ascii="Arial" w:cs="Arial" w:eastAsia="Arial" w:hAnsi="Arial"/>
          <w:sz w:val="17"/>
          <w:szCs w:val="17"/>
          <w:i w:val="1"/>
          <w:iCs w:val="1"/>
          <w:color w:val="auto"/>
        </w:rPr>
        <w:t xml:space="preserve"> </w:t>
      </w:r>
      <w:r>
        <w:rPr>
          <w:rFonts w:ascii="Arial" w:cs="Arial" w:eastAsia="Arial" w:hAnsi="Arial"/>
          <w:sz w:val="17"/>
          <w:szCs w:val="17"/>
          <w:color w:val="auto"/>
        </w:rPr>
        <w:t>threatened, against any of the Plains Entities or the GP Entities, or to which any of the Plains Entities or the GP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70" w:lineRule="exact"/>
        <w:rPr>
          <w:rFonts w:ascii="Arial" w:cs="Arial" w:eastAsia="Arial" w:hAnsi="Arial"/>
          <w:sz w:val="17"/>
          <w:szCs w:val="17"/>
          <w:color w:val="auto"/>
        </w:rPr>
      </w:pPr>
    </w:p>
    <w:p>
      <w:pPr>
        <w:ind w:firstLine="921"/>
        <w:spacing w:after="0" w:line="254" w:lineRule="auto"/>
        <w:tabs>
          <w:tab w:leader="none" w:pos="1258"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Title to Properties</w:t>
      </w:r>
      <w:r>
        <w:rPr>
          <w:rFonts w:ascii="Arial" w:cs="Arial" w:eastAsia="Arial" w:hAnsi="Arial"/>
          <w:sz w:val="18"/>
          <w:szCs w:val="18"/>
          <w:color w:val="auto"/>
        </w:rPr>
        <w:t>. The Plains Entities, directly or indirectly, have good and indefeasible title to all real property and good title to all</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 property described in the Pricing Disclosure Package and the Prospectus as being owned by them, free and clear of all Liens except (i) as provided in the Third Amended and Restated Credit Agreement dated August 19, 2011, as amended (the “</w:t>
      </w:r>
      <w:r>
        <w:rPr>
          <w:rFonts w:ascii="Arial" w:cs="Arial" w:eastAsia="Arial" w:hAnsi="Arial"/>
          <w:sz w:val="18"/>
          <w:szCs w:val="18"/>
          <w:b w:val="1"/>
          <w:bCs w:val="1"/>
          <w:color w:val="auto"/>
        </w:rPr>
        <w:t>Hedged Inventory Facility</w:t>
      </w:r>
      <w:r>
        <w:rPr>
          <w:rFonts w:ascii="Arial" w:cs="Arial" w:eastAsia="Arial" w:hAnsi="Arial"/>
          <w:sz w:val="18"/>
          <w:szCs w:val="18"/>
          <w:color w:val="auto"/>
        </w:rPr>
        <w:t>”), among Plains Marketing, L.P. (“</w:t>
      </w:r>
      <w:r>
        <w:rPr>
          <w:rFonts w:ascii="Arial" w:cs="Arial" w:eastAsia="Arial" w:hAnsi="Arial"/>
          <w:sz w:val="18"/>
          <w:szCs w:val="18"/>
          <w:b w:val="1"/>
          <w:bCs w:val="1"/>
          <w:color w:val="auto"/>
        </w:rPr>
        <w:t>Plains Marketing</w:t>
      </w:r>
      <w:r>
        <w:rPr>
          <w:rFonts w:ascii="Arial" w:cs="Arial" w:eastAsia="Arial" w:hAnsi="Arial"/>
          <w:sz w:val="18"/>
          <w:szCs w:val="18"/>
          <w:color w:val="auto"/>
        </w:rPr>
        <w:t>”), Bank of America, N.A., as administrative agent thereunder and the lenders from time to time party thereto, described in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Pricing Disclosure Package and the Prospectus.</w:t>
      </w:r>
    </w:p>
    <w:p>
      <w:pPr>
        <w:spacing w:after="0" w:line="84" w:lineRule="exact"/>
        <w:rPr>
          <w:rFonts w:ascii="Arial" w:cs="Arial" w:eastAsia="Arial" w:hAnsi="Arial"/>
          <w:sz w:val="18"/>
          <w:szCs w:val="18"/>
          <w:color w:val="auto"/>
        </w:rPr>
      </w:pPr>
    </w:p>
    <w:p>
      <w:pPr>
        <w:ind w:right="40" w:firstLine="921"/>
        <w:spacing w:after="0" w:line="291" w:lineRule="auto"/>
        <w:tabs>
          <w:tab w:leader="none" w:pos="1237"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Permits</w:t>
      </w:r>
      <w:r>
        <w:rPr>
          <w:rFonts w:ascii="Arial" w:cs="Arial" w:eastAsia="Arial" w:hAnsi="Arial"/>
          <w:sz w:val="16"/>
          <w:szCs w:val="16"/>
          <w:color w:val="auto"/>
        </w:rPr>
        <w:t>. Each of the Plains Entities, directly or indirectly, has such permits, consents, licenses, franchises, certificates and authorizations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authorities (“</w:t>
      </w:r>
      <w:r>
        <w:rPr>
          <w:rFonts w:ascii="Arial" w:cs="Arial" w:eastAsia="Arial" w:hAnsi="Arial"/>
          <w:sz w:val="16"/>
          <w:szCs w:val="16"/>
          <w:b w:val="1"/>
          <w:bCs w:val="1"/>
          <w:color w:val="auto"/>
        </w:rPr>
        <w:t>Permits</w:t>
      </w:r>
      <w:r>
        <w:rPr>
          <w:rFonts w:ascii="Arial" w:cs="Arial" w:eastAsia="Arial" w:hAnsi="Arial"/>
          <w:sz w:val="16"/>
          <w:szCs w:val="16"/>
          <w:color w:val="auto"/>
        </w:rPr>
        <w:t>”) as are necessary to own its 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4" w:name="page15"/>
    <w:bookmarkEnd w:id="14"/>
    <w:p>
      <w:pPr>
        <w:ind w:left="-20" w:right="200" w:firstLine="921"/>
        <w:spacing w:after="0" w:line="290" w:lineRule="auto"/>
        <w:tabs>
          <w:tab w:leader="none" w:pos="1238"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Rights-of-Way</w:t>
      </w:r>
      <w:r>
        <w:rPr>
          <w:rFonts w:ascii="Arial" w:cs="Arial" w:eastAsia="Arial" w:hAnsi="Arial"/>
          <w:sz w:val="16"/>
          <w:szCs w:val="16"/>
          <w:color w:val="auto"/>
        </w:rPr>
        <w:t>. Each of the Plains Entities, directly or indirectly, has such consents, easements, rights-of-way or licenses from any person</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rights-of-way</w:t>
      </w:r>
      <w:r>
        <w:rPr>
          <w:rFonts w:ascii="Arial" w:cs="Arial" w:eastAsia="Arial" w:hAnsi="Arial"/>
          <w:sz w:val="16"/>
          <w:szCs w:val="16"/>
          <w:color w:val="auto"/>
        </w:rPr>
        <w:t>”)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Pricing Disclosure Package and the Prospectus.</w:t>
      </w:r>
    </w:p>
    <w:p>
      <w:pPr>
        <w:spacing w:after="0" w:line="58" w:lineRule="exact"/>
        <w:rPr>
          <w:rFonts w:ascii="Arial" w:cs="Arial" w:eastAsia="Arial" w:hAnsi="Arial"/>
          <w:sz w:val="16"/>
          <w:szCs w:val="16"/>
          <w:color w:val="auto"/>
        </w:rPr>
      </w:pPr>
    </w:p>
    <w:p>
      <w:pPr>
        <w:ind w:left="-20" w:firstLine="921"/>
        <w:spacing w:after="0" w:line="273" w:lineRule="auto"/>
        <w:tabs>
          <w:tab w:leader="none" w:pos="1217"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Investment Company</w:t>
      </w:r>
      <w:r>
        <w:rPr>
          <w:rFonts w:ascii="Arial" w:cs="Arial" w:eastAsia="Arial" w:hAnsi="Arial"/>
          <w:sz w:val="17"/>
          <w:szCs w:val="17"/>
          <w:color w:val="auto"/>
        </w:rPr>
        <w:t>. None of the Plains Entities is now, and after sale of the Notes to be sold by the Issuers hereunder and application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spacing w:after="0" w:line="70" w:lineRule="exact"/>
        <w:rPr>
          <w:rFonts w:ascii="Arial" w:cs="Arial" w:eastAsia="Arial" w:hAnsi="Arial"/>
          <w:sz w:val="17"/>
          <w:szCs w:val="17"/>
          <w:color w:val="auto"/>
        </w:rPr>
      </w:pPr>
    </w:p>
    <w:p>
      <w:pPr>
        <w:ind w:left="-20" w:right="40" w:firstLine="921"/>
        <w:spacing w:after="0" w:line="273" w:lineRule="auto"/>
        <w:tabs>
          <w:tab w:leader="none" w:pos="1174"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Environmental Compliance</w:t>
      </w:r>
      <w:r>
        <w:rPr>
          <w:rFonts w:ascii="Arial" w:cs="Arial" w:eastAsia="Arial" w:hAnsi="Arial"/>
          <w:sz w:val="17"/>
          <w:szCs w:val="17"/>
          <w:color w:val="auto"/>
        </w:rPr>
        <w:t>. Except as described in the Pricing Disclosure Package and the Prospectus, none of the Plains Entities,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or lacks any permits, licenses or other approvals required of them under applicable Environmental Laws to own, lease or operate their properties and conduct their business as described in the Pricing Disclosure Package and the Prospectus or is violating any terms and conditions of any such permit, license or approval, which in each case would reasonably be expected to have a Material Adverse Effect.</w:t>
      </w:r>
    </w:p>
    <w:p>
      <w:pPr>
        <w:spacing w:after="0" w:line="70" w:lineRule="exact"/>
        <w:rPr>
          <w:rFonts w:ascii="Arial" w:cs="Arial" w:eastAsia="Arial" w:hAnsi="Arial"/>
          <w:sz w:val="17"/>
          <w:szCs w:val="17"/>
          <w:color w:val="auto"/>
        </w:rPr>
      </w:pPr>
    </w:p>
    <w:p>
      <w:pPr>
        <w:ind w:left="-20" w:right="240" w:firstLine="921"/>
        <w:spacing w:after="0" w:line="277" w:lineRule="auto"/>
        <w:tabs>
          <w:tab w:leader="none" w:pos="123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No Labor Disputes</w:t>
      </w:r>
      <w:r>
        <w:rPr>
          <w:rFonts w:ascii="Arial" w:cs="Arial" w:eastAsia="Arial" w:hAnsi="Arial"/>
          <w:sz w:val="18"/>
          <w:szCs w:val="18"/>
          <w:color w:val="auto"/>
        </w:rPr>
        <w:t>. No labor dispute with the employees of any of the Plains Entities or the GP Entities exists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Issuers, is imminent, that would reasonably be expected to have a Material Adverse Effect.</w:t>
      </w:r>
    </w:p>
    <w:p>
      <w:pPr>
        <w:spacing w:after="0" w:line="62" w:lineRule="exact"/>
        <w:rPr>
          <w:rFonts w:ascii="Arial" w:cs="Arial" w:eastAsia="Arial" w:hAnsi="Arial"/>
          <w:sz w:val="18"/>
          <w:szCs w:val="18"/>
          <w:color w:val="auto"/>
        </w:rPr>
      </w:pPr>
    </w:p>
    <w:p>
      <w:pPr>
        <w:ind w:left="-20" w:right="120" w:firstLine="921"/>
        <w:spacing w:after="0" w:line="302" w:lineRule="auto"/>
        <w:tabs>
          <w:tab w:leader="none" w:pos="1238"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Partnership maintains or is entitled to the benefits of insurance covering its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74" w:right="239" w:bottom="1440" w:gutter="0" w:footer="0" w:header="0"/>
        </w:sectPr>
      </w:pPr>
    </w:p>
    <w:bookmarkStart w:id="15" w:name="page16"/>
    <w:bookmarkEnd w:id="15"/>
    <w:p>
      <w:pPr>
        <w:ind w:left="-8" w:right="20" w:firstLine="921"/>
        <w:spacing w:after="0" w:line="293" w:lineRule="auto"/>
        <w:tabs>
          <w:tab w:leader="none" w:pos="1170"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Legal Actions</w:t>
      </w:r>
      <w:r>
        <w:rPr>
          <w:rFonts w:ascii="Arial" w:cs="Arial" w:eastAsia="Arial" w:hAnsi="Arial"/>
          <w:sz w:val="16"/>
          <w:szCs w:val="16"/>
          <w:color w:val="auto"/>
        </w:rPr>
        <w:t>. Except as described in the Pricing Disclosure Package and the Prospectus, there is (i) no action, suit or proceeding before</w:t>
      </w:r>
      <w:r>
        <w:rPr>
          <w:rFonts w:ascii="Arial" w:cs="Arial" w:eastAsia="Arial" w:hAnsi="Arial"/>
          <w:sz w:val="16"/>
          <w:szCs w:val="16"/>
          <w:i w:val="1"/>
          <w:iCs w:val="1"/>
          <w:color w:val="auto"/>
        </w:rPr>
        <w:t xml:space="preserve"> </w:t>
      </w:r>
      <w:r>
        <w:rPr>
          <w:rFonts w:ascii="Arial" w:cs="Arial" w:eastAsia="Arial" w:hAnsi="Arial"/>
          <w:sz w:val="16"/>
          <w:szCs w:val="16"/>
          <w:color w:val="auto"/>
        </w:rPr>
        <w:t>or by any court, arbitrator or governmental agency, body or official, domestic or foreign, now pending or, to the knowledge of the Issuers,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clauses (i) and (ii) above, would reasonably be expected to have, individually or in the aggregate, a Material Adverse Effect or prevent or result in the suspension of the offering and issuance of the Notes.</w:t>
      </w:r>
    </w:p>
    <w:p>
      <w:pPr>
        <w:spacing w:after="0" w:line="56" w:lineRule="exact"/>
        <w:rPr>
          <w:rFonts w:ascii="Arial" w:cs="Arial" w:eastAsia="Arial" w:hAnsi="Arial"/>
          <w:sz w:val="16"/>
          <w:szCs w:val="16"/>
          <w:color w:val="auto"/>
        </w:rPr>
      </w:pPr>
    </w:p>
    <w:p>
      <w:pPr>
        <w:ind w:left="-8" w:right="320" w:firstLine="921"/>
        <w:spacing w:after="0" w:line="273" w:lineRule="auto"/>
        <w:tabs>
          <w:tab w:leader="none" w:pos="1170" w:val="left"/>
        </w:tabs>
        <w:numPr>
          <w:ilvl w:val="1"/>
          <w:numId w:val="16"/>
        </w:numPr>
        <w:rPr>
          <w:rFonts w:ascii="Arial" w:cs="Arial" w:eastAsia="Arial" w:hAnsi="Arial"/>
          <w:sz w:val="17"/>
          <w:szCs w:val="17"/>
          <w:color w:val="auto"/>
        </w:rPr>
      </w:pPr>
      <w:r>
        <w:rPr>
          <w:rFonts w:ascii="Arial" w:cs="Arial" w:eastAsia="Arial" w:hAnsi="Arial"/>
          <w:sz w:val="17"/>
          <w:szCs w:val="17"/>
          <w:i w:val="1"/>
          <w:iCs w:val="1"/>
          <w:color w:val="auto"/>
        </w:rPr>
        <w:t>Distribution Restrictions</w:t>
      </w:r>
      <w:r>
        <w:rPr>
          <w:rFonts w:ascii="Arial" w:cs="Arial" w:eastAsia="Arial" w:hAnsi="Arial"/>
          <w:sz w:val="17"/>
          <w:szCs w:val="17"/>
          <w:color w:val="auto"/>
        </w:rPr>
        <w:t>. No Subsidiary is currently prohibited, directly or indirectly, from making any distributions to the Partnership or</w:t>
      </w:r>
      <w:r>
        <w:rPr>
          <w:rFonts w:ascii="Arial" w:cs="Arial" w:eastAsia="Arial" w:hAnsi="Arial"/>
          <w:sz w:val="17"/>
          <w:szCs w:val="17"/>
          <w:i w:val="1"/>
          <w:iCs w:val="1"/>
          <w:color w:val="auto"/>
        </w:rPr>
        <w:t xml:space="preserve"> </w:t>
      </w:r>
      <w:r>
        <w:rPr>
          <w:rFonts w:ascii="Arial" w:cs="Arial" w:eastAsia="Arial" w:hAnsi="Arial"/>
          <w:sz w:val="17"/>
          <w:szCs w:val="17"/>
          <w:color w:val="auto"/>
        </w:rPr>
        <w:t>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Pricing Disclosure Package and the Prospectus (exclusive of any amendment or supplement thereto), (ii) such prohibitions mandated by the laws of each such Subsidiary’s state of formation and the terms of any such Subsidiary’s Organizational Documents and (iii) where such prohibition would reasonably be expected to have a Material Adverse Effect.</w:t>
      </w:r>
    </w:p>
    <w:p>
      <w:pPr>
        <w:spacing w:after="0" w:line="70" w:lineRule="exact"/>
        <w:rPr>
          <w:rFonts w:ascii="Arial" w:cs="Arial" w:eastAsia="Arial" w:hAnsi="Arial"/>
          <w:sz w:val="17"/>
          <w:szCs w:val="17"/>
          <w:color w:val="auto"/>
        </w:rPr>
      </w:pPr>
    </w:p>
    <w:p>
      <w:pPr>
        <w:ind w:left="1252" w:hanging="339"/>
        <w:spacing w:after="0"/>
        <w:tabs>
          <w:tab w:leader="none" w:pos="1252"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No Distribution of Other Offering Materials</w:t>
      </w:r>
      <w:r>
        <w:rPr>
          <w:rFonts w:ascii="Arial" w:cs="Arial" w:eastAsia="Arial" w:hAnsi="Arial"/>
          <w:sz w:val="16"/>
          <w:szCs w:val="16"/>
          <w:color w:val="auto"/>
        </w:rPr>
        <w:t>. None of the Plains Entities or the GP Entities has distributed and, prior to the later to occur of</w:t>
      </w:r>
    </w:p>
    <w:p>
      <w:pPr>
        <w:spacing w:after="0" w:line="46" w:lineRule="exact"/>
        <w:rPr>
          <w:rFonts w:ascii="Arial" w:cs="Arial" w:eastAsia="Arial" w:hAnsi="Arial"/>
          <w:sz w:val="16"/>
          <w:szCs w:val="16"/>
          <w:color w:val="auto"/>
        </w:rPr>
      </w:pPr>
    </w:p>
    <w:p>
      <w:pPr>
        <w:ind w:left="-8" w:right="200" w:firstLine="8"/>
        <w:spacing w:after="0" w:line="254" w:lineRule="auto"/>
        <w:tabs>
          <w:tab w:leader="none" w:pos="2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Section 1(h) of this Agreement, or other materials, if any, permitted by the Securities Act, including Rule 134 of the Rules and Regulations.</w:t>
      </w:r>
    </w:p>
    <w:p>
      <w:pPr>
        <w:spacing w:after="0" w:line="81" w:lineRule="exact"/>
        <w:rPr>
          <w:rFonts w:ascii="Arial" w:cs="Arial" w:eastAsia="Arial" w:hAnsi="Arial"/>
          <w:sz w:val="18"/>
          <w:szCs w:val="18"/>
          <w:color w:val="auto"/>
        </w:rPr>
      </w:pPr>
    </w:p>
    <w:p>
      <w:pPr>
        <w:ind w:left="-8" w:firstLine="921"/>
        <w:spacing w:after="0" w:line="297" w:lineRule="auto"/>
        <w:tabs>
          <w:tab w:leader="none" w:pos="1170"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Books and Records; Accounting Controls</w:t>
      </w:r>
      <w:r>
        <w:rPr>
          <w:rFonts w:ascii="Arial" w:cs="Arial" w:eastAsia="Arial" w:hAnsi="Arial"/>
          <w:sz w:val="16"/>
          <w:szCs w:val="16"/>
          <w:color w:val="auto"/>
        </w:rPr>
        <w:t>. The Partnership maintains a system of internal accounting controls sufficient to provide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50" w:lineRule="exact"/>
        <w:rPr>
          <w:rFonts w:ascii="Arial" w:cs="Arial" w:eastAsia="Arial" w:hAnsi="Arial"/>
          <w:sz w:val="16"/>
          <w:szCs w:val="16"/>
          <w:color w:val="auto"/>
        </w:rPr>
      </w:pPr>
    </w:p>
    <w:p>
      <w:pPr>
        <w:ind w:left="-8" w:right="60" w:firstLine="921"/>
        <w:spacing w:after="0" w:line="264" w:lineRule="auto"/>
        <w:tabs>
          <w:tab w:leader="none" w:pos="135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Partnership and, to the knowledge of the Issuers, the directors and officers of GP LLC in their capacities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are in compliance in all material respects with all applicable and effective provisions of the Sarbanes-Oxley Act of 2002 and the rules and regulations promulgated thereunder.</w:t>
      </w:r>
    </w:p>
    <w:p>
      <w:pPr>
        <w:spacing w:after="0" w:line="73" w:lineRule="exact"/>
        <w:rPr>
          <w:rFonts w:ascii="Arial" w:cs="Arial" w:eastAsia="Arial" w:hAnsi="Arial"/>
          <w:sz w:val="18"/>
          <w:szCs w:val="18"/>
          <w:color w:val="auto"/>
        </w:rPr>
      </w:pPr>
    </w:p>
    <w:p>
      <w:pPr>
        <w:ind w:left="-8" w:right="120" w:firstLine="921"/>
        <w:spacing w:after="0" w:line="277" w:lineRule="auto"/>
        <w:tabs>
          <w:tab w:leader="none" w:pos="125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Partnership maintains disclosure controls and procedures (to the extent required by and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Rules 13a-15 and 15d-15 of the Rules and Regulations), that (i) are designed to provide reasonable assurance that material</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16" w:name="page17"/>
    <w:bookmarkEnd w:id="16"/>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46" w:lineRule="exact"/>
        <w:rPr>
          <w:sz w:val="20"/>
          <w:szCs w:val="20"/>
          <w:color w:val="auto"/>
        </w:rPr>
      </w:pPr>
    </w:p>
    <w:p>
      <w:pPr>
        <w:ind w:right="100" w:firstLine="921"/>
        <w:spacing w:after="0" w:line="257" w:lineRule="auto"/>
        <w:tabs>
          <w:tab w:leader="none" w:pos="125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No Deficiency in Internal Controls</w:t>
      </w:r>
      <w:r>
        <w:rPr>
          <w:rFonts w:ascii="Arial" w:cs="Arial" w:eastAsia="Arial" w:hAnsi="Arial"/>
          <w:sz w:val="18"/>
          <w:szCs w:val="18"/>
          <w:color w:val="auto"/>
        </w:rPr>
        <w:t>. Based on the evaluation of its disclosure controls and procedures conducted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80" w:lineRule="exact"/>
        <w:rPr>
          <w:rFonts w:ascii="Arial" w:cs="Arial" w:eastAsia="Arial" w:hAnsi="Arial"/>
          <w:sz w:val="18"/>
          <w:szCs w:val="18"/>
          <w:color w:val="auto"/>
        </w:rPr>
      </w:pPr>
    </w:p>
    <w:p>
      <w:pPr>
        <w:ind w:firstLine="921"/>
        <w:spacing w:after="0" w:line="286" w:lineRule="auto"/>
        <w:tabs>
          <w:tab w:leader="none" w:pos="1258"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FCPA</w:t>
      </w:r>
      <w:r>
        <w:rPr>
          <w:rFonts w:ascii="Arial" w:cs="Arial" w:eastAsia="Arial" w:hAnsi="Arial"/>
          <w:sz w:val="17"/>
          <w:szCs w:val="17"/>
          <w:color w:val="auto"/>
        </w:rPr>
        <w:t>. None of the Plains Entities or the GP Entities nor, to the knowledge of the Issuers, any director, officer, agent or employee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57" w:lineRule="exact"/>
        <w:rPr>
          <w:rFonts w:ascii="Arial" w:cs="Arial" w:eastAsia="Arial" w:hAnsi="Arial"/>
          <w:sz w:val="17"/>
          <w:szCs w:val="17"/>
          <w:color w:val="auto"/>
        </w:rPr>
      </w:pPr>
    </w:p>
    <w:p>
      <w:pPr>
        <w:ind w:right="200" w:firstLine="921"/>
        <w:spacing w:after="0" w:line="342" w:lineRule="auto"/>
        <w:tabs>
          <w:tab w:leader="none" w:pos="1258"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Money Laundering Laws</w:t>
      </w:r>
      <w:r>
        <w:rPr>
          <w:rFonts w:ascii="Arial" w:cs="Arial" w:eastAsia="Arial" w:hAnsi="Arial"/>
          <w:sz w:val="16"/>
          <w:szCs w:val="16"/>
          <w:color w:val="auto"/>
        </w:rPr>
        <w:t>. No action, suit or proceeding by or before any court or governmental agency, authority or body or any arbitrator</w:t>
      </w:r>
      <w:r>
        <w:rPr>
          <w:rFonts w:ascii="Arial" w:cs="Arial" w:eastAsia="Arial" w:hAnsi="Arial"/>
          <w:sz w:val="16"/>
          <w:szCs w:val="16"/>
          <w:i w:val="1"/>
          <w:iCs w:val="1"/>
          <w:color w:val="auto"/>
        </w:rPr>
        <w:t xml:space="preserve"> </w:t>
      </w:r>
      <w:r>
        <w:rPr>
          <w:rFonts w:ascii="Arial" w:cs="Arial" w:eastAsia="Arial" w:hAnsi="Arial"/>
          <w:sz w:val="16"/>
          <w:szCs w:val="16"/>
          <w:color w:val="auto"/>
        </w:rPr>
        <w:t>involving the Plains Entities or the GP Entities that involve allegations of money laundering is pending or, to the knowledge of the Issuers, threatened.</w:t>
      </w:r>
    </w:p>
    <w:p>
      <w:pPr>
        <w:spacing w:after="0" w:line="15" w:lineRule="exact"/>
        <w:rPr>
          <w:rFonts w:ascii="Arial" w:cs="Arial" w:eastAsia="Arial" w:hAnsi="Arial"/>
          <w:sz w:val="16"/>
          <w:szCs w:val="16"/>
          <w:color w:val="auto"/>
        </w:rPr>
      </w:pPr>
    </w:p>
    <w:p>
      <w:pPr>
        <w:ind w:right="140" w:firstLine="921"/>
        <w:spacing w:after="0" w:line="264" w:lineRule="auto"/>
        <w:tabs>
          <w:tab w:leader="none" w:pos="119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None of the Plains Entities or the GP Entities nor, to the knowledge of the Issuers, any director, officer or employee of the Plains</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or the GP Entities (in their capacity as director, officer or employee) has received notice that it is subject to any sanctions administered by the Office of Foreign Assets Control of the U.S. Treasury Department.</w:t>
      </w:r>
    </w:p>
    <w:p>
      <w:pPr>
        <w:spacing w:after="0" w:line="73" w:lineRule="exact"/>
        <w:rPr>
          <w:rFonts w:ascii="Arial" w:cs="Arial" w:eastAsia="Arial" w:hAnsi="Arial"/>
          <w:sz w:val="18"/>
          <w:szCs w:val="18"/>
          <w:color w:val="auto"/>
        </w:rPr>
      </w:pPr>
    </w:p>
    <w:p>
      <w:pPr>
        <w:ind w:right="140" w:firstLine="921"/>
        <w:spacing w:after="0" w:line="286" w:lineRule="auto"/>
        <w:tabs>
          <w:tab w:leader="none" w:pos="1218"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XBRL</w:t>
      </w:r>
      <w:r>
        <w:rPr>
          <w:rFonts w:ascii="Arial" w:cs="Arial" w:eastAsia="Arial" w:hAnsi="Arial"/>
          <w:sz w:val="17"/>
          <w:szCs w:val="17"/>
          <w:color w:val="auto"/>
        </w:rPr>
        <w:t>. The interactive data in eXtensible Business Reporting Language incorporated by reference in the Registration Statement, the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Package and the Prospectus fairly presents the information called for in all material respects and has been prepared in accordance with the Commission’s rules and guidelines applicable thereto.</w:t>
      </w:r>
    </w:p>
    <w:p>
      <w:pPr>
        <w:spacing w:after="0" w:line="57"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The applicable statements made in the certificates described in Sections 7(j) and 7(n) shall be deemed representations and warranties by the Issuers, as to matters covered thereby, to the Underwriters.</w:t>
      </w:r>
    </w:p>
    <w:p>
      <w:pPr>
        <w:spacing w:after="0" w:line="62" w:lineRule="exact"/>
        <w:rPr>
          <w:sz w:val="20"/>
          <w:szCs w:val="20"/>
          <w:color w:val="auto"/>
        </w:rPr>
      </w:pPr>
    </w:p>
    <w:p>
      <w:pPr>
        <w:ind w:right="60" w:firstLine="464"/>
        <w:spacing w:after="0" w:line="259"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xml:space="preserve">. Subject to the terms and conditions and in reliance upon the representations and warranties herein set forth, the Issuers agree to sell to each Underwriter, and each Underwriter agrees, severally and not jointly, to purchase from the Issuers the principal amount of Notes set forth opposite such Underwriter’s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at a purchase price of 99.192% of the principal amount thereof, plus accrued interest, if any, from the Delivery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ind w:left="-40" w:right="40" w:firstLine="464"/>
        <w:spacing w:after="0" w:line="272" w:lineRule="auto"/>
        <w:tabs>
          <w:tab w:leader="none" w:pos="59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and Payment</w:t>
      </w:r>
      <w:r>
        <w:rPr>
          <w:rFonts w:ascii="Arial" w:cs="Arial" w:eastAsia="Arial" w:hAnsi="Arial"/>
          <w:sz w:val="17"/>
          <w:szCs w:val="17"/>
          <w:color w:val="auto"/>
        </w:rPr>
        <w:t>. Delivery of and payment for the Notes shall be made at the office of Vinson &amp; Elkins L.L.P., 1001 Fannin, Houston, Texas 77002 at 9:00 a.m., Houston time, on September 9, 2014, or at such time on such later date not more than three business days after the foregoing date as the Representatives shall designate, which date and time may be postponed by agreement between the Representatives and the Issuers or as provided in Section 9 hereof (such date and time of delivery and payment for the Notes being herein called the “</w:t>
      </w:r>
      <w:r>
        <w:rPr>
          <w:rFonts w:ascii="Arial" w:cs="Arial" w:eastAsia="Arial" w:hAnsi="Arial"/>
          <w:sz w:val="17"/>
          <w:szCs w:val="17"/>
          <w:b w:val="1"/>
          <w:bCs w:val="1"/>
          <w:color w:val="auto"/>
        </w:rPr>
        <w:t>Delivery Date</w:t>
      </w:r>
      <w:r>
        <w:rPr>
          <w:rFonts w:ascii="Arial" w:cs="Arial" w:eastAsia="Arial" w:hAnsi="Arial"/>
          <w:sz w:val="17"/>
          <w:szCs w:val="17"/>
          <w:color w:val="auto"/>
        </w:rPr>
        <w:t>”). Payment for the Notes shall be made by wire transfer in immediately available funds to the account(s) specified by the Issuers to the Representatives against delivery of the Notes to the Underwriters through the facilities of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Concurrently, the Issuers shall deliver to the Trustee, as custodian for DTC, one or more global notes representing the Notes (collectively, the “</w:t>
      </w:r>
      <w:r>
        <w:rPr>
          <w:rFonts w:ascii="Arial" w:cs="Arial" w:eastAsia="Arial" w:hAnsi="Arial"/>
          <w:sz w:val="17"/>
          <w:szCs w:val="17"/>
          <w:b w:val="1"/>
          <w:bCs w:val="1"/>
          <w:color w:val="auto"/>
        </w:rPr>
        <w:t>Global Notes</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0" w:right="580" w:firstLine="464"/>
        <w:spacing w:after="0" w:line="277" w:lineRule="auto"/>
        <w:tabs>
          <w:tab w:leader="none" w:pos="59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Offering by the Underwriters</w:t>
      </w:r>
      <w:r>
        <w:rPr>
          <w:rFonts w:ascii="Arial" w:cs="Arial" w:eastAsia="Arial" w:hAnsi="Arial"/>
          <w:sz w:val="18"/>
          <w:szCs w:val="18"/>
          <w:color w:val="auto"/>
        </w:rPr>
        <w:t>. It is understood that the several Underwriters propose to offer the Notes for sale to the public as set forth in the Prospectus.</w:t>
      </w:r>
    </w:p>
    <w:p>
      <w:pPr>
        <w:spacing w:after="0" w:line="62" w:lineRule="exact"/>
        <w:rPr>
          <w:rFonts w:ascii="Arial" w:cs="Arial" w:eastAsia="Arial" w:hAnsi="Arial"/>
          <w:sz w:val="18"/>
          <w:szCs w:val="18"/>
          <w:color w:val="auto"/>
        </w:rPr>
      </w:pPr>
    </w:p>
    <w:p>
      <w:pPr>
        <w:ind w:left="600" w:hanging="17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Agreements of the Issuers</w:t>
      </w:r>
      <w:r>
        <w:rPr>
          <w:rFonts w:ascii="Arial" w:cs="Arial" w:eastAsia="Arial" w:hAnsi="Arial"/>
          <w:sz w:val="18"/>
          <w:szCs w:val="18"/>
          <w:color w:val="auto"/>
        </w:rPr>
        <w:t>. Each of the Issuers, jointly and severally, acknowledges and agrees with the Underwriters that:</w:t>
      </w:r>
    </w:p>
    <w:p>
      <w:pPr>
        <w:spacing w:after="0" w:line="117" w:lineRule="exact"/>
        <w:rPr>
          <w:rFonts w:ascii="Arial" w:cs="Arial" w:eastAsia="Arial" w:hAnsi="Arial"/>
          <w:sz w:val="18"/>
          <w:szCs w:val="18"/>
          <w:color w:val="auto"/>
        </w:rPr>
      </w:pPr>
    </w:p>
    <w:p>
      <w:pPr>
        <w:ind w:left="420" w:right="80" w:firstLine="443"/>
        <w:spacing w:after="0" w:line="259" w:lineRule="auto"/>
        <w:tabs>
          <w:tab w:leader="none" w:pos="1103"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Post-Effective Amendments</w:t>
      </w:r>
      <w:r>
        <w:rPr>
          <w:rFonts w:ascii="Arial" w:cs="Arial" w:eastAsia="Arial" w:hAnsi="Arial"/>
          <w:sz w:val="18"/>
          <w:szCs w:val="18"/>
          <w:color w:val="auto"/>
        </w:rPr>
        <w:t>. If, at the Applicable Time, it is necessary for a post-effective amendment to the Registration Statement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effective before the offering of the Notes may commence, the Issuers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spacing w:after="0" w:line="78" w:lineRule="exact"/>
        <w:rPr>
          <w:rFonts w:ascii="Arial" w:cs="Arial" w:eastAsia="Arial" w:hAnsi="Arial"/>
          <w:sz w:val="18"/>
          <w:szCs w:val="18"/>
          <w:color w:val="auto"/>
        </w:rPr>
      </w:pPr>
    </w:p>
    <w:p>
      <w:pPr>
        <w:ind w:left="420" w:firstLine="443"/>
        <w:spacing w:after="0" w:line="269" w:lineRule="auto"/>
        <w:tabs>
          <w:tab w:leader="none" w:pos="1113" w:val="left"/>
        </w:tabs>
        <w:numPr>
          <w:ilvl w:val="1"/>
          <w:numId w:val="20"/>
        </w:numPr>
        <w:rPr>
          <w:rFonts w:ascii="Arial" w:cs="Arial" w:eastAsia="Arial" w:hAnsi="Arial"/>
          <w:sz w:val="17"/>
          <w:szCs w:val="17"/>
          <w:color w:val="auto"/>
        </w:rPr>
      </w:pPr>
      <w:r>
        <w:rPr>
          <w:rFonts w:ascii="Arial" w:cs="Arial" w:eastAsia="Arial" w:hAnsi="Arial"/>
          <w:sz w:val="17"/>
          <w:szCs w:val="17"/>
          <w:i w:val="1"/>
          <w:iCs w:val="1"/>
          <w:color w:val="auto"/>
        </w:rPr>
        <w:t>Preparation of Prospectus and Registration Statement</w:t>
      </w:r>
      <w:r>
        <w:rPr>
          <w:rFonts w:ascii="Arial" w:cs="Arial" w:eastAsia="Arial" w:hAnsi="Arial"/>
          <w:sz w:val="17"/>
          <w:szCs w:val="17"/>
          <w:color w:val="auto"/>
        </w:rPr>
        <w:t>. The Issuers will advise the Representatives promptly and, if requested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paragraph (e)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80" w:top="274" w:right="259" w:bottom="1440" w:gutter="0" w:footer="0" w:header="0"/>
        </w:sectPr>
      </w:pPr>
    </w:p>
    <w:bookmarkStart w:id="18" w:name="page19"/>
    <w:bookmarkEnd w:id="18"/>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73" w:lineRule="exact"/>
        <w:rPr>
          <w:sz w:val="20"/>
          <w:szCs w:val="20"/>
          <w:color w:val="auto"/>
        </w:rPr>
      </w:pPr>
    </w:p>
    <w:p>
      <w:pPr>
        <w:ind w:firstLine="443"/>
        <w:spacing w:after="0" w:line="279" w:lineRule="auto"/>
        <w:tabs>
          <w:tab w:leader="none" w:pos="683"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Final Term Sheet and Issuer Free Writing Prospectuses</w:t>
      </w:r>
      <w:r>
        <w:rPr>
          <w:rFonts w:ascii="Arial" w:cs="Arial" w:eastAsia="Arial" w:hAnsi="Arial"/>
          <w:sz w:val="17"/>
          <w:szCs w:val="17"/>
          <w:color w:val="auto"/>
        </w:rPr>
        <w:t>. The Issuers agree to (i) prepare a final term sheet, containing a description of the final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terms of the Notes and the offering thereof, in the form approved by the Representatives and attached as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w:t>
      </w:r>
    </w:p>
    <w:p>
      <w:pPr>
        <w:spacing w:after="0" w:line="63" w:lineRule="exact"/>
        <w:rPr>
          <w:rFonts w:ascii="Arial" w:cs="Arial" w:eastAsia="Arial" w:hAnsi="Arial"/>
          <w:sz w:val="17"/>
          <w:szCs w:val="17"/>
          <w:color w:val="auto"/>
        </w:rPr>
      </w:pPr>
    </w:p>
    <w:p>
      <w:pPr>
        <w:ind w:right="160" w:firstLine="443"/>
        <w:spacing w:after="0" w:line="293" w:lineRule="auto"/>
        <w:tabs>
          <w:tab w:leader="none" w:pos="693"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Copies of Registration Statement</w:t>
      </w:r>
      <w:r>
        <w:rPr>
          <w:rFonts w:ascii="Arial" w:cs="Arial" w:eastAsia="Arial" w:hAnsi="Arial"/>
          <w:sz w:val="16"/>
          <w:szCs w:val="16"/>
          <w:color w:val="auto"/>
        </w:rPr>
        <w:t>. The Issuers will furnish to the Underwriters, without charge, (i) one copy of the manually signed copy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registration statement corresponding to the Commission’s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version filed with the Commission and of each amendment thereto, including financial statements and all exhibits to the registration statement, (ii) such number of conformed copies of the registration statement as originally filed and of each amendment thereto, but without exhibits, as the Underwriters or the Underwriters’ counsel may reasonably request, (iii) such number of copies of the Incorporated Documents, without exhibits, as the Underwriters may request, and (iv) such number of copies of the exhibits to the Incorporated Documents as the Underwriters may request.</w:t>
      </w:r>
    </w:p>
    <w:p>
      <w:pPr>
        <w:spacing w:after="0" w:line="56" w:lineRule="exact"/>
        <w:rPr>
          <w:rFonts w:ascii="Arial" w:cs="Arial" w:eastAsia="Arial" w:hAnsi="Arial"/>
          <w:sz w:val="16"/>
          <w:szCs w:val="16"/>
          <w:color w:val="auto"/>
        </w:rPr>
      </w:pPr>
    </w:p>
    <w:p>
      <w:pPr>
        <w:ind w:right="40" w:firstLine="443"/>
        <w:spacing w:after="0" w:line="271" w:lineRule="auto"/>
        <w:tabs>
          <w:tab w:leader="none" w:pos="683"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Filing of Amendment or Supplement</w:t>
      </w:r>
      <w:r>
        <w:rPr>
          <w:rFonts w:ascii="Arial" w:cs="Arial" w:eastAsia="Arial" w:hAnsi="Arial"/>
          <w:sz w:val="17"/>
          <w:szCs w:val="17"/>
          <w:color w:val="auto"/>
        </w:rPr>
        <w:t>. For such period as in the opinion of counsel for the Underwriters a prospectus is required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to be delivered in connection with sales by any Underwriter or dealer, the Issuers will not file any 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Issuers shall have determined based upon the advice of counsel that such amendment, supplement or other filing is required by law; and the Issuers will promptly notify the Representatives after they shall have received notice thereof of the time when any amendment to the Registration Statement becomes effective or when any supplement to the Prospectus has been filed.</w:t>
      </w:r>
    </w:p>
    <w:p>
      <w:pPr>
        <w:spacing w:after="0" w:line="70" w:lineRule="exact"/>
        <w:rPr>
          <w:rFonts w:ascii="Arial" w:cs="Arial" w:eastAsia="Arial" w:hAnsi="Arial"/>
          <w:sz w:val="17"/>
          <w:szCs w:val="17"/>
          <w:color w:val="auto"/>
        </w:rPr>
      </w:pPr>
    </w:p>
    <w:p>
      <w:pPr>
        <w:ind w:firstLine="443"/>
        <w:spacing w:after="0" w:line="257" w:lineRule="auto"/>
        <w:tabs>
          <w:tab w:leader="none" w:pos="663"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Copies of Documents to the Underwriters</w:t>
      </w:r>
      <w:r>
        <w:rPr>
          <w:rFonts w:ascii="Arial" w:cs="Arial" w:eastAsia="Arial" w:hAnsi="Arial"/>
          <w:sz w:val="18"/>
          <w:szCs w:val="18"/>
          <w:color w:val="auto"/>
        </w:rPr>
        <w:t>. As soon after the Applicable Time as possible and thereafter from time to time for such period as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opinion of counsel for the Underwriters a prospectus is required by the Securities Act to be delivered in connection with sales by any Underwriter or dealer, the Issuers will expeditiously deliver to each Underwriter and each dealer that the Underwriters may specify, without charge, as many copies of the Prospectus (and of any amendment or supplement thereto) as the Underwriters may reasonably request. At any time after nine months after the time</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74" w:right="259" w:bottom="1440" w:gutter="0" w:footer="0" w:header="0"/>
        </w:sectPr>
      </w:pPr>
    </w:p>
    <w:bookmarkStart w:id="19" w:name="page20"/>
    <w:bookmarkEnd w:id="1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issuance of the Prospectus, upon request and without charge, the Issuers will deliver as many copies of an amended or supplemented Prospectus complying with Section 10(a)(3) of the Securities Act as the Underwriters may reasonably request, provided that a prospectus is required by the Securities Act to be delivered in connection with sales of Notes by any Underwriter or dealer. The Issuers consent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dealer. If during such period of time any event shall occur that in the judgment of the Issuers or in the opinion of counsel for the Underwriters and the Issuers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Issuers will forthwith prepare and, subject to the provisions of paragraph (e) above, file with the Commission an appropriate supplement or amendment thereto (or to such document), and will expeditiously furnish to the Underwriters and dealers a reasonable number 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Issuers and the Representatives agree that the Prospectus should be amended or supplemented, the Issuers, if requested by the Representatives, will promptly issue a press release announcing or disclosing the matters to be covered by the proposed amendment or supplement unless the Issuers shall have determined, based on the advice of counsel, that the issuance of such press release would not be required by law.</w:t>
      </w:r>
    </w:p>
    <w:p>
      <w:pPr>
        <w:spacing w:after="0" w:line="67" w:lineRule="exact"/>
        <w:rPr>
          <w:sz w:val="20"/>
          <w:szCs w:val="20"/>
          <w:color w:val="auto"/>
        </w:rPr>
      </w:pPr>
    </w:p>
    <w:p>
      <w:pPr>
        <w:ind w:right="120" w:firstLine="443"/>
        <w:spacing w:after="0" w:line="254" w:lineRule="auto"/>
        <w:tabs>
          <w:tab w:leader="none" w:pos="693"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Blue Sky Laws</w:t>
      </w:r>
      <w:r>
        <w:rPr>
          <w:rFonts w:ascii="Arial" w:cs="Arial" w:eastAsia="Arial" w:hAnsi="Arial"/>
          <w:sz w:val="18"/>
          <w:szCs w:val="18"/>
          <w:color w:val="auto"/>
        </w:rPr>
        <w:t>. The Issuers will cooperate with the Representatives and with counsel for the Underwriters in connection with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Issuers will promptly notify the Representatives of the receipt by the Issuers of any notification with respect to the suspension of the qualification of the Notes for sale in any jurisdiction or the initiation or threatening of any proceeding for such purpose.</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20" w:name="page21"/>
    <w:bookmarkEnd w:id="20"/>
    <w:p>
      <w:pPr>
        <w:jc w:val="both"/>
        <w:ind w:right="100" w:firstLine="443"/>
        <w:spacing w:after="0" w:line="279" w:lineRule="auto"/>
        <w:tabs>
          <w:tab w:leader="none" w:pos="693"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Reports to Security Holders</w:t>
      </w:r>
      <w:r>
        <w:rPr>
          <w:rFonts w:ascii="Arial" w:cs="Arial" w:eastAsia="Arial" w:hAnsi="Arial"/>
          <w:sz w:val="17"/>
          <w:szCs w:val="17"/>
          <w:color w:val="auto"/>
        </w:rPr>
        <w:t>. In accordance with Section 11(a) of the Securities Act and Rule 158 of the Rules and Regulations, the Issuers</w:t>
      </w:r>
      <w:r>
        <w:rPr>
          <w:rFonts w:ascii="Arial" w:cs="Arial" w:eastAsia="Arial" w:hAnsi="Arial"/>
          <w:sz w:val="17"/>
          <w:szCs w:val="17"/>
          <w:i w:val="1"/>
          <w:iCs w:val="1"/>
          <w:color w:val="auto"/>
        </w:rPr>
        <w:t xml:space="preserve"> </w:t>
      </w:r>
      <w:r>
        <w:rPr>
          <w:rFonts w:ascii="Arial" w:cs="Arial" w:eastAsia="Arial" w:hAnsi="Arial"/>
          <w:sz w:val="17"/>
          <w:szCs w:val="17"/>
          <w:color w:val="auto"/>
        </w:rPr>
        <w:t>will make generally available to their security holders an earnings statement (which need not be audited) in reasonable detail covering the 12-month period beginning not later than the first day of the month next succeeding the month in which occurred the effective date (within the meaning of such Rule 158) of the Registration Statement as soon as practicable after the end of such period.</w:t>
      </w:r>
    </w:p>
    <w:p>
      <w:pPr>
        <w:spacing w:after="0" w:line="63" w:lineRule="exact"/>
        <w:rPr>
          <w:rFonts w:ascii="Arial" w:cs="Arial" w:eastAsia="Arial" w:hAnsi="Arial"/>
          <w:sz w:val="17"/>
          <w:szCs w:val="17"/>
          <w:color w:val="auto"/>
        </w:rPr>
      </w:pPr>
    </w:p>
    <w:p>
      <w:pPr>
        <w:ind w:firstLine="443"/>
        <w:spacing w:after="0" w:line="259" w:lineRule="auto"/>
        <w:tabs>
          <w:tab w:leader="none" w:pos="65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Copies of Reports</w:t>
      </w:r>
      <w:r>
        <w:rPr>
          <w:rFonts w:ascii="Arial" w:cs="Arial" w:eastAsia="Arial" w:hAnsi="Arial"/>
          <w:sz w:val="18"/>
          <w:szCs w:val="18"/>
          <w:color w:val="auto"/>
        </w:rPr>
        <w:t>. Unless otherwise available on EDGAR, during the period of two years hereafter, the Issuers will furnish or make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Underwriters (i) as soon as publicly available, a copy of each report of the Issuers mailed to unitholders or filed with the Commission or the principal national securities exchange or automated quotation system upon which the Notes may be listed, and (ii) from time to time such other information concerning the Issuers as the Underwriters may reasonably request.</w:t>
      </w:r>
    </w:p>
    <w:p>
      <w:pPr>
        <w:spacing w:after="0" w:line="78" w:lineRule="exact"/>
        <w:rPr>
          <w:rFonts w:ascii="Arial" w:cs="Arial" w:eastAsia="Arial" w:hAnsi="Arial"/>
          <w:sz w:val="18"/>
          <w:szCs w:val="18"/>
          <w:color w:val="auto"/>
        </w:rPr>
      </w:pPr>
    </w:p>
    <w:p>
      <w:pPr>
        <w:ind w:firstLine="443"/>
        <w:spacing w:after="0" w:line="276" w:lineRule="auto"/>
        <w:tabs>
          <w:tab w:leader="none" w:pos="653"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Termination Expenses</w:t>
      </w:r>
      <w:r>
        <w:rPr>
          <w:rFonts w:ascii="Arial" w:cs="Arial" w:eastAsia="Arial" w:hAnsi="Arial"/>
          <w:sz w:val="17"/>
          <w:szCs w:val="17"/>
          <w:color w:val="auto"/>
        </w:rPr>
        <w:t>. If this Agreement shall terminate or shall be terminated after execution pursuant to any provisions hereof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than pursuant to Section 9 hereof or Section 10 hereof (except pursuant to the first clause of Section 10(i))) or if this Agreement shall be terminated by the Underwriters because of any failure or refusal on the part of either of the Issuers to comply with the terms or fulfill any of the conditions of this Agreement, the Issuers, jointly and severally, agree to reimburse the Underwriters for all reasonable out-of-pocket expenses (including reasonable fees and expenses of counsel for the Underwriters) incurred by the Underwriters in connection herewith.</w:t>
      </w:r>
    </w:p>
    <w:p>
      <w:pPr>
        <w:spacing w:after="0" w:line="64" w:lineRule="exact"/>
        <w:rPr>
          <w:rFonts w:ascii="Arial" w:cs="Arial" w:eastAsia="Arial" w:hAnsi="Arial"/>
          <w:sz w:val="17"/>
          <w:szCs w:val="17"/>
          <w:color w:val="auto"/>
        </w:rPr>
      </w:pPr>
    </w:p>
    <w:p>
      <w:pPr>
        <w:ind w:right="20" w:firstLine="443"/>
        <w:spacing w:after="0" w:line="277" w:lineRule="auto"/>
        <w:tabs>
          <w:tab w:leader="none" w:pos="69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Application of Proceeds</w:t>
      </w:r>
      <w:r>
        <w:rPr>
          <w:rFonts w:ascii="Arial" w:cs="Arial" w:eastAsia="Arial" w:hAnsi="Arial"/>
          <w:sz w:val="18"/>
          <w:szCs w:val="18"/>
          <w:color w:val="auto"/>
        </w:rPr>
        <w:t>. The Issuers will apply the net proceeds from the sale of the Notes in accordance with the description set forth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caption “Use of Proceeds” in the Pricing Disclosure Package and the Prospectus.</w:t>
      </w:r>
    </w:p>
    <w:p>
      <w:pPr>
        <w:spacing w:after="0" w:line="62" w:lineRule="exact"/>
        <w:rPr>
          <w:rFonts w:ascii="Arial" w:cs="Arial" w:eastAsia="Arial" w:hAnsi="Arial"/>
          <w:sz w:val="18"/>
          <w:szCs w:val="18"/>
          <w:color w:val="auto"/>
        </w:rPr>
      </w:pPr>
    </w:p>
    <w:p>
      <w:pPr>
        <w:ind w:right="200" w:firstLine="443"/>
        <w:spacing w:after="0" w:line="277" w:lineRule="auto"/>
        <w:tabs>
          <w:tab w:leader="none" w:pos="65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Filing of Prospectus</w:t>
      </w:r>
      <w:r>
        <w:rPr>
          <w:rFonts w:ascii="Arial" w:cs="Arial" w:eastAsia="Arial" w:hAnsi="Arial"/>
          <w:sz w:val="18"/>
          <w:szCs w:val="18"/>
          <w:color w:val="auto"/>
        </w:rPr>
        <w:t>. The Issuers will timely file the Prospectus, and any amendment or supplement thereto, pursuant to Rule 424(b)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Rules and Regulations and will advise the Underwriters of the time and manner of such filing.</w:t>
      </w:r>
    </w:p>
    <w:p>
      <w:pPr>
        <w:spacing w:after="0" w:line="62" w:lineRule="exact"/>
        <w:rPr>
          <w:rFonts w:ascii="Arial" w:cs="Arial" w:eastAsia="Arial" w:hAnsi="Arial"/>
          <w:sz w:val="18"/>
          <w:szCs w:val="18"/>
          <w:color w:val="auto"/>
        </w:rPr>
      </w:pPr>
    </w:p>
    <w:p>
      <w:pPr>
        <w:jc w:val="both"/>
        <w:ind w:right="100" w:firstLine="443"/>
        <w:spacing w:after="0" w:line="264" w:lineRule="auto"/>
        <w:tabs>
          <w:tab w:leader="none" w:pos="74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Stabilization</w:t>
      </w:r>
      <w:r>
        <w:rPr>
          <w:rFonts w:ascii="Arial" w:cs="Arial" w:eastAsia="Arial" w:hAnsi="Arial"/>
          <w:sz w:val="18"/>
          <w:szCs w:val="18"/>
          <w:color w:val="auto"/>
        </w:rPr>
        <w:t>. Except as stated in this Agreement and the Prospectus, neither of the Issuers has taken, or will take, directly or indirectly,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designed to or that might reasonably be expected to cause or result in stabilization or manipulation of the price of any security of the Issuers to facilitate the sale or resale of the Notes.</w:t>
      </w:r>
    </w:p>
    <w:p>
      <w:pPr>
        <w:spacing w:after="0" w:line="73" w:lineRule="exact"/>
        <w:rPr>
          <w:rFonts w:ascii="Arial" w:cs="Arial" w:eastAsia="Arial" w:hAnsi="Arial"/>
          <w:sz w:val="18"/>
          <w:szCs w:val="18"/>
          <w:color w:val="auto"/>
        </w:rPr>
      </w:pPr>
    </w:p>
    <w:p>
      <w:pPr>
        <w:ind w:right="80" w:firstLine="443"/>
        <w:spacing w:after="0" w:line="264" w:lineRule="auto"/>
        <w:tabs>
          <w:tab w:leader="none" w:pos="69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Investment Company</w:t>
      </w:r>
      <w:r>
        <w:rPr>
          <w:rFonts w:ascii="Arial" w:cs="Arial" w:eastAsia="Arial" w:hAnsi="Arial"/>
          <w:sz w:val="18"/>
          <w:szCs w:val="18"/>
          <w:color w:val="auto"/>
        </w:rPr>
        <w:t>. The Issuers will take such steps as shall be necessary to ensure that none of the Plains Entities or the GP Entities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become an “investment company” within the meaning of such term under the Investment Company Act and the rules and regulations of the Commission thereunder.</w:t>
      </w:r>
    </w:p>
    <w:p>
      <w:pPr>
        <w:spacing w:after="0" w:line="73" w:lineRule="exact"/>
        <w:rPr>
          <w:rFonts w:ascii="Arial" w:cs="Arial" w:eastAsia="Arial" w:hAnsi="Arial"/>
          <w:sz w:val="18"/>
          <w:szCs w:val="18"/>
          <w:color w:val="auto"/>
        </w:rPr>
      </w:pPr>
    </w:p>
    <w:p>
      <w:pPr>
        <w:ind w:right="220" w:firstLine="443"/>
        <w:spacing w:after="0" w:line="342" w:lineRule="auto"/>
        <w:tabs>
          <w:tab w:leader="none" w:pos="693"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Exchange Act Reports</w:t>
      </w:r>
      <w:r>
        <w:rPr>
          <w:rFonts w:ascii="Arial" w:cs="Arial" w:eastAsia="Arial" w:hAnsi="Arial"/>
          <w:sz w:val="16"/>
          <w:szCs w:val="16"/>
          <w:color w:val="auto"/>
        </w:rPr>
        <w:t>. The Issuers, during the period when the Prospectus is required to be delivered under the Securities Act, will file all</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required to be filed with the Commission pursuant to the Exchange Act within the time periods required by the Exchange Act.</w:t>
      </w:r>
    </w:p>
    <w:p>
      <w:pPr>
        <w:spacing w:after="0" w:line="5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700" w:top="274" w:right="339" w:bottom="1440" w:gutter="0" w:footer="0" w:header="0"/>
        </w:sectPr>
      </w:pPr>
    </w:p>
    <w:bookmarkStart w:id="21" w:name="page22"/>
    <w:bookmarkEnd w:id="21"/>
    <w:p>
      <w:pPr>
        <w:ind w:right="180" w:firstLine="443"/>
        <w:spacing w:after="0" w:line="269" w:lineRule="auto"/>
        <w:tabs>
          <w:tab w:leader="none" w:pos="693" w:val="left"/>
        </w:tabs>
        <w:numPr>
          <w:ilvl w:val="1"/>
          <w:numId w:val="2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Free Writing Prospectuses</w:t>
      </w:r>
      <w:r>
        <w:rPr>
          <w:rFonts w:ascii="Arial" w:cs="Arial" w:eastAsia="Arial" w:hAnsi="Arial"/>
          <w:sz w:val="17"/>
          <w:szCs w:val="17"/>
          <w:color w:val="auto"/>
        </w:rPr>
        <w:t>. The Issuers have complied and will comply with the requirements of Rule 433 of the Rules and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applicable to any Issuer Free Writing Prospectus, including appropriate legending and timely filing with the Commission or retention where required. The Issuers represent that they have satisfied and agree that they will satisfy the conditions under Rule 433 of the Rules and Regulations to avoid a requirement to file with the Commission any electronic road show. The Issuers agree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Issuers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representation and warranty shall not apply to any statements or omissions in an Issuer Free Writing Prospectus made in reliance upon and in conformity with information furnished in writing to the Issuers by an Underwriter through the Representatives expressly for use therein, which information is specified in Section 12.</w:t>
      </w:r>
    </w:p>
    <w:p>
      <w:pPr>
        <w:spacing w:after="0" w:line="71" w:lineRule="exact"/>
        <w:rPr>
          <w:rFonts w:ascii="Arial" w:cs="Arial" w:eastAsia="Arial" w:hAnsi="Arial"/>
          <w:sz w:val="17"/>
          <w:szCs w:val="17"/>
          <w:color w:val="auto"/>
        </w:rPr>
      </w:pPr>
    </w:p>
    <w:p>
      <w:pPr>
        <w:ind w:right="60" w:firstLine="443"/>
        <w:spacing w:after="0" w:line="264" w:lineRule="auto"/>
        <w:tabs>
          <w:tab w:leader="none" w:pos="693"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Clear Market</w:t>
      </w:r>
      <w:r>
        <w:rPr>
          <w:rFonts w:ascii="Arial" w:cs="Arial" w:eastAsia="Arial" w:hAnsi="Arial"/>
          <w:sz w:val="18"/>
          <w:szCs w:val="18"/>
          <w:color w:val="auto"/>
        </w:rPr>
        <w:t>. During the period from the date hereof through and including the business day following the Delivery Date, the Issuers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without the prior written consent of the Representatives, offer, sell, contract to sell or otherwise dispose of any debt securities issued or guaranteed by the Issuers and having a tenor of more than one year.</w:t>
      </w:r>
    </w:p>
    <w:p>
      <w:pPr>
        <w:spacing w:after="0" w:line="73" w:lineRule="exact"/>
        <w:rPr>
          <w:rFonts w:ascii="Arial" w:cs="Arial" w:eastAsia="Arial" w:hAnsi="Arial"/>
          <w:sz w:val="18"/>
          <w:szCs w:val="18"/>
          <w:color w:val="auto"/>
        </w:rPr>
      </w:pPr>
    </w:p>
    <w:p>
      <w:pPr>
        <w:ind w:left="180" w:hanging="176"/>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443"/>
        <w:spacing w:after="0" w:line="284" w:lineRule="auto"/>
        <w:tabs>
          <w:tab w:leader="none" w:pos="683" w:val="left"/>
        </w:tabs>
        <w:numPr>
          <w:ilvl w:val="1"/>
          <w:numId w:val="25"/>
        </w:numPr>
        <w:rPr>
          <w:rFonts w:ascii="Arial" w:cs="Arial" w:eastAsia="Arial" w:hAnsi="Arial"/>
          <w:sz w:val="16"/>
          <w:szCs w:val="16"/>
          <w:color w:val="auto"/>
        </w:rPr>
      </w:pPr>
      <w:r>
        <w:rPr>
          <w:rFonts w:ascii="Arial" w:cs="Arial" w:eastAsia="Arial" w:hAnsi="Arial"/>
          <w:sz w:val="16"/>
          <w:szCs w:val="16"/>
          <w:color w:val="auto"/>
        </w:rPr>
        <w:t>Each of the Issuers, jointly and severally, agrees to indemnify and hold harmless each Underwriter, the directors, officers, employees and agents of each Underwriter, each affiliate of any Underwriter who has participated in the distribution of the Notes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w:t>
      </w:r>
    </w:p>
    <w:p>
      <w:pPr>
        <w:spacing w:after="0" w:line="1" w:lineRule="exact"/>
        <w:rPr>
          <w:rFonts w:ascii="Arial" w:cs="Arial" w:eastAsia="Arial" w:hAnsi="Arial"/>
          <w:sz w:val="16"/>
          <w:szCs w:val="16"/>
          <w:color w:val="auto"/>
        </w:rPr>
      </w:pPr>
    </w:p>
    <w:p>
      <w:pPr>
        <w:ind w:firstLine="4"/>
        <w:spacing w:after="0" w:line="254"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 the Rules and Regulations) not constituting an Issuer Free Writing Prospectus (a “</w:t>
      </w:r>
      <w:r>
        <w:rPr>
          <w:rFonts w:ascii="Arial" w:cs="Arial" w:eastAsia="Arial" w:hAnsi="Arial"/>
          <w:sz w:val="18"/>
          <w:szCs w:val="18"/>
          <w:b w:val="1"/>
          <w:bCs w:val="1"/>
          <w:color w:val="auto"/>
        </w:rPr>
        <w:t>Non-Prospectus Road Show</w:t>
      </w:r>
      <w:r>
        <w:rPr>
          <w:rFonts w:ascii="Arial" w:cs="Arial" w:eastAsia="Arial" w:hAnsi="Arial"/>
          <w:sz w:val="18"/>
          <w:szCs w:val="18"/>
          <w:color w:val="auto"/>
        </w:rPr>
        <w:t>”)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74" w:right="259" w:bottom="1440" w:gutter="0" w:footer="0" w:header="0"/>
        </w:sectPr>
      </w:pPr>
    </w:p>
    <w:bookmarkStart w:id="22" w:name="page23"/>
    <w:bookmarkEnd w:id="22"/>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Issuers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Section 12. The foregoing indemnity agreement is in addition to any liability that the Issuers may otherwise have to any Underwriter or to any director, officer, employee or controlling person of that Underwriter.</w:t>
      </w:r>
    </w:p>
    <w:p>
      <w:pPr>
        <w:spacing w:after="0" w:line="70" w:lineRule="exact"/>
        <w:rPr>
          <w:sz w:val="20"/>
          <w:szCs w:val="20"/>
          <w:color w:val="auto"/>
        </w:rPr>
      </w:pPr>
    </w:p>
    <w:p>
      <w:pPr>
        <w:ind w:firstLine="443"/>
        <w:spacing w:after="0" w:line="268" w:lineRule="auto"/>
        <w:tabs>
          <w:tab w:leader="none" w:pos="693"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Issuers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Issuers have agreed in writing to pay such fees and expenses, (ii) the Issuers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Issuers (in which case the Issuers shall not have the right to direct the defense of such action, suit or proceeding on behalf of the indemnified party or parties), in any of which events the Issuers shall pay the reasonable fees and expenses of such counsel as such fees and expenses are incurred (it being understood, however, that the Issuers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23" w:name="page24"/>
    <w:bookmarkEnd w:id="23"/>
    <w:p>
      <w:pPr>
        <w:ind w:firstLine="443"/>
        <w:spacing w:after="0" w:line="283" w:lineRule="auto"/>
        <w:tabs>
          <w:tab w:leader="none" w:pos="683" w:val="left"/>
        </w:tabs>
        <w:numPr>
          <w:ilvl w:val="1"/>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Underwriter agrees, severally and not jointly, to indemnify and hold harmless the Issuers, GP LLC’s directors and the officers who sign the Registration Statement, and any person who controls either of the Issuers within the meaning of Section 15 of the Securities Act or Section 20 of the Exchange Act, to the same extent as the foregoing indemnity from the Issuers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Section 12. If any action, suit or 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paragraph (c), such Underwriter shall have the rights and duties given to the Issuers by paragraph (b) above (except that if the Issuers shall have assumed the defense thereof such Underwriter shall not be required to do so, but may employ separate counsel therein and participate in (but not control) the defense thereof, but the fees and expenses of such counsel shall be at such Underwriter’s expense), and the Issuers, any of such directors and officers and any such controlling person shall have the rights and duties given to the Underwriters by paragraph</w:t>
      </w:r>
    </w:p>
    <w:p>
      <w:pPr>
        <w:spacing w:after="0" w:line="3" w:lineRule="exact"/>
        <w:rPr>
          <w:rFonts w:ascii="Arial" w:cs="Arial" w:eastAsia="Arial" w:hAnsi="Arial"/>
          <w:sz w:val="16"/>
          <w:szCs w:val="16"/>
          <w:color w:val="auto"/>
        </w:rPr>
      </w:pPr>
    </w:p>
    <w:p>
      <w:pPr>
        <w:ind w:left="260" w:hanging="256"/>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above. The foregoing indemnity agreement shall be in addition to any liability that the Underwriters may otherwise have.</w:t>
      </w:r>
    </w:p>
    <w:p>
      <w:pPr>
        <w:spacing w:after="0" w:line="102" w:lineRule="exact"/>
        <w:rPr>
          <w:rFonts w:ascii="Arial" w:cs="Arial" w:eastAsia="Arial" w:hAnsi="Arial"/>
          <w:sz w:val="18"/>
          <w:szCs w:val="18"/>
          <w:color w:val="auto"/>
        </w:rPr>
      </w:pPr>
    </w:p>
    <w:p>
      <w:pPr>
        <w:ind w:right="100" w:firstLine="443"/>
        <w:spacing w:after="0" w:line="286" w:lineRule="auto"/>
        <w:tabs>
          <w:tab w:leader="none" w:pos="693"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6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Issuers on the one hand and the Underwriters on the other hand from the offering of the Notes, or (ii) if the allocation provided by clause (i) above is not permitted by applicable law, in such proportion as is appropriate to reflect not only the relative benefits referred to in clause (i) above but also the relative fault of the Issuers on the one hand and the Underwriters on the other in connection with the statements or omissions that resulted in such losses, claims, damages, liabilities or expenses, as well as any other relevant equitable considerations. The relative benefits received by the Issuers on the one hand and the Underwriters on the other shall be deemed to be in the same proportion as the total net proceeds from the offering (before deducting expenses) received by the Issuers bear to the total underwriting discounts and commissions received by the Underwriters, in each case as set forth in the table on the cover page of the Prospectus. The relative fault of the Issuers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Issuers or any affiliate of the Issuers on the one hand, or by the Underwriters on the other hand, and the parties’ relative intent, knowledge, access to information and opportunity to correct or prevent such statement or omission.</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74" w:right="239" w:bottom="1440" w:gutter="0" w:footer="0" w:header="0"/>
        </w:sectPr>
      </w:pPr>
    </w:p>
    <w:bookmarkStart w:id="24" w:name="page25"/>
    <w:bookmarkEnd w:id="24"/>
    <w:p>
      <w:pPr>
        <w:ind w:firstLine="443"/>
        <w:spacing w:after="0" w:line="288" w:lineRule="auto"/>
        <w:tabs>
          <w:tab w:leader="none" w:pos="683" w:val="left"/>
        </w:tabs>
        <w:numPr>
          <w:ilvl w:val="1"/>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Issuers and the Underwriters agree that it would not be just and equitable if contribution pursuant to this Section 6 were determined by a pro rata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6, no Underwriter shall be required to contribute any amount in excess of the amount by which the total price of the Notes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6 are several and not joint.</w:t>
      </w:r>
    </w:p>
    <w:p>
      <w:pPr>
        <w:spacing w:after="0" w:line="61" w:lineRule="exact"/>
        <w:rPr>
          <w:rFonts w:ascii="Arial" w:cs="Arial" w:eastAsia="Arial" w:hAnsi="Arial"/>
          <w:sz w:val="16"/>
          <w:szCs w:val="16"/>
          <w:color w:val="auto"/>
        </w:rPr>
      </w:pPr>
    </w:p>
    <w:p>
      <w:pPr>
        <w:ind w:right="20" w:firstLine="443"/>
        <w:spacing w:after="0" w:line="285" w:lineRule="auto"/>
        <w:tabs>
          <w:tab w:leader="none" w:pos="663" w:val="left"/>
        </w:tabs>
        <w:numPr>
          <w:ilvl w:val="1"/>
          <w:numId w:val="30"/>
        </w:numPr>
        <w:rPr>
          <w:rFonts w:ascii="Arial" w:cs="Arial" w:eastAsia="Arial" w:hAnsi="Arial"/>
          <w:sz w:val="16"/>
          <w:szCs w:val="16"/>
          <w:color w:val="auto"/>
        </w:rPr>
      </w:pPr>
      <w:r>
        <w:rPr>
          <w:rFonts w:ascii="Arial" w:cs="Arial" w:eastAsia="Arial" w:hAnsi="Arial"/>
          <w:sz w:val="16"/>
          <w:szCs w:val="16"/>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w:t>
      </w:r>
    </w:p>
    <w:p>
      <w:pPr>
        <w:spacing w:after="0" w:line="2" w:lineRule="exact"/>
        <w:rPr>
          <w:rFonts w:ascii="Arial" w:cs="Arial" w:eastAsia="Arial" w:hAnsi="Arial"/>
          <w:sz w:val="16"/>
          <w:szCs w:val="16"/>
          <w:color w:val="auto"/>
        </w:rPr>
      </w:pPr>
    </w:p>
    <w:p>
      <w:pPr>
        <w:ind w:right="40" w:firstLine="4"/>
        <w:spacing w:after="0" w:line="277" w:lineRule="auto"/>
        <w:tabs>
          <w:tab w:leader="none" w:pos="265" w:val="left"/>
        </w:tabs>
        <w:numPr>
          <w:ilvl w:val="0"/>
          <w:numId w:val="31"/>
        </w:numPr>
        <w:rPr>
          <w:rFonts w:ascii="Arial" w:cs="Arial" w:eastAsia="Arial" w:hAnsi="Arial"/>
          <w:sz w:val="17"/>
          <w:szCs w:val="17"/>
          <w:color w:val="auto"/>
        </w:rPr>
      </w:pPr>
      <w:r>
        <w:rPr>
          <w:rFonts w:ascii="Arial" w:cs="Arial" w:eastAsia="Arial" w:hAnsi="Arial"/>
          <w:sz w:val="17"/>
          <w:szCs w:val="17"/>
          <w:color w:val="auto"/>
        </w:rPr>
        <w:t>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65" w:lineRule="exact"/>
        <w:rPr>
          <w:rFonts w:ascii="Arial" w:cs="Arial" w:eastAsia="Arial" w:hAnsi="Arial"/>
          <w:sz w:val="17"/>
          <w:szCs w:val="17"/>
          <w:color w:val="auto"/>
        </w:rPr>
      </w:pPr>
    </w:p>
    <w:p>
      <w:pPr>
        <w:ind w:right="20" w:firstLine="443"/>
        <w:spacing w:after="0" w:line="293" w:lineRule="auto"/>
        <w:tabs>
          <w:tab w:leader="none" w:pos="693"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losses, claims, damages, liabilities or expenses for which an indemnified party is entitled to indemnification or contribution under this Section 6 shall be paid by the indemnifying party to the indemnified party as such losses, claims, damages, liabilities or expenses are incurred. The indemnity and contribution agreements contained in this Section 6 and the covenants, representations and warranties of the Issuers set forth in this Agreement shall remain operative and in full force and effect, regardless of (i) any investigation made by or on behalf of any Underwriter or any person controlling any Underwriter or the Issuers, GP LLC or any of their respective directors or officers or any person controlling the Issuers, (ii) acceptance of any Notes and payment therefor in accordance with the terms of this Agreement, and (iii) any termination of this</w:t>
      </w:r>
    </w:p>
    <w:p>
      <w:pPr>
        <w:spacing w:after="0" w:line="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4" w:right="239" w:bottom="1440" w:gutter="0" w:footer="0" w:header="0"/>
        </w:sectPr>
      </w:pPr>
    </w:p>
    <w:bookmarkStart w:id="25" w:name="page26"/>
    <w:bookmarkEnd w:id="25"/>
    <w:p>
      <w:pPr>
        <w:ind w:left="42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 successor to any Underwriter or any person controlling any Underwriter, or to the Issuers, GP LLC or any of their respective directors or officers or any person controlling an Issuer shall be entitled to the benefits of the indemnity, contribution and reimbursement agreements contained in this Section 6.</w:t>
      </w:r>
    </w:p>
    <w:p>
      <w:pPr>
        <w:spacing w:after="0" w:line="73" w:lineRule="exact"/>
        <w:rPr>
          <w:sz w:val="20"/>
          <w:szCs w:val="20"/>
          <w:color w:val="auto"/>
        </w:rPr>
      </w:pPr>
    </w:p>
    <w:p>
      <w:pPr>
        <w:ind w:left="-40" w:right="340" w:firstLine="464"/>
        <w:spacing w:after="0" w:line="277" w:lineRule="auto"/>
        <w:tabs>
          <w:tab w:leader="none" w:pos="59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several obligations of the Underwriters to purchase the Notes are subject to the following conditions:</w:t>
      </w:r>
    </w:p>
    <w:p>
      <w:pPr>
        <w:spacing w:after="0" w:line="62" w:lineRule="exact"/>
        <w:rPr>
          <w:rFonts w:ascii="Arial" w:cs="Arial" w:eastAsia="Arial" w:hAnsi="Arial"/>
          <w:sz w:val="18"/>
          <w:szCs w:val="18"/>
          <w:color w:val="auto"/>
        </w:rPr>
      </w:pPr>
    </w:p>
    <w:p>
      <w:pPr>
        <w:ind w:left="420" w:firstLine="443"/>
        <w:spacing w:after="0" w:line="272" w:lineRule="auto"/>
        <w:tabs>
          <w:tab w:leader="none" w:pos="1103"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filings required by Rule 424 and Rule 430B of the Rules and Regulations shall have been made. All material required to be filed by the Issuers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Issuers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spacing w:after="0" w:line="69" w:lineRule="exact"/>
        <w:rPr>
          <w:rFonts w:ascii="Arial" w:cs="Arial" w:eastAsia="Arial" w:hAnsi="Arial"/>
          <w:sz w:val="17"/>
          <w:szCs w:val="17"/>
          <w:color w:val="auto"/>
        </w:rPr>
      </w:pPr>
    </w:p>
    <w:p>
      <w:pPr>
        <w:ind w:left="420" w:right="20" w:firstLine="443"/>
        <w:spacing w:after="0" w:line="271" w:lineRule="auto"/>
        <w:tabs>
          <w:tab w:leader="none" w:pos="1113" w:val="left"/>
        </w:tabs>
        <w:numPr>
          <w:ilvl w:val="1"/>
          <w:numId w:val="32"/>
        </w:numPr>
        <w:rPr>
          <w:rFonts w:ascii="Arial" w:cs="Arial" w:eastAsia="Arial" w:hAnsi="Arial"/>
          <w:sz w:val="17"/>
          <w:szCs w:val="17"/>
          <w:color w:val="auto"/>
        </w:rPr>
      </w:pPr>
      <w:r>
        <w:rPr>
          <w:rFonts w:ascii="Arial" w:cs="Arial" w:eastAsia="Arial" w:hAnsi="Arial"/>
          <w:sz w:val="17"/>
          <w:szCs w:val="17"/>
          <w:color w:val="auto"/>
        </w:rPr>
        <w:t>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Issuers and their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w:t>
      </w:r>
    </w:p>
    <w:p>
      <w:pPr>
        <w:spacing w:after="0" w:line="70" w:lineRule="exact"/>
        <w:rPr>
          <w:rFonts w:ascii="Arial" w:cs="Arial" w:eastAsia="Arial" w:hAnsi="Arial"/>
          <w:sz w:val="17"/>
          <w:szCs w:val="17"/>
          <w:color w:val="auto"/>
        </w:rPr>
      </w:pPr>
    </w:p>
    <w:p>
      <w:pPr>
        <w:ind w:left="420" w:right="60" w:firstLine="443"/>
        <w:spacing w:after="0" w:line="277" w:lineRule="auto"/>
        <w:tabs>
          <w:tab w:leader="none" w:pos="1103"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Vinson &amp; Elkins L.L.P., counsel for the Issuers, dated the Delivery Date and addressed to the Underwriters, to the effect that:</w:t>
      </w:r>
    </w:p>
    <w:p>
      <w:pPr>
        <w:spacing w:after="0" w:line="62" w:lineRule="exact"/>
        <w:rPr>
          <w:rFonts w:ascii="Arial" w:cs="Arial" w:eastAsia="Arial" w:hAnsi="Arial"/>
          <w:sz w:val="18"/>
          <w:szCs w:val="18"/>
          <w:color w:val="auto"/>
        </w:rPr>
      </w:pPr>
    </w:p>
    <w:p>
      <w:pPr>
        <w:ind w:left="880" w:right="100" w:firstLine="421"/>
        <w:spacing w:after="0" w:line="259" w:lineRule="auto"/>
        <w:tabs>
          <w:tab w:leader="none" w:pos="1515" w:val="left"/>
        </w:tabs>
        <w:numPr>
          <w:ilvl w:val="2"/>
          <w:numId w:val="32"/>
        </w:numPr>
        <w:rPr>
          <w:rFonts w:ascii="Arial" w:cs="Arial" w:eastAsia="Arial" w:hAnsi="Arial"/>
          <w:sz w:val="18"/>
          <w:szCs w:val="18"/>
          <w:color w:val="auto"/>
        </w:rPr>
      </w:pPr>
      <w:r>
        <w:rPr>
          <w:rFonts w:ascii="Arial" w:cs="Arial" w:eastAsia="Arial" w:hAnsi="Arial"/>
          <w:sz w:val="18"/>
          <w:szCs w:val="18"/>
          <w:color w:val="auto"/>
        </w:rPr>
        <w:t>Each of the Issuers, the GP Entities and the Domestic Subsidiaries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80" w:top="274" w:right="259" w:bottom="1440" w:gutter="0" w:footer="0" w:header="0"/>
        </w:sectPr>
      </w:pPr>
    </w:p>
    <w:bookmarkStart w:id="26" w:name="page27"/>
    <w:bookmarkEnd w:id="26"/>
    <w:p>
      <w:pPr>
        <w:ind w:left="-1" w:right="100" w:firstLine="421"/>
        <w:spacing w:after="0" w:line="264" w:lineRule="auto"/>
        <w:tabs>
          <w:tab w:leader="none" w:pos="684" w:val="left"/>
        </w:tabs>
        <w:numPr>
          <w:ilvl w:val="1"/>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Domestic Subsidiary or GP Entity that serves as a general partner of another Domestic Subsidiary or GP Entity has full corporate or limited liability company power and authority, as the case may be, to serve as general partner of such Domestic Subsidiary or GP Entity, in each case in all material respects.</w:t>
      </w:r>
    </w:p>
    <w:p>
      <w:pPr>
        <w:spacing w:after="0" w:line="73" w:lineRule="exact"/>
        <w:rPr>
          <w:rFonts w:ascii="Arial" w:cs="Arial" w:eastAsia="Arial" w:hAnsi="Arial"/>
          <w:sz w:val="18"/>
          <w:szCs w:val="18"/>
          <w:color w:val="auto"/>
        </w:rPr>
      </w:pPr>
    </w:p>
    <w:p>
      <w:pPr>
        <w:ind w:left="-1" w:right="220" w:firstLine="421"/>
        <w:spacing w:after="0" w:line="302" w:lineRule="auto"/>
        <w:tabs>
          <w:tab w:leader="none" w:pos="734"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w:t>
      </w:r>
    </w:p>
    <w:p>
      <w:pPr>
        <w:spacing w:after="0" w:line="46" w:lineRule="exact"/>
        <w:rPr>
          <w:rFonts w:ascii="Arial" w:cs="Arial" w:eastAsia="Arial" w:hAnsi="Arial"/>
          <w:sz w:val="16"/>
          <w:szCs w:val="16"/>
          <w:color w:val="auto"/>
        </w:rPr>
      </w:pPr>
    </w:p>
    <w:p>
      <w:pPr>
        <w:ind w:left="719" w:hanging="299"/>
        <w:spacing w:after="0"/>
        <w:tabs>
          <w:tab w:leader="none" w:pos="719"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of the outstanding shares of capital stock or other equity interests (other than general partner interests) of each Domestic Subsidiary</w:t>
      </w:r>
    </w:p>
    <w:p>
      <w:pPr>
        <w:spacing w:after="0" w:line="46" w:lineRule="exact"/>
        <w:rPr>
          <w:rFonts w:ascii="Arial" w:cs="Arial" w:eastAsia="Arial" w:hAnsi="Arial"/>
          <w:sz w:val="16"/>
          <w:szCs w:val="16"/>
          <w:color w:val="auto"/>
        </w:rPr>
      </w:pPr>
    </w:p>
    <w:p>
      <w:pPr>
        <w:ind w:left="-1" w:firstLine="1"/>
        <w:spacing w:after="0" w:line="285" w:lineRule="auto"/>
        <w:tabs>
          <w:tab w:leader="none" w:pos="244" w:val="left"/>
        </w:tabs>
        <w:numPr>
          <w:ilvl w:val="0"/>
          <w:numId w:val="34"/>
        </w:numPr>
        <w:rPr>
          <w:rFonts w:ascii="Arial" w:cs="Arial" w:eastAsia="Arial" w:hAnsi="Arial"/>
          <w:sz w:val="16"/>
          <w:szCs w:val="16"/>
          <w:color w:val="auto"/>
        </w:rPr>
      </w:pPr>
      <w:r>
        <w:rPr>
          <w:rFonts w:ascii="Arial" w:cs="Arial" w:eastAsia="Arial" w:hAnsi="Arial"/>
          <w:sz w:val="16"/>
          <w:szCs w:val="16"/>
          <w:color w:val="auto"/>
        </w:rPr>
        <w:t>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w:t>
      </w:r>
    </w:p>
    <w:p>
      <w:pPr>
        <w:spacing w:after="0" w:line="62" w:lineRule="exact"/>
        <w:rPr>
          <w:rFonts w:ascii="Arial" w:cs="Arial" w:eastAsia="Arial" w:hAnsi="Arial"/>
          <w:sz w:val="16"/>
          <w:szCs w:val="16"/>
          <w:color w:val="auto"/>
        </w:rPr>
      </w:pPr>
    </w:p>
    <w:p>
      <w:pPr>
        <w:jc w:val="both"/>
        <w:ind w:left="-1" w:right="60" w:firstLine="421"/>
        <w:spacing w:after="0" w:line="259" w:lineRule="auto"/>
        <w:tabs>
          <w:tab w:leader="none" w:pos="6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w:t>
      </w:r>
    </w:p>
    <w:p>
      <w:pPr>
        <w:spacing w:after="0" w:line="119"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99"/>
          </w:cols>
          <w:pgMar w:left="1161" w:top="274" w:right="239" w:bottom="1440" w:gutter="0" w:footer="0" w:header="0"/>
        </w:sectPr>
      </w:pPr>
    </w:p>
    <w:bookmarkStart w:id="27" w:name="page28"/>
    <w:bookmarkEnd w:id="2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w:t>
      </w:r>
    </w:p>
    <w:p>
      <w:pPr>
        <w:spacing w:after="0" w:line="79" w:lineRule="exact"/>
        <w:rPr>
          <w:sz w:val="20"/>
          <w:szCs w:val="20"/>
          <w:color w:val="auto"/>
        </w:rPr>
      </w:pPr>
    </w:p>
    <w:p>
      <w:pPr>
        <w:ind w:right="60" w:firstLine="421"/>
        <w:spacing w:after="0" w:line="264" w:lineRule="auto"/>
        <w:tabs>
          <w:tab w:leader="none" w:pos="7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of the Issuers has the requisite partnership or corporate, as applicable, power and authority to issue, sell and deliver the Notes, in accordance with and upon the terms and conditions set forth in this Agreement, its respective Organizational Documents, the Indenture, the Registration Statement, the Pricing Disclosure Package and the Prospectus.</w:t>
      </w:r>
    </w:p>
    <w:p>
      <w:pPr>
        <w:spacing w:after="0" w:line="73" w:lineRule="exact"/>
        <w:rPr>
          <w:rFonts w:ascii="Arial" w:cs="Arial" w:eastAsia="Arial" w:hAnsi="Arial"/>
          <w:sz w:val="18"/>
          <w:szCs w:val="18"/>
          <w:color w:val="auto"/>
        </w:rPr>
      </w:pPr>
    </w:p>
    <w:p>
      <w:pPr>
        <w:jc w:val="both"/>
        <w:ind w:right="20" w:firstLine="421"/>
        <w:spacing w:after="0" w:line="264" w:lineRule="auto"/>
        <w:tabs>
          <w:tab w:leader="none" w:pos="7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such counsel’s knowledge, neither the filing of the Registration Statement nor the offering or sale of the Notes as contemplated by this Agreement gives rise to any rights for or relating to the registration of any Notes or other securities of the Issuers, except such rights as have been waived or satisfied.</w:t>
      </w:r>
    </w:p>
    <w:p>
      <w:pPr>
        <w:spacing w:after="0" w:line="73" w:lineRule="exact"/>
        <w:rPr>
          <w:rFonts w:ascii="Arial" w:cs="Arial" w:eastAsia="Arial" w:hAnsi="Arial"/>
          <w:sz w:val="18"/>
          <w:szCs w:val="18"/>
          <w:color w:val="auto"/>
        </w:rPr>
      </w:pPr>
    </w:p>
    <w:p>
      <w:pPr>
        <w:ind w:left="820" w:hanging="399"/>
        <w:spacing w:after="0"/>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117" w:lineRule="exact"/>
        <w:rPr>
          <w:rFonts w:ascii="Arial" w:cs="Arial" w:eastAsia="Arial" w:hAnsi="Arial"/>
          <w:sz w:val="18"/>
          <w:szCs w:val="18"/>
          <w:color w:val="auto"/>
        </w:rPr>
      </w:pPr>
    </w:p>
    <w:p>
      <w:pPr>
        <w:ind w:left="720" w:hanging="299"/>
        <w:spacing w:after="0"/>
        <w:tabs>
          <w:tab w:leader="none" w:pos="7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of the Issuers.</w:t>
      </w:r>
    </w:p>
    <w:p>
      <w:pPr>
        <w:spacing w:after="0" w:line="117" w:lineRule="exact"/>
        <w:rPr>
          <w:rFonts w:ascii="Arial" w:cs="Arial" w:eastAsia="Arial" w:hAnsi="Arial"/>
          <w:sz w:val="18"/>
          <w:szCs w:val="18"/>
          <w:color w:val="auto"/>
        </w:rPr>
      </w:pPr>
    </w:p>
    <w:p>
      <w:pPr>
        <w:ind w:right="140" w:firstLine="421"/>
        <w:spacing w:after="0" w:line="288" w:lineRule="auto"/>
        <w:tabs>
          <w:tab w:leader="none" w:pos="675"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The Base Indenture and the Supplemental Indenture thereto have been duly authorized, executed and delivered by each of the Issuers, and (assuming the due authorization, execution and delivery thereof by the Trustee) the Indenture is a valid and legally binding agreement of such Issuers, enforceable against each of them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enforceability thereof may be limited by</w:t>
      </w:r>
    </w:p>
    <w:p>
      <w:pPr>
        <w:ind w:firstLine="1"/>
        <w:spacing w:after="0" w:line="254" w:lineRule="auto"/>
        <w:tabs>
          <w:tab w:leader="none" w:pos="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81" w:lineRule="exact"/>
        <w:rPr>
          <w:rFonts w:ascii="Arial" w:cs="Arial" w:eastAsia="Arial" w:hAnsi="Arial"/>
          <w:sz w:val="18"/>
          <w:szCs w:val="18"/>
          <w:color w:val="auto"/>
        </w:rPr>
      </w:pPr>
    </w:p>
    <w:p>
      <w:pPr>
        <w:ind w:right="140" w:firstLine="421"/>
        <w:spacing w:after="0" w:line="297" w:lineRule="auto"/>
        <w:tabs>
          <w:tab w:leader="none" w:pos="725"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The global certificates representing the Notes are substantially in the form contemplated by the Indenture, the Notes have been duly and validly authorized and, when each such certificate is executed and authenticated in accordance with the provisions of the Indenture and the Notes and delivered to and paid for by the Underwriters under this Agreement, the Notes will constitute legal, valid, binding and enforceable obligations of the Issuers entitled to the benefits of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enforceability thereof may be limited by (A) applicable bankruptcy, insolvency, fraudulent transfer, reorganization, moratorium or similar laws from time to time in effect affecting creditors’ rights</w:t>
      </w:r>
    </w:p>
    <w:p>
      <w:pPr>
        <w:spacing w:after="0" w:line="9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40"/>
          </w:cols>
          <w:pgMar w:left="1160" w:top="274" w:right="299" w:bottom="1440" w:gutter="0" w:footer="0" w:header="0"/>
        </w:sectPr>
      </w:pPr>
    </w:p>
    <w:bookmarkStart w:id="28" w:name="page29"/>
    <w:bookmarkEnd w:id="28"/>
    <w:p>
      <w:pPr>
        <w:ind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6" w:lineRule="exact"/>
        <w:rPr>
          <w:sz w:val="20"/>
          <w:szCs w:val="20"/>
          <w:color w:val="auto"/>
        </w:rPr>
      </w:pPr>
    </w:p>
    <w:p>
      <w:pPr>
        <w:ind w:firstLine="421"/>
        <w:spacing w:after="0" w:line="272" w:lineRule="auto"/>
        <w:tabs>
          <w:tab w:leader="none" w:pos="77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69" w:lineRule="exact"/>
        <w:rPr>
          <w:rFonts w:ascii="Arial" w:cs="Arial" w:eastAsia="Arial" w:hAnsi="Arial"/>
          <w:sz w:val="17"/>
          <w:szCs w:val="17"/>
          <w:color w:val="auto"/>
        </w:rPr>
      </w:pPr>
    </w:p>
    <w:p>
      <w:pPr>
        <w:ind w:right="20" w:firstLine="421"/>
        <w:spacing w:after="0" w:line="285" w:lineRule="auto"/>
        <w:tabs>
          <w:tab w:leader="none" w:pos="825"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None of (A) the offering, issuance and sale by the Issuers of the Notes, (B) the execution, delivery and performance of this Agreement by the Issuers, (C) the consummation of the transactions contemplated by this Agreement, (D) the execution and delivery of the Base Indenture and the Supplemental Indenture and the performance of the Indenture by the Issuers or the consummation of the transactions contemplated thereby (1) constitutes or will constitute a violation of the Organizational Documents of any of the Issuers,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(i) the Hedged Inventory Facility, (ii) the Credit Agreement dated as of August 19, 2011, as amended, among the Partnership, certain subsidiaries of the Partnership from time to time party thereto and Bank of America, N.A., as administrative agent, and the other lenders party thereto (the “</w:t>
      </w:r>
      <w:r>
        <w:rPr>
          <w:rFonts w:ascii="Arial" w:cs="Arial" w:eastAsia="Arial" w:hAnsi="Arial"/>
          <w:sz w:val="16"/>
          <w:szCs w:val="16"/>
          <w:b w:val="1"/>
          <w:bCs w:val="1"/>
          <w:color w:val="auto"/>
        </w:rPr>
        <w:t>PAA Facility</w:t>
      </w:r>
      <w:r>
        <w:rPr>
          <w:rFonts w:ascii="Arial" w:cs="Arial" w:eastAsia="Arial" w:hAnsi="Arial"/>
          <w:sz w:val="16"/>
          <w:szCs w:val="16"/>
          <w:color w:val="auto"/>
        </w:rPr>
        <w:t>”) and (iii) the Second Amended and Restated Credit Agreement dated September 26, 2013 (as amended, the “</w:t>
      </w:r>
      <w:r>
        <w:rPr>
          <w:rFonts w:ascii="Arial" w:cs="Arial" w:eastAsia="Arial" w:hAnsi="Arial"/>
          <w:sz w:val="16"/>
          <w:szCs w:val="16"/>
          <w:b w:val="1"/>
          <w:bCs w:val="1"/>
          <w:color w:val="auto"/>
        </w:rPr>
        <w:t>Plains AAP Facility</w:t>
      </w:r>
      <w:r>
        <w:rPr>
          <w:rFonts w:ascii="Arial" w:cs="Arial" w:eastAsia="Arial" w:hAnsi="Arial"/>
          <w:sz w:val="16"/>
          <w:szCs w:val="16"/>
          <w:color w:val="auto"/>
        </w:rPr>
        <w:t>”), by and among Plains AAP, the lenders party thereto and Citibank, N.A., as administrative agent (3) results or will result in any violation of the Delaware LP Act, the Delaware LLC Act,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the laws of the State of Texas or federal law, or (4) results or will result in the creation or imposition of any Lien upon any property or assets of either of the Issuers, the Domestic Subsidiaries or the GP Entities which conflicts, breaches, violations or defaults in the case of clauses (2), (3) or (4) would reasonably be expected to have a Material Adverse Effect or materially impair the ability of the Issuers to consummate the transactions contemplated by this Agreement, it being understood that such counsel need not express an opinion in clause (3) of this paragraph (xiii) with respect to any securities or other anti-fraud law.</w:t>
      </w:r>
    </w:p>
    <w:p>
      <w:pPr>
        <w:spacing w:after="0" w:line="11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00"/>
          </w:cols>
          <w:pgMar w:left="1160" w:top="274" w:right="239" w:bottom="1440" w:gutter="0" w:footer="0" w:header="0"/>
        </w:sectPr>
      </w:pPr>
    </w:p>
    <w:bookmarkStart w:id="29" w:name="page30"/>
    <w:bookmarkEnd w:id="29"/>
    <w:p>
      <w:pPr>
        <w:ind w:firstLine="421"/>
        <w:spacing w:after="0" w:line="291" w:lineRule="auto"/>
        <w:tabs>
          <w:tab w:leader="none" w:pos="815" w:val="left"/>
        </w:tabs>
        <w:numPr>
          <w:ilvl w:val="1"/>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consent, approval, authorization, filing with or order of any federal, Delaware or Texas court, governmental agency or body having jurisdiction over the Issuers, the GP Entities, the Domestic Subsidiaries or any of their respective properties is required in connection with</w:t>
      </w:r>
    </w:p>
    <w:p>
      <w:pPr>
        <w:ind w:right="80" w:firstLine="1"/>
        <w:spacing w:after="0" w:line="281" w:lineRule="auto"/>
        <w:tabs>
          <w:tab w:leader="none" w:pos="2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offering, issuance and sale by the Issuers of the Notes, (B) the execution, delivery and performance of this Agreement by the Issuers and the consummation of the transactions contemplated by this Agreement, or (C) the execution and delivery of the Base Indenture and the Supplemental Indenture and the performance of the Indenture by the Issuers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Pricing Disclosure Package and the Prospectus (as to which such counsel need not express any opinion), (2) such that the failure to obtain would not reasonably be expected to have a Material Adverse Effect or materially impair the ability of the Issuers to consummate the transactions contemplated by this Agreement and</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 such other that have been obtained or taken and are in full force and effect.</w:t>
      </w:r>
    </w:p>
    <w:p>
      <w:pPr>
        <w:spacing w:after="0" w:line="102" w:lineRule="exact"/>
        <w:rPr>
          <w:rFonts w:ascii="Arial" w:cs="Arial" w:eastAsia="Arial" w:hAnsi="Arial"/>
          <w:sz w:val="16"/>
          <w:szCs w:val="16"/>
          <w:color w:val="auto"/>
        </w:rPr>
      </w:pPr>
    </w:p>
    <w:p>
      <w:pPr>
        <w:ind w:right="100" w:firstLine="421"/>
        <w:spacing w:after="0" w:line="297" w:lineRule="auto"/>
        <w:tabs>
          <w:tab w:leader="none" w:pos="765"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statements in the Registration Statement, the Pricing Disclosure Package and the Prospectus under the caption “Material U.S. Federal Income Tax Consequences” in relation to the Notes in each of the Pricing Disclosure Package and the Prospectus, insofar as such statements purport to summarize certain provisions of documents and legal matters referred to therein, fairly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w:t>
      </w:r>
    </w:p>
    <w:p>
      <w:pPr>
        <w:spacing w:after="0" w:line="50" w:lineRule="exact"/>
        <w:rPr>
          <w:rFonts w:ascii="Arial" w:cs="Arial" w:eastAsia="Arial" w:hAnsi="Arial"/>
          <w:sz w:val="16"/>
          <w:szCs w:val="16"/>
          <w:color w:val="auto"/>
        </w:rPr>
      </w:pPr>
    </w:p>
    <w:p>
      <w:pPr>
        <w:ind w:right="80" w:firstLine="421"/>
        <w:spacing w:after="0" w:line="257" w:lineRule="auto"/>
        <w:tabs>
          <w:tab w:leader="none" w:pos="81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Registration Statement became effective under the Securities Act upon its filing on September 27, 2012;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or the free writing prospectus pursuant to Rule 433 of the Rules and Regulations has been made in the manner and within the time period required by such Rule.</w:t>
      </w:r>
    </w:p>
    <w:p>
      <w:pPr>
        <w:spacing w:after="0" w:line="80" w:lineRule="exact"/>
        <w:rPr>
          <w:rFonts w:ascii="Arial" w:cs="Arial" w:eastAsia="Arial" w:hAnsi="Arial"/>
          <w:sz w:val="18"/>
          <w:szCs w:val="18"/>
          <w:color w:val="auto"/>
        </w:rPr>
      </w:pPr>
    </w:p>
    <w:p>
      <w:pPr>
        <w:ind w:right="40" w:firstLine="421"/>
        <w:spacing w:after="0" w:line="279" w:lineRule="auto"/>
        <w:tabs>
          <w:tab w:leader="none" w:pos="865"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comply as to form in all material respects with the requirements of the Securities Act and the Exchange Act and the rules and regulations promulgated thereunder.</w:t>
      </w:r>
    </w:p>
    <w:p>
      <w:pPr>
        <w:spacing w:after="0" w:line="10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480"/>
          </w:cols>
          <w:pgMar w:left="1160" w:top="274" w:right="259" w:bottom="1440" w:gutter="0" w:footer="0" w:header="0"/>
        </w:sectPr>
      </w:pPr>
    </w:p>
    <w:bookmarkStart w:id="30" w:name="page31"/>
    <w:bookmarkEnd w:id="30"/>
    <w:p>
      <w:pPr>
        <w:ind w:left="460" w:firstLine="421"/>
        <w:spacing w:after="0" w:line="264" w:lineRule="auto"/>
        <w:tabs>
          <w:tab w:leader="none" w:pos="1375"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Plains Entities is now, and after sale of the Notes to be sold by the Issuers hereunder and application of the net proceeds from such sale as described in the Pricing Disclosure Package and the Prospectus under the caption “Use of Proceeds,” none of the Plains Entities will be, an “investment company” as such term is defined in the Investment Company Act.</w:t>
      </w:r>
    </w:p>
    <w:p>
      <w:pPr>
        <w:spacing w:after="0" w:line="73" w:lineRule="exact"/>
        <w:rPr>
          <w:sz w:val="20"/>
          <w:szCs w:val="20"/>
          <w:color w:val="auto"/>
        </w:rPr>
      </w:pPr>
    </w:p>
    <w:p>
      <w:pPr>
        <w:ind w:right="100" w:firstLine="438"/>
        <w:spacing w:after="0" w:line="285" w:lineRule="auto"/>
        <w:rPr>
          <w:sz w:val="20"/>
          <w:szCs w:val="20"/>
          <w:color w:val="auto"/>
        </w:rPr>
      </w:pPr>
      <w:r>
        <w:rPr>
          <w:rFonts w:ascii="Arial" w:cs="Arial" w:eastAsia="Arial" w:hAnsi="Arial"/>
          <w:sz w:val="16"/>
          <w:szCs w:val="16"/>
          <w:color w:val="auto"/>
        </w:rPr>
        <w:t>In addition, such counsel shall state that they have participated in conferences with officers and other representatives of GP LLC and the Issuers,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opinion</w:t>
      </w:r>
    </w:p>
    <w:p>
      <w:pPr>
        <w:spacing w:after="0" w:line="2" w:lineRule="exact"/>
        <w:rPr>
          <w:sz w:val="20"/>
          <w:szCs w:val="20"/>
          <w:color w:val="auto"/>
        </w:rPr>
      </w:pPr>
    </w:p>
    <w:p>
      <w:pPr>
        <w:ind w:left="340" w:hanging="336"/>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above), on the basis of the foregoing, no facts have come to the attention of such counsel that lead them to believe that:</w:t>
      </w:r>
    </w:p>
    <w:p>
      <w:pPr>
        <w:spacing w:after="0" w:line="102" w:lineRule="exact"/>
        <w:rPr>
          <w:rFonts w:ascii="Arial" w:cs="Arial" w:eastAsia="Arial" w:hAnsi="Arial"/>
          <w:sz w:val="18"/>
          <w:szCs w:val="18"/>
          <w:color w:val="auto"/>
        </w:rPr>
      </w:pPr>
    </w:p>
    <w:p>
      <w:pPr>
        <w:ind w:right="20" w:firstLine="443"/>
        <w:spacing w:after="0" w:line="277" w:lineRule="auto"/>
        <w:tabs>
          <w:tab w:leader="none" w:pos="733"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62" w:lineRule="exact"/>
        <w:rPr>
          <w:rFonts w:ascii="Arial" w:cs="Arial" w:eastAsia="Arial" w:hAnsi="Arial"/>
          <w:sz w:val="18"/>
          <w:szCs w:val="18"/>
          <w:color w:val="auto"/>
        </w:rPr>
      </w:pPr>
    </w:p>
    <w:p>
      <w:pPr>
        <w:ind w:right="180" w:firstLine="443"/>
        <w:spacing w:after="0" w:line="342" w:lineRule="auto"/>
        <w:tabs>
          <w:tab w:leader="none" w:pos="723"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5" w:lineRule="exact"/>
        <w:rPr>
          <w:rFonts w:ascii="Arial" w:cs="Arial" w:eastAsia="Arial" w:hAnsi="Arial"/>
          <w:sz w:val="16"/>
          <w:szCs w:val="16"/>
          <w:color w:val="auto"/>
        </w:rPr>
      </w:pPr>
    </w:p>
    <w:p>
      <w:pPr>
        <w:jc w:val="both"/>
        <w:ind w:right="240" w:firstLine="443"/>
        <w:spacing w:after="0" w:line="342" w:lineRule="auto"/>
        <w:tabs>
          <w:tab w:leader="none" w:pos="723"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Prospectus, as of its date and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79"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In rendering such opinion, such counsel may (A) rely in respect of matters of fact upon certificates of officers and employees of GP LLC and the Issuers,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their opinion is limited to federal laws of the United States, the Delaware LP Act, the Delaware LLC Act, the DGCL, the laws of the State of Texas and the laws of the State of New York and (D) state that they express no opinion with respect to (i) any permits to own or operate any real or personal property or (ii) state or local taxes or tax statutes to which any of the limited partners of the Partnership or any of the Plains Entities may be subject.</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700" w:top="274" w:right="239" w:bottom="1440" w:gutter="0" w:footer="0" w:header="0"/>
        </w:sectPr>
      </w:pPr>
    </w:p>
    <w:bookmarkStart w:id="31" w:name="page32"/>
    <w:bookmarkEnd w:id="31"/>
    <w:p>
      <w:pPr>
        <w:ind w:right="60" w:firstLine="443"/>
        <w:spacing w:after="0" w:line="255" w:lineRule="auto"/>
        <w:tabs>
          <w:tab w:leader="none" w:pos="693"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Representatives shall have received an opinion of Fulbright &amp; Jaworski LLP, special counsel for the Issuers, dated the Delivery Date and addressed to the Underwriters, to the effect that none of the offering, issuance or sale by the Issuers of the Notes, the execution, delivery and performance of this Agreement by the Issuers, the consummation of the transactions contemplated hereby, the execution, delivery and performance of the Indenture by the Issuers or the consummation of the transactions contemplated thereby, results in a breach of, or constitutes a default under (or an event which, with notice or lapse of time or both, would constitute such an event) the provisions of any Credit Facility (as defined in Annex A to such opinion).</w:t>
      </w:r>
    </w:p>
    <w:p>
      <w:pPr>
        <w:spacing w:after="0" w:line="85" w:lineRule="exact"/>
        <w:rPr>
          <w:sz w:val="20"/>
          <w:szCs w:val="20"/>
          <w:color w:val="auto"/>
        </w:rPr>
      </w:pPr>
    </w:p>
    <w:p>
      <w:pPr>
        <w:ind w:right="40" w:firstLine="438"/>
        <w:spacing w:after="0" w:line="276" w:lineRule="auto"/>
        <w:rPr>
          <w:sz w:val="20"/>
          <w:szCs w:val="20"/>
          <w:color w:val="auto"/>
        </w:rPr>
      </w:pPr>
      <w:r>
        <w:rPr>
          <w:rFonts w:ascii="Arial" w:cs="Arial" w:eastAsia="Arial" w:hAnsi="Arial"/>
          <w:sz w:val="17"/>
          <w:szCs w:val="17"/>
          <w:color w:val="auto"/>
        </w:rPr>
        <w:t>In rendering such opinion, such counsel may (A) rely in respect of matters of fact upon certificates of officers and employees of GP LLC and the Issuers,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and (C) state that such opinions are limited to the laws of the State of Texas, exclusive of conflict of law principles, excepting in the foregoing instance, municipal, local and county ordinances, laws, rules and regulations.</w:t>
      </w:r>
    </w:p>
    <w:p>
      <w:pPr>
        <w:spacing w:after="0" w:line="64" w:lineRule="exact"/>
        <w:rPr>
          <w:sz w:val="20"/>
          <w:szCs w:val="20"/>
          <w:color w:val="auto"/>
        </w:rPr>
      </w:pPr>
    </w:p>
    <w:p>
      <w:pPr>
        <w:jc w:val="both"/>
        <w:ind w:right="360" w:firstLine="438"/>
        <w:spacing w:after="0" w:line="264" w:lineRule="auto"/>
        <w:rPr>
          <w:sz w:val="20"/>
          <w:szCs w:val="20"/>
          <w:color w:val="auto"/>
        </w:rPr>
      </w:pPr>
      <w:r>
        <w:rPr>
          <w:rFonts w:ascii="Arial" w:cs="Arial" w:eastAsia="Arial" w:hAnsi="Arial"/>
          <w:sz w:val="18"/>
          <w:szCs w:val="18"/>
          <w:color w:val="auto"/>
        </w:rPr>
        <w:t>In rendering such opinion, such counsel shall state that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73" w:lineRule="exact"/>
        <w:rPr>
          <w:sz w:val="20"/>
          <w:szCs w:val="20"/>
          <w:color w:val="auto"/>
        </w:rPr>
      </w:pPr>
    </w:p>
    <w:p>
      <w:pPr>
        <w:ind w:right="740" w:firstLine="443"/>
        <w:spacing w:after="0" w:line="277" w:lineRule="auto"/>
        <w:tabs>
          <w:tab w:leader="none" w:pos="6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the general counsel for GP LLC dated the Delivery Date and addressed to the Underwriters, to the effect that:</w:t>
      </w:r>
    </w:p>
    <w:p>
      <w:pPr>
        <w:spacing w:after="0" w:line="62" w:lineRule="exact"/>
        <w:rPr>
          <w:rFonts w:ascii="Arial" w:cs="Arial" w:eastAsia="Arial" w:hAnsi="Arial"/>
          <w:sz w:val="18"/>
          <w:szCs w:val="18"/>
          <w:color w:val="auto"/>
        </w:rPr>
      </w:pPr>
    </w:p>
    <w:p>
      <w:pPr>
        <w:ind w:left="460" w:firstLine="421"/>
        <w:spacing w:after="0" w:line="284" w:lineRule="auto"/>
        <w:tabs>
          <w:tab w:leader="none" w:pos="1095" w:val="left"/>
        </w:tabs>
        <w:numPr>
          <w:ilvl w:val="2"/>
          <w:numId w:val="43"/>
        </w:numPr>
        <w:rPr>
          <w:rFonts w:ascii="Arial" w:cs="Arial" w:eastAsia="Arial" w:hAnsi="Arial"/>
          <w:sz w:val="16"/>
          <w:szCs w:val="16"/>
          <w:color w:val="auto"/>
        </w:rPr>
      </w:pPr>
      <w:r>
        <w:rPr>
          <w:rFonts w:ascii="Arial" w:cs="Arial" w:eastAsia="Arial" w:hAnsi="Arial"/>
          <w:sz w:val="16"/>
          <w:szCs w:val="16"/>
          <w:color w:val="auto"/>
        </w:rPr>
        <w:t>None of (A) the offering, issuance and sale by the Issuers of the Notes, (B) the execution, delivery and performance by the Issuers of this Agreement, (C) the consummation of the transactions contemplated by this Agreement or (D) the execution, delivery and performance of the Indenture by the Issuers or the consummation of the transactions contemplated thereby (1)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Issuers, GP Entities or Material Subsidiaries is a party or by which any one of them may be bound (excluding, for this purpose, any document or agreement filed as an exhibit to the Registration Statement or an Incorporated Document or (i) the Hedged Inventory Facility,</w:t>
      </w:r>
    </w:p>
    <w:p>
      <w:pPr>
        <w:spacing w:after="0" w:line="2" w:lineRule="exact"/>
        <w:rPr>
          <w:rFonts w:ascii="Arial" w:cs="Arial" w:eastAsia="Arial" w:hAnsi="Arial"/>
          <w:sz w:val="16"/>
          <w:szCs w:val="16"/>
          <w:color w:val="auto"/>
        </w:rPr>
      </w:pPr>
    </w:p>
    <w:p>
      <w:pPr>
        <w:ind w:left="460" w:right="80" w:firstLine="1"/>
        <w:spacing w:after="0" w:line="290" w:lineRule="auto"/>
        <w:tabs>
          <w:tab w:leader="none" w:pos="725"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PAA Facility and (iii) the Plains AAP Facility) or (2) violates or will violate any statute, law or regulation or any order, judgment, decree or injunction known to such counsel of any court or governmental agency or body directed to either of the Issuers, the GP</w:t>
      </w:r>
    </w:p>
    <w:p>
      <w:pPr>
        <w:spacing w:after="0" w:line="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700" w:top="274" w:right="259" w:bottom="1440" w:gutter="0" w:footer="0" w:header="0"/>
        </w:sectPr>
      </w:pPr>
    </w:p>
    <w:bookmarkStart w:id="32" w:name="page33"/>
    <w:bookmarkEnd w:id="32"/>
    <w:p>
      <w:pPr>
        <w:ind w:lef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Entities or the Material Subsidiaries or any of their respective properties in a proceeding to which any of them is a party, which would, in the case of either (1) or (2), reasonably be expected to have a Material Adverse Effect or materially impair the ability of the Issuers to consummate the transactions contemplated by this Agreement.</w:t>
      </w:r>
    </w:p>
    <w:p>
      <w:pPr>
        <w:spacing w:after="0" w:line="73" w:lineRule="exact"/>
        <w:rPr>
          <w:sz w:val="20"/>
          <w:szCs w:val="20"/>
          <w:color w:val="auto"/>
        </w:rPr>
      </w:pPr>
    </w:p>
    <w:p>
      <w:pPr>
        <w:jc w:val="both"/>
        <w:ind w:left="460" w:right="80" w:firstLine="421"/>
        <w:spacing w:after="0" w:line="264" w:lineRule="auto"/>
        <w:tabs>
          <w:tab w:leader="none" w:pos="11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the knowledge of such counsel, there is no legal or governmental proceeding pending or threatened to which either of the Issuers or any of the Subsidiaries is a party or to which any of their respective properties is subject that is required to be disclosed in the Pricing Disclosure Package or the Prospectus and is not so disclosed.</w:t>
      </w:r>
    </w:p>
    <w:p>
      <w:pPr>
        <w:spacing w:after="0" w:line="73" w:lineRule="exact"/>
        <w:rPr>
          <w:rFonts w:ascii="Arial" w:cs="Arial" w:eastAsia="Arial" w:hAnsi="Arial"/>
          <w:sz w:val="18"/>
          <w:szCs w:val="18"/>
          <w:color w:val="auto"/>
        </w:rPr>
      </w:pPr>
    </w:p>
    <w:p>
      <w:pPr>
        <w:ind w:left="460" w:right="240" w:firstLine="421"/>
        <w:spacing w:after="0" w:line="312" w:lineRule="auto"/>
        <w:tabs>
          <w:tab w:leader="none" w:pos="11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the knowledge of such counsel, there are no agreements, contracts or other documents to which either of the Issuers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39" w:lineRule="exact"/>
        <w:rPr>
          <w:sz w:val="20"/>
          <w:szCs w:val="20"/>
          <w:color w:val="auto"/>
        </w:rPr>
      </w:pPr>
    </w:p>
    <w:p>
      <w:pPr>
        <w:ind w:right="200" w:firstLine="438"/>
        <w:spacing w:after="0" w:line="273" w:lineRule="auto"/>
        <w:rPr>
          <w:sz w:val="20"/>
          <w:szCs w:val="20"/>
          <w:color w:val="auto"/>
        </w:rPr>
      </w:pPr>
      <w:r>
        <w:rPr>
          <w:rFonts w:ascii="Arial" w:cs="Arial" w:eastAsia="Arial" w:hAnsi="Arial"/>
          <w:sz w:val="17"/>
          <w:szCs w:val="17"/>
          <w:color w:val="auto"/>
        </w:rPr>
        <w:t>In addition, such counsel shall state that he has participated in conferences with officers and other representatives of GP LLC and the Issuers,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w:t>
      </w:r>
    </w:p>
    <w:p>
      <w:pPr>
        <w:spacing w:after="0" w:line="70" w:lineRule="exact"/>
        <w:rPr>
          <w:sz w:val="20"/>
          <w:szCs w:val="20"/>
          <w:color w:val="auto"/>
        </w:rPr>
      </w:pPr>
    </w:p>
    <w:p>
      <w:pPr>
        <w:ind w:right="20" w:firstLine="443"/>
        <w:spacing w:after="0" w:line="277" w:lineRule="auto"/>
        <w:tabs>
          <w:tab w:leader="none" w:pos="73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62" w:lineRule="exact"/>
        <w:rPr>
          <w:rFonts w:ascii="Arial" w:cs="Arial" w:eastAsia="Arial" w:hAnsi="Arial"/>
          <w:sz w:val="18"/>
          <w:szCs w:val="18"/>
          <w:color w:val="auto"/>
        </w:rPr>
      </w:pPr>
    </w:p>
    <w:p>
      <w:pPr>
        <w:ind w:right="180" w:firstLine="443"/>
        <w:spacing w:after="0" w:line="342" w:lineRule="auto"/>
        <w:tabs>
          <w:tab w:leader="none" w:pos="72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5" w:lineRule="exact"/>
        <w:rPr>
          <w:rFonts w:ascii="Arial" w:cs="Arial" w:eastAsia="Arial" w:hAnsi="Arial"/>
          <w:sz w:val="16"/>
          <w:szCs w:val="16"/>
          <w:color w:val="auto"/>
        </w:rPr>
      </w:pPr>
    </w:p>
    <w:p>
      <w:pPr>
        <w:jc w:val="both"/>
        <w:ind w:right="240" w:firstLine="443"/>
        <w:spacing w:after="0" w:line="342" w:lineRule="auto"/>
        <w:tabs>
          <w:tab w:leader="none" w:pos="72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Prospectus, as of its date and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700" w:top="274" w:right="239" w:bottom="1440" w:gutter="0" w:footer="0" w:header="0"/>
        </w:sectPr>
      </w:pPr>
    </w:p>
    <w:bookmarkStart w:id="33" w:name="page34"/>
    <w:bookmarkEnd w:id="33"/>
    <w:p>
      <w:pPr>
        <w:ind w:right="40" w:firstLine="438"/>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rendering such opinion, such counsel may rely in respect of matters of fact upon (A) information obtained from public officials or public records and (B) to the extent such counsel deems appropriate, certificates of officers and employees of GP LLC and the Issuers. Further, such counsel may (A) assume that all documents submitted to him as originals are authentic, that all copies submitted to him conform to the originals thereof, and that the signatures on all documents examined by him are genuine, (B) state that such opinions are limited to federal laws and the Delaware LP Act, the Delaware LLC Act, the DGCL and the laws of the State of Texas and (C) state that he expresses no opinion with respect to (x) either federal or state securities laws in the opinion referenced in Section 7(e)(i)(2) above or (y) state or local taxes or tax statutes.</w:t>
      </w:r>
    </w:p>
    <w:p>
      <w:pPr>
        <w:spacing w:after="0" w:line="70" w:lineRule="exact"/>
        <w:rPr>
          <w:sz w:val="20"/>
          <w:szCs w:val="20"/>
          <w:color w:val="auto"/>
        </w:rPr>
      </w:pPr>
    </w:p>
    <w:p>
      <w:pPr>
        <w:ind w:right="60" w:firstLine="443"/>
        <w:spacing w:after="0" w:line="277" w:lineRule="auto"/>
        <w:tabs>
          <w:tab w:leader="none" w:pos="6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internal Canadian counsel for the Partnership, dated the Delivery Date and addressed to the Underwriters, to the effect that:</w:t>
      </w:r>
    </w:p>
    <w:p>
      <w:pPr>
        <w:spacing w:after="0" w:line="62" w:lineRule="exact"/>
        <w:rPr>
          <w:rFonts w:ascii="Arial" w:cs="Arial" w:eastAsia="Arial" w:hAnsi="Arial"/>
          <w:sz w:val="18"/>
          <w:szCs w:val="18"/>
          <w:color w:val="auto"/>
        </w:rPr>
      </w:pPr>
    </w:p>
    <w:p>
      <w:pPr>
        <w:ind w:left="460" w:right="80" w:firstLine="421"/>
        <w:spacing w:after="0" w:line="255" w:lineRule="auto"/>
        <w:tabs>
          <w:tab w:leader="none" w:pos="1095" w:val="left"/>
        </w:tabs>
        <w:numPr>
          <w:ilvl w:val="1"/>
          <w:numId w:val="46"/>
        </w:numPr>
        <w:rPr>
          <w:rFonts w:ascii="Arial" w:cs="Arial" w:eastAsia="Arial" w:hAnsi="Arial"/>
          <w:sz w:val="18"/>
          <w:szCs w:val="18"/>
          <w:color w:val="auto"/>
        </w:rPr>
      </w:pPr>
      <w:r>
        <w:rPr>
          <w:rFonts w:ascii="Arial" w:cs="Arial" w:eastAsia="Arial" w:hAnsi="Arial"/>
          <w:sz w:val="18"/>
          <w:szCs w:val="18"/>
          <w:color w:val="auto"/>
        </w:rPr>
        <w:t>Plains Midstream Canada ULC, a British Columbia unlimited liability company (“Plains Midstream Canada”), has been duly amalgamated and is validly existing as an unlimited liability company under the laws of British Columbia, with all necessary corporate power and authority to own or lease its properties, in all material respects as described in the Pricing Disclosure Package and the Prospectus, and to conduct its business as currently conducted and as proposed in the Pricing Disclosure Package and the Prospectus to be conducted. Plains Midstream Canada is duly registered extraprovincially for the transaction of business under the laws of the provinces of Alberta, Manitoba, New Brunswick, Nova Scotia, Ontario, Quebec and Saskatchewan.</w:t>
      </w:r>
    </w:p>
    <w:p>
      <w:pPr>
        <w:spacing w:after="0" w:line="85" w:lineRule="exact"/>
        <w:rPr>
          <w:rFonts w:ascii="Arial" w:cs="Arial" w:eastAsia="Arial" w:hAnsi="Arial"/>
          <w:sz w:val="18"/>
          <w:szCs w:val="18"/>
          <w:color w:val="auto"/>
        </w:rPr>
      </w:pPr>
    </w:p>
    <w:p>
      <w:pPr>
        <w:ind w:left="460" w:firstLine="421"/>
        <w:spacing w:after="0" w:line="259" w:lineRule="auto"/>
        <w:tabs>
          <w:tab w:leader="none" w:pos="1145" w:val="left"/>
        </w:tabs>
        <w:numPr>
          <w:ilvl w:val="1"/>
          <w:numId w:val="46"/>
        </w:numPr>
        <w:rPr>
          <w:rFonts w:ascii="Arial" w:cs="Arial" w:eastAsia="Arial" w:hAnsi="Arial"/>
          <w:sz w:val="18"/>
          <w:szCs w:val="18"/>
          <w:color w:val="auto"/>
        </w:rPr>
      </w:pPr>
      <w:r>
        <w:rPr>
          <w:rFonts w:ascii="Arial" w:cs="Arial" w:eastAsia="Arial" w:hAnsi="Arial"/>
          <w:sz w:val="18"/>
          <w:szCs w:val="18"/>
          <w:color w:val="auto"/>
        </w:rPr>
        <w:t>Plains Midstream Canada is the registered holder of 100% of the issued and outstanding capital stock of Aurora Pipeline Company Ltd., a corporation incorporated under the laws of Canada (“Aurora”); such share capital has been duly authorized and validly issued in accordance with the Aurora Articles of Continuance, as fully paid and nonassessable shares (except as such nonassessability may be affected by the laws of the Province of Alberta).</w:t>
      </w:r>
    </w:p>
    <w:p>
      <w:pPr>
        <w:spacing w:after="0" w:line="78" w:lineRule="exact"/>
        <w:rPr>
          <w:rFonts w:ascii="Arial" w:cs="Arial" w:eastAsia="Arial" w:hAnsi="Arial"/>
          <w:sz w:val="18"/>
          <w:szCs w:val="18"/>
          <w:color w:val="auto"/>
        </w:rPr>
      </w:pPr>
    </w:p>
    <w:p>
      <w:pPr>
        <w:ind w:left="460" w:right="20" w:firstLine="421"/>
        <w:spacing w:after="0" w:line="257" w:lineRule="auto"/>
        <w:tabs>
          <w:tab w:leader="none" w:pos="1195" w:val="left"/>
        </w:tabs>
        <w:numPr>
          <w:ilvl w:val="1"/>
          <w:numId w:val="46"/>
        </w:numPr>
        <w:rPr>
          <w:rFonts w:ascii="Arial" w:cs="Arial" w:eastAsia="Arial" w:hAnsi="Arial"/>
          <w:sz w:val="18"/>
          <w:szCs w:val="18"/>
          <w:color w:val="auto"/>
        </w:rPr>
      </w:pPr>
      <w:r>
        <w:rPr>
          <w:rFonts w:ascii="Arial" w:cs="Arial" w:eastAsia="Arial" w:hAnsi="Arial"/>
          <w:sz w:val="18"/>
          <w:szCs w:val="18"/>
          <w:color w:val="auto"/>
        </w:rPr>
        <w:t>Plains Marketing, L.P.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700" w:top="274" w:right="239" w:bottom="1440" w:gutter="0" w:footer="0" w:header="0"/>
        </w:sectPr>
      </w:pPr>
    </w:p>
    <w:bookmarkStart w:id="34" w:name="page35"/>
    <w:bookmarkEnd w:id="34"/>
    <w:p>
      <w:pPr>
        <w:ind w:left="460" w:right="180" w:firstLine="421"/>
        <w:spacing w:after="0" w:line="286" w:lineRule="auto"/>
        <w:tabs>
          <w:tab w:leader="none" w:pos="1185" w:val="left"/>
        </w:tabs>
        <w:numPr>
          <w:ilvl w:val="0"/>
          <w:numId w:val="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permit, consent, approval, authorization, order, registration, filing or qualification of or with any court, governmental agency or body of the federal government of Canada or the Province of Alberta or the Province of British Columbia is required for the offering, issuance and sale by the Issuers of the Notes or the execution, delivery and performance of the Indenture by the Issuers.</w:t>
      </w:r>
    </w:p>
    <w:p>
      <w:pPr>
        <w:spacing w:after="0" w:line="57" w:lineRule="exact"/>
        <w:rPr>
          <w:rFonts w:ascii="Arial" w:cs="Arial" w:eastAsia="Arial" w:hAnsi="Arial"/>
          <w:sz w:val="17"/>
          <w:szCs w:val="17"/>
          <w:color w:val="auto"/>
        </w:rPr>
      </w:pPr>
    </w:p>
    <w:p>
      <w:pPr>
        <w:ind w:left="460" w:right="60" w:firstLine="421"/>
        <w:spacing w:after="0" w:line="272" w:lineRule="auto"/>
        <w:tabs>
          <w:tab w:leader="none" w:pos="11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None of the offering, issuance and sale by the Issuers of the Notes, the execution, delivery and performance of this Agreement by the Issuers or the consummation of the transactions contemplated hereby, the execution, delivery and performance of the Indenture by the Issuers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w:t>
      </w:r>
    </w:p>
    <w:p>
      <w:pPr>
        <w:spacing w:after="0" w:line="69" w:lineRule="exact"/>
        <w:rPr>
          <w:rFonts w:ascii="Arial" w:cs="Arial" w:eastAsia="Arial" w:hAnsi="Arial"/>
          <w:sz w:val="17"/>
          <w:szCs w:val="17"/>
          <w:color w:val="auto"/>
        </w:rPr>
      </w:pPr>
    </w:p>
    <w:p>
      <w:pPr>
        <w:ind w:left="460" w:right="260" w:firstLine="421"/>
        <w:spacing w:after="0" w:line="276" w:lineRule="auto"/>
        <w:tabs>
          <w:tab w:leader="none" w:pos="118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Pricing Disclosure Package and the Prospectus to be conducted, subject to such qualifications as may be set forth in the Pricing Disclosure Package and the Prospectus, and except for such Permits which, if not obtained would not reasonably be expected to, individually or in the aggregate, materially adversely affect the operations conducted by Plains Midstream Canada.</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rendering such opinion, such counsel shall state that (A) Vinson &amp; Elkins L.L.P. is thereby authorized to rely upon such opinion letter in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connection with the transactions contemplated by this Agreement as if such opinion letter were addressed and delivered to them on the date thereof and</w:t>
      </w:r>
    </w:p>
    <w:p>
      <w:pPr>
        <w:spacing w:after="0" w:line="32" w:lineRule="exact"/>
        <w:rPr>
          <w:sz w:val="20"/>
          <w:szCs w:val="20"/>
          <w:color w:val="auto"/>
        </w:rPr>
      </w:pPr>
    </w:p>
    <w:p>
      <w:pPr>
        <w:jc w:val="both"/>
        <w:ind w:right="360" w:firstLine="4"/>
        <w:spacing w:after="0" w:line="323" w:lineRule="auto"/>
        <w:tabs>
          <w:tab w:leader="none" w:pos="285"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30" w:lineRule="exact"/>
        <w:rPr>
          <w:rFonts w:ascii="Arial" w:cs="Arial" w:eastAsia="Arial" w:hAnsi="Arial"/>
          <w:sz w:val="16"/>
          <w:szCs w:val="16"/>
          <w:color w:val="auto"/>
        </w:rPr>
      </w:pPr>
    </w:p>
    <w:p>
      <w:pPr>
        <w:ind w:right="60" w:firstLine="443"/>
        <w:spacing w:after="0" w:line="259" w:lineRule="auto"/>
        <w:tabs>
          <w:tab w:leader="none" w:pos="693"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Baker Botts L.L.P., counsel for the Underwriters, dated the Delivery Date and addressed to the Underwriters, with respect to the offering, issuance and sale by the Issuers of the Notes, the Indenture, the Registration Statement, the Pricing Disclosure Package, the Prospectus (together with any amendment or supplement thereto) and other related matters the Underwriters may reasonably require.</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00"/>
          </w:cols>
          <w:pgMar w:left="700" w:top="274" w:right="299" w:bottom="1440" w:gutter="0" w:footer="0" w:header="0"/>
        </w:sectPr>
      </w:pPr>
    </w:p>
    <w:bookmarkStart w:id="35" w:name="page36"/>
    <w:bookmarkEnd w:id="35"/>
    <w:p>
      <w:pPr>
        <w:ind w:firstLine="443"/>
        <w:spacing w:after="0" w:line="255" w:lineRule="auto"/>
        <w:tabs>
          <w:tab w:leader="none" w:pos="693"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 shall be a date not more than five days prior to the date of such letter.</w:t>
      </w:r>
    </w:p>
    <w:p>
      <w:pPr>
        <w:spacing w:after="0" w:line="85" w:lineRule="exact"/>
        <w:rPr>
          <w:rFonts w:ascii="Arial" w:cs="Arial" w:eastAsia="Arial" w:hAnsi="Arial"/>
          <w:sz w:val="18"/>
          <w:szCs w:val="18"/>
          <w:color w:val="auto"/>
        </w:rPr>
      </w:pPr>
    </w:p>
    <w:p>
      <w:pPr>
        <w:ind w:right="40" w:firstLine="443"/>
        <w:spacing w:after="0" w:line="286" w:lineRule="auto"/>
        <w:tabs>
          <w:tab w:leader="none" w:pos="653" w:val="left"/>
        </w:tabs>
        <w:numPr>
          <w:ilvl w:val="0"/>
          <w:numId w:val="49"/>
        </w:numPr>
        <w:rPr>
          <w:rFonts w:ascii="Arial" w:cs="Arial" w:eastAsia="Arial" w:hAnsi="Arial"/>
          <w:sz w:val="17"/>
          <w:szCs w:val="17"/>
          <w:color w:val="auto"/>
        </w:rPr>
      </w:pPr>
      <w:r>
        <w:rPr>
          <w:rFonts w:ascii="Arial" w:cs="Arial" w:eastAsia="Arial" w:hAnsi="Arial"/>
          <w:sz w:val="17"/>
          <w:szCs w:val="17"/>
          <w:color w:val="auto"/>
        </w:rPr>
        <w:t>On the Delivery Date, the Representatives shall have received from PricewaterhouseCoopers LLP a letter, dated as of the Delivery Date, to the effect that it reaffirms the statements made in the respective letter furnished pursuant to paragraph (h) of this Section 7, except that the date referred to in the proviso in Section 7(h) hereof shall be a date not more than three business days prior to the Delivery Date.</w:t>
      </w:r>
    </w:p>
    <w:p>
      <w:pPr>
        <w:spacing w:after="0" w:line="57" w:lineRule="exact"/>
        <w:rPr>
          <w:rFonts w:ascii="Arial" w:cs="Arial" w:eastAsia="Arial" w:hAnsi="Arial"/>
          <w:sz w:val="17"/>
          <w:szCs w:val="17"/>
          <w:color w:val="auto"/>
        </w:rPr>
      </w:pPr>
    </w:p>
    <w:p>
      <w:pPr>
        <w:ind w:right="120" w:firstLine="443"/>
        <w:spacing w:after="0" w:line="259" w:lineRule="auto"/>
        <w:tabs>
          <w:tab w:leader="none" w:pos="6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Partnership shall have furnished to the Representatives at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w:t>
      </w:r>
    </w:p>
    <w:p>
      <w:pPr>
        <w:spacing w:after="0" w:line="78" w:lineRule="exact"/>
        <w:rPr>
          <w:rFonts w:ascii="Arial" w:cs="Arial" w:eastAsia="Arial" w:hAnsi="Arial"/>
          <w:sz w:val="18"/>
          <w:szCs w:val="18"/>
          <w:color w:val="auto"/>
        </w:rPr>
      </w:pPr>
    </w:p>
    <w:p>
      <w:pPr>
        <w:ind w:left="460" w:right="80" w:firstLine="421"/>
        <w:spacing w:after="0" w:line="264" w:lineRule="auto"/>
        <w:tabs>
          <w:tab w:leader="none" w:pos="1175"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representations and warranties of the Partnership in this Agreement are true and correct on and as of the Delivery Date with the same effect as if made on the Delivery Date and the Partnership has complied in all material respects with all the agreements and satisfied all the conditions on its part to be performed or satisfied at or prior to the Delivery Date;</w:t>
      </w:r>
    </w:p>
    <w:p>
      <w:pPr>
        <w:spacing w:after="0" w:line="73" w:lineRule="exact"/>
        <w:rPr>
          <w:rFonts w:ascii="Arial" w:cs="Arial" w:eastAsia="Arial" w:hAnsi="Arial"/>
          <w:sz w:val="18"/>
          <w:szCs w:val="18"/>
          <w:color w:val="auto"/>
        </w:rPr>
      </w:pPr>
    </w:p>
    <w:p>
      <w:pPr>
        <w:ind w:left="460" w:right="520" w:firstLine="421"/>
        <w:spacing w:after="0" w:line="277" w:lineRule="auto"/>
        <w:tabs>
          <w:tab w:leader="none" w:pos="1165"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Partnership’s knowledge, threatened; and</w:t>
      </w:r>
    </w:p>
    <w:p>
      <w:pPr>
        <w:spacing w:after="0" w:line="62" w:lineRule="exact"/>
        <w:rPr>
          <w:rFonts w:ascii="Arial" w:cs="Arial" w:eastAsia="Arial" w:hAnsi="Arial"/>
          <w:sz w:val="18"/>
          <w:szCs w:val="18"/>
          <w:color w:val="auto"/>
        </w:rPr>
      </w:pPr>
    </w:p>
    <w:p>
      <w:pPr>
        <w:jc w:val="both"/>
        <w:ind w:left="460" w:right="120" w:firstLine="421"/>
        <w:spacing w:after="0" w:line="259" w:lineRule="auto"/>
        <w:tabs>
          <w:tab w:leader="none" w:pos="1165" w:val="left"/>
        </w:tabs>
        <w:numPr>
          <w:ilvl w:val="1"/>
          <w:numId w:val="49"/>
        </w:numPr>
        <w:rPr>
          <w:rFonts w:ascii="Arial" w:cs="Arial" w:eastAsia="Arial" w:hAnsi="Arial"/>
          <w:sz w:val="18"/>
          <w:szCs w:val="18"/>
          <w:color w:val="auto"/>
        </w:rPr>
      </w:pPr>
      <w:r>
        <w:rPr>
          <w:rFonts w:ascii="Arial" w:cs="Arial" w:eastAsia="Arial" w:hAnsi="Arial"/>
          <w:sz w:val="18"/>
          <w:szCs w:val="18"/>
          <w:color w:val="auto"/>
        </w:rPr>
        <w:t>(i) the Registration Statement, as of the Effective Date, (ii) the Prospectus, as of its date and on the Delivery Date, and (iii)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78" w:lineRule="exact"/>
        <w:rPr>
          <w:rFonts w:ascii="Arial" w:cs="Arial" w:eastAsia="Arial" w:hAnsi="Arial"/>
          <w:sz w:val="18"/>
          <w:szCs w:val="18"/>
          <w:color w:val="auto"/>
        </w:rPr>
      </w:pPr>
    </w:p>
    <w:p>
      <w:pPr>
        <w:ind w:right="120" w:firstLine="443"/>
        <w:spacing w:after="0" w:line="264" w:lineRule="auto"/>
        <w:tabs>
          <w:tab w:leader="none" w:pos="693"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PAA Finance shall have furnished to the Representatives at the Delivery Date a certificate of PAA Finance, signed on behalf of PAA Finance by the President or any Vice President of PAA Finance, dated the Delivery Date, to the effect that the signers of such certificate have examined the Registration Statement, the Pricing Disclosure</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700" w:top="274" w:right="239" w:bottom="1440" w:gutter="0" w:footer="0" w:header="0"/>
        </w:sectPr>
      </w:pPr>
    </w:p>
    <w:bookmarkStart w:id="36" w:name="page37"/>
    <w:bookmarkEnd w:id="36"/>
    <w:p>
      <w:pPr>
        <w:ind w:left="46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Package, the Prospectus and any amendment or supplement thereto, and this Agreement and that the representations and warranties of PAA Finance contained in this Agreement are true and correct on and as of the Delivery Date with the same effect as if made on the Delivery Date and PAA Finance has complied in all material respects with all the agreements and satisfied all the conditions on its part to be performed or satisfied at or prior to the Delivery Date.</w:t>
      </w:r>
    </w:p>
    <w:p>
      <w:pPr>
        <w:spacing w:after="0" w:line="75" w:lineRule="exact"/>
        <w:rPr>
          <w:sz w:val="20"/>
          <w:szCs w:val="20"/>
          <w:color w:val="auto"/>
        </w:rPr>
      </w:pPr>
    </w:p>
    <w:p>
      <w:pPr>
        <w:ind w:left="460" w:right="160" w:firstLine="443"/>
        <w:spacing w:after="0" w:line="273" w:lineRule="auto"/>
        <w:tabs>
          <w:tab w:leader="none" w:pos="1113" w:val="left"/>
        </w:tabs>
        <w:numPr>
          <w:ilvl w:val="0"/>
          <w:numId w:val="50"/>
        </w:numPr>
        <w:rPr>
          <w:rFonts w:ascii="Arial" w:cs="Arial" w:eastAsia="Arial" w:hAnsi="Arial"/>
          <w:sz w:val="17"/>
          <w:szCs w:val="17"/>
          <w:color w:val="auto"/>
        </w:rPr>
      </w:pPr>
      <w:r>
        <w:rPr>
          <w:rFonts w:ascii="Arial" w:cs="Arial" w:eastAsia="Arial" w:hAnsi="Arial"/>
          <w:sz w:val="17"/>
          <w:szCs w:val="17"/>
          <w:color w:val="auto"/>
        </w:rPr>
        <w:t>At the Delivery Date, the Notes shall be rated at least “Baa2” by Moody’s Investors Services, Inc. (“</w:t>
      </w:r>
      <w:r>
        <w:rPr>
          <w:rFonts w:ascii="Arial" w:cs="Arial" w:eastAsia="Arial" w:hAnsi="Arial"/>
          <w:sz w:val="17"/>
          <w:szCs w:val="17"/>
          <w:b w:val="1"/>
          <w:bCs w:val="1"/>
          <w:color w:val="auto"/>
        </w:rPr>
        <w:t>Moody’s</w:t>
      </w:r>
      <w:r>
        <w:rPr>
          <w:rFonts w:ascii="Arial" w:cs="Arial" w:eastAsia="Arial" w:hAnsi="Arial"/>
          <w:sz w:val="17"/>
          <w:szCs w:val="17"/>
          <w:color w:val="auto"/>
        </w:rPr>
        <w:t>”) and “BBB” by Standard &amp; Poor’s Ratings Services, a division of The McGraw-Hill Companies, Inc. (“</w:t>
      </w:r>
      <w:r>
        <w:rPr>
          <w:rFonts w:ascii="Arial" w:cs="Arial" w:eastAsia="Arial" w:hAnsi="Arial"/>
          <w:sz w:val="17"/>
          <w:szCs w:val="17"/>
          <w:b w:val="1"/>
          <w:bCs w:val="1"/>
          <w:color w:val="auto"/>
        </w:rPr>
        <w:t>S&amp;P</w:t>
      </w:r>
      <w:r>
        <w:rPr>
          <w:rFonts w:ascii="Arial" w:cs="Arial" w:eastAsia="Arial" w:hAnsi="Arial"/>
          <w:sz w:val="17"/>
          <w:szCs w:val="17"/>
          <w:color w:val="auto"/>
        </w:rPr>
        <w:t>”), and the Issuers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(A) the Notes below “Baa2” by Moody’s and “BBB” by S&amp;P or (B) either of the Issuers’ other debt securities by any “nationally recognized statistical rating agency,” as that term is defined under Section 3(a)(62) under the Exchange Act, and no such organization shall have publicly announced that it has under surveillance or review, with possible negative implications, its ratings of the Notes or either of the Issuers’ other debt securities.</w:t>
      </w:r>
    </w:p>
    <w:p>
      <w:pPr>
        <w:spacing w:after="0" w:line="68" w:lineRule="exact"/>
        <w:rPr>
          <w:rFonts w:ascii="Arial" w:cs="Arial" w:eastAsia="Arial" w:hAnsi="Arial"/>
          <w:sz w:val="17"/>
          <w:szCs w:val="17"/>
          <w:color w:val="auto"/>
        </w:rPr>
      </w:pPr>
    </w:p>
    <w:p>
      <w:pPr>
        <w:ind w:left="460" w:right="40" w:firstLine="443"/>
        <w:spacing w:after="0" w:line="277" w:lineRule="auto"/>
        <w:tabs>
          <w:tab w:leader="none" w:pos="120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Issuers and the Trustee shall have executed and delivered the Supplemental Indenture, and the Issuers shall have executed and delivered the Global Notes.</w:t>
      </w:r>
    </w:p>
    <w:p>
      <w:pPr>
        <w:spacing w:after="0" w:line="62"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At the time of the execution of this Agreement, the Representatives shall have received from the Partnership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signed by the chief financial officer of the General Partner.</w:t>
      </w:r>
    </w:p>
    <w:p>
      <w:pPr>
        <w:spacing w:after="0" w:line="170" w:lineRule="exact"/>
        <w:rPr>
          <w:sz w:val="20"/>
          <w:szCs w:val="20"/>
          <w:color w:val="auto"/>
        </w:rPr>
      </w:pPr>
    </w:p>
    <w:p>
      <w:pPr>
        <w:jc w:val="both"/>
        <w:ind w:right="100" w:firstLine="913"/>
        <w:spacing w:after="0" w:line="286" w:lineRule="auto"/>
        <w:rPr>
          <w:sz w:val="20"/>
          <w:szCs w:val="20"/>
          <w:color w:val="auto"/>
        </w:rPr>
      </w:pPr>
      <w:r>
        <w:rPr>
          <w:rFonts w:ascii="Arial" w:cs="Arial" w:eastAsia="Arial" w:hAnsi="Arial"/>
          <w:sz w:val="17"/>
          <w:szCs w:val="17"/>
          <w:color w:val="auto"/>
        </w:rPr>
        <w:t>All such opinions, certificates, letters and other documents referred to in this Section 7 will be in compliance with the provisions hereof only if they are reasonably satisfactory in form and substance to the Representatives and counsel for the Underwriters. The Issuers shall furnish to the Underwriters conformed copies of such opinions, certificates, letters and other documents in such number as they shall reasonably request.</w:t>
      </w:r>
    </w:p>
    <w:p>
      <w:pPr>
        <w:spacing w:after="0" w:line="166"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Delivery Date by the Underwriters. Notice of such cancellation shall be given to the Issuers in writing or by telephone or facsimile confirmed in writing.</w:t>
      </w:r>
    </w:p>
    <w:p>
      <w:pPr>
        <w:spacing w:after="0" w:line="80" w:lineRule="exact"/>
        <w:rPr>
          <w:sz w:val="20"/>
          <w:szCs w:val="20"/>
          <w:color w:val="auto"/>
        </w:rPr>
      </w:pPr>
    </w:p>
    <w:p>
      <w:pPr>
        <w:jc w:val="both"/>
        <w:ind w:right="600" w:firstLine="464"/>
        <w:spacing w:after="0" w:line="264" w:lineRule="auto"/>
        <w:tabs>
          <w:tab w:leader="none" w:pos="63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Issuers agree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74" w:right="299" w:bottom="1440" w:gutter="0" w:footer="0" w:header="0"/>
        </w:sectPr>
      </w:pPr>
    </w:p>
    <w:bookmarkStart w:id="37" w:name="page38"/>
    <w:bookmarkEnd w:id="37"/>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 (iv) 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Section 5(g)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or the Issuers in connection with presentations to prospective purchasers of the Notes; (ix) the fees and expenses of the Partnership’s accountants and the fees and expenses of counsel (including local and special counsel) for the Issuers;</w:t>
      </w:r>
    </w:p>
    <w:p>
      <w:pPr>
        <w:spacing w:after="0" w:line="4" w:lineRule="exact"/>
        <w:rPr>
          <w:sz w:val="20"/>
          <w:szCs w:val="20"/>
          <w:color w:val="auto"/>
        </w:rPr>
      </w:pPr>
    </w:p>
    <w:p>
      <w:pPr>
        <w:ind w:right="620" w:firstLine="8"/>
        <w:spacing w:after="0" w:line="261"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fees charged by rating agencies for rating the Notes; and (xi) the fees and expenses of the Trustee and paying agent (including related fees and expenses of any counsel for such parties).</w:t>
      </w:r>
    </w:p>
    <w:p>
      <w:pPr>
        <w:spacing w:after="0" w:line="184"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It is understood, however, that except as otherwise provided in this Section 8 or Section 5(j) hereof, the Underwriters will pay all of their own costs and expenses, including the fees of their counsel, transfer taxes on any resale of the Notes by any Underwriter, any advertising expenses connected with any offers they may make and the transportation and other expenses incurred by the Underwriters on their own behalf in connection with presentations to prospective purchasers of the Notes.</w:t>
      </w:r>
    </w:p>
    <w:p>
      <w:pPr>
        <w:spacing w:after="0" w:line="79" w:lineRule="exact"/>
        <w:rPr>
          <w:sz w:val="20"/>
          <w:szCs w:val="20"/>
          <w:color w:val="auto"/>
        </w:rPr>
      </w:pPr>
    </w:p>
    <w:p>
      <w:pPr>
        <w:ind w:right="60" w:firstLine="464"/>
        <w:spacing w:after="0" w:line="269" w:lineRule="auto"/>
        <w:tabs>
          <w:tab w:leader="none" w:pos="636"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of the Underwriters shall fail or refuse to purchase Notes that it or they are obligated to 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bears to the aggregate principal amount of Notes set forth opposite the names of all non-defaulting Underwriters or in such other proportion as the Representatives may specify in accordance with the Agreement Among Underwriters of J.P. Morgan Securities LLC to purchase the Notes that such defaulting 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 default occurs is more than one-tenth of the aggregate principal amount of Notes that the Underwriters are obligated to purchase on the Delivery Date and arrangements satisfactory to the Representatives and the Issuers for the purchase of such Notes by one or more non-defaulting Underwriters or other party or parties approved by the Representatives and the Issuers are not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8" w:name="page39"/>
    <w:bookmarkEnd w:id="38"/>
    <w:p>
      <w:pPr>
        <w:ind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within 36 hours after such default, this Agreement will terminate without liability on the part of any party hereto (other than any defaulting Underwriter). In any such case that does not result in termination of this Agreement, either the Representatives or the Issuers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Arial" w:cs="Arial" w:eastAsia="Arial" w:hAnsi="Arial"/>
          <w:sz w:val="17"/>
          <w:szCs w:val="17"/>
          <w:b w:val="1"/>
          <w:bCs w:val="1"/>
          <w:color w:val="auto"/>
        </w:rPr>
        <w:t>Underwriter</w:t>
      </w:r>
      <w:r>
        <w:rPr>
          <w:rFonts w:ascii="Arial" w:cs="Arial" w:eastAsia="Arial" w:hAnsi="Arial"/>
          <w:sz w:val="17"/>
          <w:szCs w:val="17"/>
          <w:color w:val="auto"/>
        </w:rPr>
        <w:t xml:space="preserve">” as used in this Agreement includes, for all purposes of this Agreement, any party not listed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who, with the Representatives’ approval and the approval of the Issuers, purchases Notes that a defaulting Underwriter is obligated, but fails or refuses, to purchase.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notice under this Section 9 may be given by telegram, telecopy or telephone but shall be subsequently confirmed by letter.</w:t>
      </w:r>
    </w:p>
    <w:p>
      <w:pPr>
        <w:spacing w:after="0" w:line="117" w:lineRule="exact"/>
        <w:rPr>
          <w:sz w:val="20"/>
          <w:szCs w:val="20"/>
          <w:color w:val="auto"/>
        </w:rPr>
      </w:pPr>
    </w:p>
    <w:p>
      <w:pPr>
        <w:ind w:right="20" w:firstLine="464"/>
        <w:spacing w:after="0" w:line="269" w:lineRule="auto"/>
        <w:tabs>
          <w:tab w:leader="none" w:pos="726"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Termination of Agreement</w:t>
      </w:r>
      <w:r>
        <w:rPr>
          <w:rFonts w:ascii="Arial" w:cs="Arial" w:eastAsia="Arial" w:hAnsi="Arial"/>
          <w:sz w:val="17"/>
          <w:szCs w:val="17"/>
          <w:color w:val="auto"/>
        </w:rPr>
        <w:t>. This Agreement shall be subject to termination in the Representatives’ absolute discretion, without liability on the part of any Underwriter to any Issuer, by notice to the Issuers prior to delivery of and payment for the Notes, if at any time prior to such time (i) trading in the Partnership’s Common Units shall have been suspended by the Commission or the NYSE or 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or with respect to Euroclear S.A./N.V. and Clearstream Banking, société anonyme,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Notes as contemplated by the Prospectus (exclusive of any amendment or supplement thereto). Notice of such termination may be given to the Issuers by telegram, telecopy or telephone and shall be subsequently confirmed by letter.</w:t>
      </w:r>
    </w:p>
    <w:p>
      <w:pPr>
        <w:spacing w:after="0" w:line="74" w:lineRule="exact"/>
        <w:rPr>
          <w:rFonts w:ascii="Arial" w:cs="Arial" w:eastAsia="Arial" w:hAnsi="Arial"/>
          <w:sz w:val="17"/>
          <w:szCs w:val="17"/>
          <w:color w:val="auto"/>
        </w:rPr>
      </w:pPr>
    </w:p>
    <w:p>
      <w:pPr>
        <w:ind w:firstLine="464"/>
        <w:spacing w:after="0" w:line="253"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Notice; Successors</w:t>
      </w:r>
      <w:r>
        <w:rPr>
          <w:rFonts w:ascii="Arial" w:cs="Arial" w:eastAsia="Arial" w:hAnsi="Arial"/>
          <w:sz w:val="18"/>
          <w:szCs w:val="18"/>
          <w:color w:val="auto"/>
        </w:rPr>
        <w:t>. Except as otherwise provided in Sections 5, 9 and 10 hereof, all communications hereunder will be in writing and effective only on receipt, and, if sent to the Underwriters, will be mailed, delivered or telefaxed to the Representatives c/o J.P. Morgan Securities LLC, 383 Madison Avenue, New York, New York 10179; Attn: Investment Grade Syndicate Desk – 3rd floor; (fax: (212) 834-6081); Barclays Capital Inc., 745 Seventh Avenue, New York, New York 10019, Attention: Syndicate Registration (fax: (646) 834-8133); BNP Paribas Securities Corp., 787 Seventh Avenue, New York, New York 10019, Attention: Syndicate Desk—7th Floor (fax: (212) 841-3930); and Merrill Lynch, Pierce, Fenner &amp; Smith Incorporated, 50 Rockefeller Plaza, NY1-050-12-01, New York, New York 10020 (fax: (212) 901-7881); Attention: High Grade Debt Capital Markets Transaction Management/Legal; with a copy (which shall not constitute notice) to Baker Botts L.L.P., 910 Louisiana St., Houston, Texas 77002, Attention: Joshua Davidson; or, if sent to either of the Issuers, will be mailed, delivered or telefaxed to (713) 646-4313 and confirmed to it at 333 Clay St., Suite 1600, Houston, Texas 77002, Attention: General Counsel.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39" w:name="page40"/>
    <w:bookmarkEnd w:id="39"/>
    <w:p>
      <w:pPr>
        <w:ind w:right="6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has been and is made solely for the benefit of the several Underwriters and their directors, officers, employees, agents and other controlling persons referred to in Section 6 hereof and the Issuers and GP LLC’s directors and officers who sign the Registration Statement, and other controlling persons referred to in Section 6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w:t>
      </w:r>
    </w:p>
    <w:p>
      <w:pPr>
        <w:spacing w:after="0" w:line="64" w:lineRule="exact"/>
        <w:rPr>
          <w:sz w:val="20"/>
          <w:szCs w:val="20"/>
          <w:color w:val="auto"/>
        </w:rPr>
      </w:pPr>
    </w:p>
    <w:p>
      <w:pPr>
        <w:ind w:right="120" w:firstLine="464"/>
        <w:spacing w:after="0" w:line="276" w:lineRule="auto"/>
        <w:tabs>
          <w:tab w:leader="none" w:pos="726"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Information Furnished by the Underwriters</w:t>
      </w:r>
      <w:r>
        <w:rPr>
          <w:rFonts w:ascii="Arial" w:cs="Arial" w:eastAsia="Arial" w:hAnsi="Arial"/>
          <w:sz w:val="17"/>
          <w:szCs w:val="17"/>
          <w:color w:val="auto"/>
        </w:rPr>
        <w:t>. The Issuers acknowledge that the following statements set forth in the most recent Preliminary Prospectus and the Prospectus constitute the only information furnished by or on behalf of the Underwriters through the Representatives as such information is referred to in Sections 1(c), 1(d), 1(f), 1(g), 5(p), 6(a) and 6(c) hereof: (A) the names of the Underwriters, (B) the table under the first paragraph under the heading “Underwriting,” (C) the first paragraph under the heading “Underwriting — Underwriting Discounts” related to concessions and (D) the paragraph under the heading “Underwriting — Stabilization and Short Positions.”</w:t>
      </w:r>
    </w:p>
    <w:p>
      <w:pPr>
        <w:spacing w:after="0" w:line="64" w:lineRule="exact"/>
        <w:rPr>
          <w:rFonts w:ascii="Arial" w:cs="Arial" w:eastAsia="Arial" w:hAnsi="Arial"/>
          <w:sz w:val="17"/>
          <w:szCs w:val="17"/>
          <w:color w:val="auto"/>
        </w:rPr>
      </w:pPr>
    </w:p>
    <w:p>
      <w:pPr>
        <w:ind w:right="20" w:firstLine="464"/>
        <w:spacing w:after="0" w:line="289" w:lineRule="auto"/>
        <w:tabs>
          <w:tab w:leader="none" w:pos="726"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Research Analyst Independence</w:t>
      </w:r>
      <w:r>
        <w:rPr>
          <w:rFonts w:ascii="Arial" w:cs="Arial" w:eastAsia="Arial" w:hAnsi="Arial"/>
          <w:sz w:val="16"/>
          <w:szCs w:val="16"/>
          <w:color w:val="auto"/>
        </w:rPr>
        <w:t>. The Issuers acknowledge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Issuers and/or the offering that differ from the views of their respective investment banking divisions. The Issuers hereby waive and release, to the fullest extent permitted by law, any claims that the Issuers may have against the Underwriters with respect to any conflict of interest that may arise from the fact that the views expressed by their independent research analysts and research departments may be different from or inconsistent with the views or advice communicated to the Issuers by such Underwriters’ investment banking divisions. The Issuers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58" w:lineRule="exact"/>
        <w:rPr>
          <w:rFonts w:ascii="Arial" w:cs="Arial" w:eastAsia="Arial" w:hAnsi="Arial"/>
          <w:sz w:val="16"/>
          <w:szCs w:val="16"/>
          <w:color w:val="auto"/>
        </w:rPr>
      </w:pPr>
    </w:p>
    <w:p>
      <w:pPr>
        <w:ind w:firstLine="464"/>
        <w:spacing w:after="0" w:line="277" w:lineRule="auto"/>
        <w:tabs>
          <w:tab w:leader="none" w:pos="72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Issuers and the Underwriters, or any of them, with respect to the subject matter hereof.</w:t>
      </w:r>
    </w:p>
    <w:p>
      <w:pPr>
        <w:spacing w:after="0" w:line="62" w:lineRule="exact"/>
        <w:rPr>
          <w:rFonts w:ascii="Arial" w:cs="Arial" w:eastAsia="Arial" w:hAnsi="Arial"/>
          <w:sz w:val="18"/>
          <w:szCs w:val="18"/>
          <w:color w:val="auto"/>
        </w:rPr>
      </w:pPr>
    </w:p>
    <w:p>
      <w:pPr>
        <w:ind w:left="740" w:hanging="276"/>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117" w:lineRule="exact"/>
        <w:rPr>
          <w:rFonts w:ascii="Arial" w:cs="Arial" w:eastAsia="Arial" w:hAnsi="Arial"/>
          <w:sz w:val="18"/>
          <w:szCs w:val="18"/>
          <w:color w:val="auto"/>
        </w:rPr>
      </w:pPr>
    </w:p>
    <w:p>
      <w:pPr>
        <w:ind w:left="740" w:hanging="276"/>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Effective Date of Agreement</w:t>
      </w:r>
      <w:r>
        <w:rPr>
          <w:rFonts w:ascii="Arial" w:cs="Arial" w:eastAsia="Arial" w:hAnsi="Arial"/>
          <w:sz w:val="18"/>
          <w:szCs w:val="18"/>
          <w:color w:val="auto"/>
        </w:rPr>
        <w:t>. This Agreement shall become effective upon the execution and delivery hereof by the parties hereto.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0" w:name="page41"/>
    <w:bookmarkEnd w:id="40"/>
    <w:p>
      <w:pPr>
        <w:ind w:left="-40" w:firstLine="464"/>
        <w:spacing w:after="0" w:line="270" w:lineRule="auto"/>
        <w:tabs>
          <w:tab w:leader="none" w:pos="686"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Fiduciary Duty</w:t>
      </w:r>
      <w:r>
        <w:rPr>
          <w:rFonts w:ascii="Arial" w:cs="Arial" w:eastAsia="Arial" w:hAnsi="Arial"/>
          <w:sz w:val="17"/>
          <w:szCs w:val="17"/>
          <w:color w:val="auto"/>
        </w:rPr>
        <w:t>. The Issuers acknowledge and agree that in connection with this offering and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Issuers and any other person, on the one hand, and the Underwriters, on the other hand, exists; (ii) the Underwriters are not acting as advisors, expert or otherwise, to either of the Issuers, including, without limitation, with respect to the determination of the public offering price of the Notes, and such relationship between the Issuers, on the one hand, and the Underwriters, on the other, is entirely and solely commercial, based on arms-length negotiations; (iii) any duties and obligations that the Underwriters may have to the Issuers shall be limited to those duties and obligations specifically stated herein; and (iv) the Underwriters and their respective affiliates may have interests that differ from those of the Issuers. The Issuers hereby waive any claims that they may have against the Underwriters with respect to any breach of fiduciary duty in connection with this offering.</w:t>
      </w:r>
    </w:p>
    <w:p>
      <w:pPr>
        <w:spacing w:after="0" w:line="73" w:lineRule="exact"/>
        <w:rPr>
          <w:rFonts w:ascii="Arial" w:cs="Arial" w:eastAsia="Arial" w:hAnsi="Arial"/>
          <w:sz w:val="17"/>
          <w:szCs w:val="17"/>
          <w:color w:val="auto"/>
        </w:rPr>
      </w:pPr>
    </w:p>
    <w:p>
      <w:pPr>
        <w:jc w:val="both"/>
        <w:ind w:left="-40" w:right="100" w:firstLine="464"/>
        <w:spacing w:after="0" w:line="259" w:lineRule="auto"/>
        <w:tabs>
          <w:tab w:leader="none" w:pos="68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Applicable Law; Counterparts</w:t>
      </w:r>
      <w:r>
        <w:rPr>
          <w:rFonts w:ascii="Arial" w:cs="Arial" w:eastAsia="Arial" w:hAnsi="Arial"/>
          <w:sz w:val="18"/>
          <w:szCs w:val="18"/>
          <w:color w:val="auto"/>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Pages Follow</w:t>
      </w:r>
      <w:r>
        <w:rPr>
          <w:rFonts w:ascii="Arial" w:cs="Arial" w:eastAsia="Arial" w:hAnsi="Arial"/>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80" w:top="274"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that the foregoing correctly sets forth the agreement among the Issuers and the Underwriters.</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PAA GP LLC</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General Partner</w:t>
      </w:r>
    </w:p>
    <w:p>
      <w:pPr>
        <w:spacing w:after="0" w:line="10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PLAINS AAP, L.P.</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Sole Member</w:t>
      </w:r>
    </w:p>
    <w:p>
      <w:pPr>
        <w:spacing w:after="0" w:line="10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PLAINS ALL AMERICAN GP LLC</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4274820</wp:posOffset>
            </wp:positionH>
            <wp:positionV relativeFrom="paragraph">
              <wp:posOffset>14605</wp:posOffset>
            </wp:positionV>
            <wp:extent cx="23926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Charles Kingswell-Smith</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5"/>
          <w:szCs w:val="15"/>
          <w:color w:val="auto"/>
        </w:rPr>
        <w:t>Title:</w:t>
        <w:tab/>
        <w:t>Vice President and Treasurer</w:t>
      </w:r>
    </w:p>
    <w:p>
      <w:pPr>
        <w:spacing w:after="0" w:line="26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PAA FINANCE CORP.</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Charles Kingswell-Smith</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-130810</wp:posOffset>
            </wp:positionV>
            <wp:extent cx="24269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Title: Vice President and Treasurer</w:t>
      </w: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PAA Signature Page to Underwriting Agreement</w:t>
      </w:r>
    </w:p>
    <w:p>
      <w:pPr>
        <w:sectPr>
          <w:pgSz w:w="11900" w:h="16838" w:orient="portrait"/>
          <w:cols w:equalWidth="0" w:num="1">
            <w:col w:w="9380"/>
          </w:cols>
          <w:pgMar w:left="1160" w:top="274" w:right="1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by the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By:  J.P. Morgan Securities LLC</w:t>
            </w:r>
          </w:p>
        </w:tc>
        <w:tc>
          <w:tcPr>
            <w:tcW w:w="2400" w:type="dxa"/>
            <w:vAlign w:val="bottom"/>
          </w:tcPr>
          <w:p>
            <w:pPr>
              <w:spacing w:after="0"/>
              <w:rPr>
                <w:sz w:val="20"/>
                <w:szCs w:val="20"/>
                <w:color w:val="auto"/>
              </w:rPr>
            </w:pPr>
          </w:p>
        </w:tc>
        <w:tc>
          <w:tcPr>
            <w:tcW w:w="5840" w:type="dxa"/>
            <w:vAlign w:val="bottom"/>
            <w:gridSpan w:val="2"/>
          </w:tcPr>
          <w:p>
            <w:pPr>
              <w:ind w:left="460"/>
              <w:spacing w:after="0"/>
              <w:rPr>
                <w:sz w:val="20"/>
                <w:szCs w:val="20"/>
                <w:color w:val="auto"/>
              </w:rPr>
            </w:pPr>
            <w:r>
              <w:rPr>
                <w:rFonts w:ascii="Arial" w:cs="Arial" w:eastAsia="Arial" w:hAnsi="Arial"/>
                <w:sz w:val="18"/>
                <w:szCs w:val="18"/>
                <w:color w:val="auto"/>
              </w:rPr>
              <w:t>By:  Barclays Capital Inc.</w:t>
            </w:r>
          </w:p>
        </w:tc>
      </w:tr>
      <w:tr>
        <w:trPr>
          <w:trHeight w:val="459"/>
        </w:trPr>
        <w:tc>
          <w:tcPr>
            <w:tcW w:w="3180" w:type="dxa"/>
            <w:vAlign w:val="bottom"/>
            <w:gridSpan w:val="2"/>
          </w:tcPr>
          <w:p>
            <w:pPr>
              <w:ind w:left="440"/>
              <w:spacing w:after="0"/>
              <w:rPr>
                <w:sz w:val="20"/>
                <w:szCs w:val="20"/>
                <w:color w:val="auto"/>
              </w:rPr>
            </w:pPr>
            <w:r>
              <w:rPr>
                <w:rFonts w:ascii="Arial" w:cs="Arial" w:eastAsia="Arial" w:hAnsi="Arial"/>
                <w:sz w:val="18"/>
                <w:szCs w:val="18"/>
                <w:color w:val="auto"/>
              </w:rPr>
              <w:t>By:  /s/ Som Bhattacharyya</w:t>
            </w:r>
          </w:p>
        </w:tc>
        <w:tc>
          <w:tcPr>
            <w:tcW w:w="2400" w:type="dxa"/>
            <w:vAlign w:val="bottom"/>
          </w:tcPr>
          <w:p>
            <w:pPr>
              <w:spacing w:after="0"/>
              <w:rPr>
                <w:sz w:val="24"/>
                <w:szCs w:val="24"/>
                <w:color w:val="auto"/>
              </w:rPr>
            </w:pP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By:  /s/ Gregory J. Hall</w:t>
            </w:r>
          </w:p>
        </w:tc>
      </w:tr>
      <w:tr>
        <w:trPr>
          <w:trHeight w:val="209"/>
        </w:trPr>
        <w:tc>
          <w:tcPr>
            <w:tcW w:w="820" w:type="dxa"/>
            <w:vAlign w:val="bottom"/>
          </w:tcPr>
          <w:p>
            <w:pPr>
              <w:spacing w:after="0"/>
              <w:rPr>
                <w:sz w:val="18"/>
                <w:szCs w:val="18"/>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Som Bhattacharyya</w:t>
            </w:r>
          </w:p>
        </w:tc>
        <w:tc>
          <w:tcPr>
            <w:tcW w:w="2400" w:type="dxa"/>
            <w:vAlign w:val="bottom"/>
            <w:tcBorders>
              <w:top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Gregory J. Hall</w:t>
            </w:r>
          </w:p>
        </w:tc>
      </w:tr>
      <w:tr>
        <w:trPr>
          <w:trHeight w:val="230"/>
        </w:trPr>
        <w:tc>
          <w:tcPr>
            <w:tcW w:w="8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Title: Vice President</w:t>
            </w:r>
          </w:p>
        </w:tc>
        <w:tc>
          <w:tcPr>
            <w:tcW w:w="2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Title: Managing Director</w:t>
            </w:r>
          </w:p>
        </w:tc>
      </w:tr>
      <w:tr>
        <w:trPr>
          <w:trHeight w:val="445"/>
        </w:trPr>
        <w:tc>
          <w:tcPr>
            <w:tcW w:w="3180" w:type="dxa"/>
            <w:vAlign w:val="bottom"/>
            <w:gridSpan w:val="2"/>
          </w:tcPr>
          <w:p>
            <w:pPr>
              <w:spacing w:after="0"/>
              <w:rPr>
                <w:sz w:val="20"/>
                <w:szCs w:val="20"/>
                <w:color w:val="auto"/>
              </w:rPr>
            </w:pPr>
            <w:r>
              <w:rPr>
                <w:rFonts w:ascii="Arial" w:cs="Arial" w:eastAsia="Arial" w:hAnsi="Arial"/>
                <w:sz w:val="18"/>
                <w:szCs w:val="18"/>
                <w:color w:val="auto"/>
              </w:rPr>
              <w:t>By:  BNP Paribas Securities Corp.</w:t>
            </w:r>
          </w:p>
        </w:tc>
        <w:tc>
          <w:tcPr>
            <w:tcW w:w="2400" w:type="dxa"/>
            <w:vAlign w:val="bottom"/>
          </w:tcPr>
          <w:p>
            <w:pPr>
              <w:spacing w:after="0"/>
              <w:rPr>
                <w:sz w:val="24"/>
                <w:szCs w:val="24"/>
                <w:color w:val="auto"/>
              </w:rPr>
            </w:pPr>
          </w:p>
        </w:tc>
        <w:tc>
          <w:tcPr>
            <w:tcW w:w="5840" w:type="dxa"/>
            <w:vAlign w:val="bottom"/>
            <w:gridSpan w:val="2"/>
          </w:tcPr>
          <w:p>
            <w:pPr>
              <w:ind w:left="460"/>
              <w:spacing w:after="0"/>
              <w:rPr>
                <w:sz w:val="20"/>
                <w:szCs w:val="20"/>
                <w:color w:val="auto"/>
              </w:rPr>
            </w:pPr>
            <w:r>
              <w:rPr>
                <w:rFonts w:ascii="Arial" w:cs="Arial" w:eastAsia="Arial" w:hAnsi="Arial"/>
                <w:sz w:val="18"/>
                <w:szCs w:val="18"/>
                <w:color w:val="auto"/>
              </w:rPr>
              <w:t>By:  Merrill Lynch, Pierce, Fenner &amp; Smith</w:t>
            </w:r>
          </w:p>
        </w:tc>
      </w:tr>
      <w:tr>
        <w:trPr>
          <w:trHeight w:val="230"/>
        </w:trPr>
        <w:tc>
          <w:tcPr>
            <w:tcW w:w="8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40" w:type="dxa"/>
            <w:vAlign w:val="bottom"/>
            <w:gridSpan w:val="2"/>
          </w:tcPr>
          <w:p>
            <w:pPr>
              <w:ind w:left="1000"/>
              <w:spacing w:after="0"/>
              <w:rPr>
                <w:sz w:val="20"/>
                <w:szCs w:val="20"/>
                <w:color w:val="auto"/>
              </w:rPr>
            </w:pPr>
            <w:r>
              <w:rPr>
                <w:rFonts w:ascii="Arial" w:cs="Arial" w:eastAsia="Arial" w:hAnsi="Arial"/>
                <w:sz w:val="18"/>
                <w:szCs w:val="18"/>
                <w:color w:val="auto"/>
              </w:rPr>
              <w:t>Incorporated</w:t>
            </w:r>
          </w:p>
        </w:tc>
      </w:tr>
      <w:tr>
        <w:trPr>
          <w:trHeight w:val="459"/>
        </w:trPr>
        <w:tc>
          <w:tcPr>
            <w:tcW w:w="3180" w:type="dxa"/>
            <w:vAlign w:val="bottom"/>
            <w:gridSpan w:val="2"/>
          </w:tcPr>
          <w:p>
            <w:pPr>
              <w:ind w:left="440"/>
              <w:spacing w:after="0"/>
              <w:rPr>
                <w:sz w:val="20"/>
                <w:szCs w:val="20"/>
                <w:color w:val="auto"/>
              </w:rPr>
            </w:pPr>
            <w:r>
              <w:rPr>
                <w:rFonts w:ascii="Arial" w:cs="Arial" w:eastAsia="Arial" w:hAnsi="Arial"/>
                <w:sz w:val="18"/>
                <w:szCs w:val="18"/>
                <w:color w:val="auto"/>
              </w:rPr>
              <w:t>By:  /s/ Paul Lange</w:t>
            </w:r>
          </w:p>
        </w:tc>
        <w:tc>
          <w:tcPr>
            <w:tcW w:w="2400" w:type="dxa"/>
            <w:vAlign w:val="bottom"/>
          </w:tcPr>
          <w:p>
            <w:pPr>
              <w:spacing w:after="0"/>
              <w:rPr>
                <w:sz w:val="24"/>
                <w:szCs w:val="24"/>
                <w:color w:val="auto"/>
              </w:rPr>
            </w:pP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By:  /s/ Keith Harman</w:t>
            </w:r>
          </w:p>
        </w:tc>
      </w:tr>
      <w:tr>
        <w:trPr>
          <w:trHeight w:val="209"/>
        </w:trPr>
        <w:tc>
          <w:tcPr>
            <w:tcW w:w="820" w:type="dxa"/>
            <w:vAlign w:val="bottom"/>
          </w:tcPr>
          <w:p>
            <w:pPr>
              <w:spacing w:after="0"/>
              <w:rPr>
                <w:sz w:val="18"/>
                <w:szCs w:val="18"/>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Paul Lange</w:t>
            </w:r>
          </w:p>
        </w:tc>
        <w:tc>
          <w:tcPr>
            <w:tcW w:w="2400" w:type="dxa"/>
            <w:vAlign w:val="bottom"/>
            <w:tcBorders>
              <w:top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Keith Harman</w:t>
            </w:r>
          </w:p>
        </w:tc>
      </w:tr>
      <w:tr>
        <w:trPr>
          <w:trHeight w:val="230"/>
        </w:trPr>
        <w:tc>
          <w:tcPr>
            <w:tcW w:w="8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2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Title: Managing Director</w:t>
            </w:r>
          </w:p>
        </w:tc>
      </w:tr>
      <w:tr>
        <w:trPr>
          <w:trHeight w:val="432"/>
        </w:trPr>
        <w:tc>
          <w:tcPr>
            <w:tcW w:w="8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240" w:type="dxa"/>
            <w:vAlign w:val="bottom"/>
            <w:gridSpan w:val="3"/>
          </w:tcPr>
          <w:p>
            <w:pPr>
              <w:ind w:left="420"/>
              <w:spacing w:after="0"/>
              <w:rPr>
                <w:sz w:val="20"/>
                <w:szCs w:val="20"/>
                <w:color w:val="auto"/>
              </w:rPr>
            </w:pPr>
            <w:r>
              <w:rPr>
                <w:rFonts w:ascii="Arial" w:cs="Arial" w:eastAsia="Arial" w:hAnsi="Arial"/>
                <w:sz w:val="18"/>
                <w:szCs w:val="18"/>
                <w:i w:val="1"/>
                <w:iCs w:val="1"/>
                <w:color w:val="auto"/>
              </w:rPr>
              <w:t>Underwriters’ Signature Page to Underwriting Agreement</w:t>
            </w:r>
          </w:p>
        </w:tc>
      </w:tr>
    </w:tbl>
    <w:p>
      <w:pPr>
        <w:sectPr>
          <w:pgSz w:w="11900" w:h="16838" w:orient="portrait"/>
          <w:cols w:equalWidth="0" w:num="1">
            <w:col w:w="11420"/>
          </w:cols>
          <w:pgMar w:left="240" w:top="27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Principal Amount of</w:t>
            </w:r>
          </w:p>
        </w:tc>
        <w:tc>
          <w:tcPr>
            <w:tcW w:w="0" w:type="dxa"/>
            <w:vAlign w:val="bottom"/>
          </w:tcPr>
          <w:p>
            <w:pPr>
              <w:spacing w:after="0"/>
              <w:rPr>
                <w:sz w:val="1"/>
                <w:szCs w:val="1"/>
                <w:color w:val="auto"/>
              </w:rPr>
            </w:pPr>
          </w:p>
        </w:tc>
      </w:tr>
      <w:tr>
        <w:trPr>
          <w:trHeight w:val="158"/>
        </w:trPr>
        <w:tc>
          <w:tcPr>
            <w:tcW w:w="6300" w:type="dxa"/>
            <w:vAlign w:val="bottom"/>
            <w:gridSpan w:val="2"/>
            <w:vMerge w:val="continue"/>
          </w:tcPr>
          <w:p>
            <w:pPr>
              <w:spacing w:after="0"/>
              <w:rPr>
                <w:sz w:val="13"/>
                <w:szCs w:val="13"/>
                <w:color w:val="auto"/>
              </w:rPr>
            </w:pPr>
          </w:p>
        </w:tc>
        <w:tc>
          <w:tcPr>
            <w:tcW w:w="146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w w:val="94"/>
              </w:rPr>
              <w:t>Notes to be Purchased</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112,500,000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 Incorporated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DNB Markets, Inc.</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BMO Capital Markets Corp.</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CIBC World Markets Corp.</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Third Securities, Inc.</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ING Financial Markets LLC</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Schedule I to Underwriting Agreement</w:t>
      </w:r>
    </w:p>
    <w:p>
      <w:pPr>
        <w:sectPr>
          <w:pgSz w:w="11900" w:h="16838" w:orient="portrait"/>
          <w:cols w:equalWidth="0" w:num="1">
            <w:col w:w="10220"/>
          </w:cols>
          <w:pgMar w:left="1440" w:top="27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333-184137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 2014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Final Term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$750,000,000 3.60% Senior Notes due 2024</w:t>
      </w:r>
    </w:p>
    <w:p>
      <w:pPr>
        <w:sectPr>
          <w:pgSz w:w="11900" w:h="16838" w:orient="portrait"/>
          <w:cols w:equalWidth="0" w:num="1">
            <w:col w:w="11420"/>
          </w:cols>
          <w:pgMar w:left="240" w:top="270" w:right="2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Issuers: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Security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Format: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Ratings (Moody’s / S&amp;P)*: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Pricing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 (T+5):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Benchmark: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Benchmark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Net Proceeds (after estimated expenses) to the Partnership: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Call at Par: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CUSIP / ISIN: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Joint Book-Running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Co-Managers: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Plains All American Pipeline, L.P. and PAA Finance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Senior Unsecured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 Registered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[Ratings Intentionally Omitted]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 2024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UST 2.375% due August 15, 2024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+120 bps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99.842%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$742.7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T+20 bps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or after August 1, 2024</w:t>
      </w:r>
    </w:p>
    <w:p>
      <w:pPr>
        <w:spacing w:after="0" w:line="9" w:lineRule="exact"/>
        <w:rPr>
          <w:sz w:val="20"/>
          <w:szCs w:val="20"/>
          <w:color w:val="auto"/>
        </w:rPr>
      </w:pPr>
    </w:p>
    <w:p>
      <w:pPr>
        <w:ind w:right="1660"/>
        <w:spacing w:after="0" w:line="250" w:lineRule="auto"/>
        <w:rPr>
          <w:sz w:val="20"/>
          <w:szCs w:val="20"/>
          <w:color w:val="auto"/>
        </w:rPr>
      </w:pPr>
      <w:r>
        <w:rPr>
          <w:rFonts w:ascii="Arial" w:cs="Arial" w:eastAsia="Arial" w:hAnsi="Arial"/>
          <w:sz w:val="18"/>
          <w:szCs w:val="18"/>
          <w:color w:val="auto"/>
        </w:rPr>
        <w:t>May 1 and November 1, beginning on May 1, 2015 72650R BF8 / US72650RBF82 J.P. Morgan Securities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ind w:right="1600"/>
        <w:spacing w:after="0" w:line="250" w:lineRule="auto"/>
        <w:rPr>
          <w:sz w:val="20"/>
          <w:szCs w:val="20"/>
          <w:color w:val="auto"/>
        </w:rPr>
      </w:pPr>
      <w:r>
        <w:rPr>
          <w:rFonts w:ascii="Arial" w:cs="Arial" w:eastAsia="Arial" w:hAnsi="Arial"/>
          <w:sz w:val="18"/>
          <w:szCs w:val="18"/>
          <w:color w:val="auto"/>
        </w:rPr>
        <w:t>Merrill Lynch, Pierce, Fenner &amp; Smith Incorporated DNB Markets,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BBVA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SMBC Nikko Securities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0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line="51" w:lineRule="exact"/>
        <w:rPr>
          <w:sz w:val="20"/>
          <w:szCs w:val="20"/>
          <w:color w:val="auto"/>
        </w:rPr>
      </w:pPr>
    </w:p>
    <w:p>
      <w:pPr>
        <w:ind w:left="4280" w:right="2160" w:hanging="4272"/>
        <w:spacing w:after="0" w:line="528" w:lineRule="auto"/>
        <w:tabs>
          <w:tab w:leader="none" w:pos="225"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revised or withdrawn at any time. Schedule II to Underwriting Agreement</w:t>
      </w:r>
    </w:p>
    <w:p>
      <w:pPr>
        <w:sectPr>
          <w:pgSz w:w="11900" w:h="16838" w:orient="portrait"/>
          <w:cols w:equalWidth="0" w:num="1">
            <w:col w:w="11420"/>
          </w:cols>
          <w:pgMar w:left="240" w:top="270" w:right="239" w:bottom="1440" w:gutter="0" w:footer="0" w:header="0"/>
          <w:type w:val="continuous"/>
        </w:sectPr>
      </w:pPr>
    </w:p>
    <w:bookmarkStart w:id="45" w:name="page46"/>
    <w:bookmarkEnd w:id="45"/>
    <w:p>
      <w:pPr>
        <w:jc w:val="both"/>
        <w:ind w:right="3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of the notes is expected to be made against payment therefor on or about September 9, 2014, which is the 5th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w:t>
      </w:r>
    </w:p>
    <w:p>
      <w:pPr>
        <w:ind w:right="180"/>
        <w:spacing w:after="0" w:line="255" w:lineRule="auto"/>
        <w:rPr>
          <w:sz w:val="20"/>
          <w:szCs w:val="20"/>
          <w:color w:val="auto"/>
        </w:rPr>
      </w:pPr>
      <w:r>
        <w:rPr>
          <w:rFonts w:ascii="Arial" w:cs="Arial" w:eastAsia="Arial" w:hAnsi="Arial"/>
          <w:sz w:val="18"/>
          <w:szCs w:val="18"/>
          <w:color w:val="auto"/>
        </w:rPr>
        <w:t>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J.P. Morgan Securities LLC at 1-212-834-4533 (collect), Barclays Capital Inc. at 1-888-603-5847, BNP Paribas Securities Corp. at 1-800-854-5674 or Merrill Lynch, Pierce, Fenner &amp; Smith Incorporated at 1-800-294-1322.</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Schedule II to Underwriting Agreement</w:t>
      </w:r>
    </w:p>
    <w:p>
      <w:pPr>
        <w:sectPr>
          <w:pgSz w:w="11900" w:h="16838" w:orient="portrait"/>
          <w:cols w:equalWidth="0" w:num="1">
            <w:col w:w="11420"/>
          </w:cols>
          <w:pgMar w:left="240" w:top="274" w:right="239" w:bottom="1440" w:gutter="0" w:footer="0" w:header="0"/>
        </w:sectPr>
      </w:pPr>
    </w:p>
    <w:bookmarkStart w:id="46" w:name="page47"/>
    <w:bookmarkEnd w:id="46"/>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Material Subsidiaries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Schedule III to Underwriting Agreement</w:t>
      </w:r>
    </w:p>
    <w:p>
      <w:pPr>
        <w:sectPr>
          <w:pgSz w:w="11900" w:h="16838" w:orient="portrait"/>
          <w:cols w:equalWidth="0" w:num="1">
            <w:col w:w="10219"/>
          </w:cols>
          <w:pgMar w:left="240" w:top="270" w:right="1440" w:bottom="1440" w:gutter="0" w:footer="0" w:header="0"/>
        </w:sectPr>
      </w:pPr>
    </w:p>
    <w:bookmarkStart w:id="47" w:name="page48"/>
    <w:bookmarkEnd w:id="47"/>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Domestic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Schedule IV to Underwriting Agreement</w:t>
      </w:r>
    </w:p>
    <w:p>
      <w:pPr>
        <w:sectPr>
          <w:pgSz w:w="11900" w:h="16838" w:orient="portrait"/>
          <w:cols w:equalWidth="0" w:num="1">
            <w:col w:w="10219"/>
          </w:cols>
          <w:pgMar w:left="240" w:top="270"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80" w:type="dxa"/>
            <w:vAlign w:val="bottom"/>
            <w:gridSpan w:val="2"/>
          </w:tcPr>
          <w:p>
            <w:pPr>
              <w:jc w:val="center"/>
              <w:ind w:right="5240"/>
              <w:spacing w:after="0"/>
              <w:rPr>
                <w:sz w:val="20"/>
                <w:szCs w:val="20"/>
                <w:color w:val="auto"/>
              </w:rPr>
            </w:pPr>
            <w:r>
              <w:rPr>
                <w:rFonts w:ascii="Arial" w:cs="Arial" w:eastAsia="Arial" w:hAnsi="Arial"/>
                <w:sz w:val="18"/>
                <w:szCs w:val="18"/>
                <w:b w:val="1"/>
                <w:bCs w:val="1"/>
                <w:color w:val="auto"/>
              </w:rPr>
              <w:t>EXHIBIT A</w:t>
            </w:r>
          </w:p>
        </w:tc>
      </w:tr>
      <w:tr>
        <w:trPr>
          <w:trHeight w:val="20"/>
        </w:trPr>
        <w:tc>
          <w:tcPr>
            <w:tcW w:w="5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419"/>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Entity</w:t>
            </w:r>
          </w:p>
        </w:tc>
        <w:tc>
          <w:tcPr>
            <w:tcW w:w="6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Jurisdiction in which registered or qualified</w:t>
            </w:r>
          </w:p>
        </w:tc>
      </w:tr>
      <w:tr>
        <w:trPr>
          <w:trHeight w:val="311"/>
        </w:trPr>
        <w:tc>
          <w:tcPr>
            <w:tcW w:w="5040" w:type="dxa"/>
            <w:vAlign w:val="bottom"/>
            <w:gridSpan w:val="2"/>
          </w:tcPr>
          <w:p>
            <w:pPr>
              <w:spacing w:after="0"/>
              <w:rPr>
                <w:sz w:val="20"/>
                <w:szCs w:val="20"/>
                <w:color w:val="auto"/>
              </w:rPr>
            </w:pPr>
            <w:r>
              <w:rPr>
                <w:rFonts w:ascii="Arial" w:cs="Arial" w:eastAsia="Arial" w:hAnsi="Arial"/>
                <w:sz w:val="18"/>
                <w:szCs w:val="18"/>
                <w:color w:val="auto"/>
              </w:rPr>
              <w:t>Plains All American Pipeline, L.P.</w:t>
            </w:r>
          </w:p>
        </w:tc>
        <w:tc>
          <w:tcPr>
            <w:tcW w:w="6380" w:type="dxa"/>
            <w:vAlign w:val="bottom"/>
            <w:gridSpan w:val="3"/>
          </w:tcPr>
          <w:p>
            <w:pPr>
              <w:spacing w:after="0"/>
              <w:rPr>
                <w:sz w:val="20"/>
                <w:szCs w:val="20"/>
                <w:color w:val="auto"/>
              </w:rPr>
            </w:pPr>
            <w:r>
              <w:rPr>
                <w:rFonts w:ascii="Arial" w:cs="Arial" w:eastAsia="Arial" w:hAnsi="Arial"/>
                <w:sz w:val="18"/>
                <w:szCs w:val="18"/>
                <w:color w:val="auto"/>
              </w:rPr>
              <w:t>Texas</w:t>
            </w: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PAA GP LLC</w:t>
            </w:r>
          </w:p>
        </w:tc>
        <w:tc>
          <w:tcPr>
            <w:tcW w:w="6380" w:type="dxa"/>
            <w:vAlign w:val="bottom"/>
            <w:gridSpan w:val="3"/>
          </w:tcPr>
          <w:p>
            <w:pPr>
              <w:spacing w:after="0"/>
              <w:rPr>
                <w:sz w:val="20"/>
                <w:szCs w:val="20"/>
                <w:color w:val="auto"/>
              </w:rPr>
            </w:pPr>
            <w:r>
              <w:rPr>
                <w:rFonts w:ascii="Arial" w:cs="Arial" w:eastAsia="Arial" w:hAnsi="Arial"/>
                <w:sz w:val="18"/>
                <w:szCs w:val="18"/>
                <w:color w:val="auto"/>
              </w:rPr>
              <w:t>Texas</w:t>
            </w: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Plains AAP, L.P.</w:t>
            </w:r>
          </w:p>
        </w:tc>
        <w:tc>
          <w:tcPr>
            <w:tcW w:w="6380" w:type="dxa"/>
            <w:vAlign w:val="bottom"/>
            <w:gridSpan w:val="3"/>
          </w:tcPr>
          <w:p>
            <w:pPr>
              <w:spacing w:after="0"/>
              <w:rPr>
                <w:sz w:val="20"/>
                <w:szCs w:val="20"/>
                <w:color w:val="auto"/>
              </w:rPr>
            </w:pPr>
            <w:r>
              <w:rPr>
                <w:rFonts w:ascii="Arial" w:cs="Arial" w:eastAsia="Arial" w:hAnsi="Arial"/>
                <w:sz w:val="18"/>
                <w:szCs w:val="18"/>
                <w:color w:val="auto"/>
              </w:rPr>
              <w:t>Texas</w:t>
            </w: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Plains All American GP LLC</w:t>
            </w:r>
          </w:p>
        </w:tc>
        <w:tc>
          <w:tcPr>
            <w:tcW w:w="6380" w:type="dxa"/>
            <w:vAlign w:val="bottom"/>
            <w:gridSpan w:val="3"/>
          </w:tcPr>
          <w:p>
            <w:pPr>
              <w:spacing w:after="0"/>
              <w:rPr>
                <w:sz w:val="20"/>
                <w:szCs w:val="20"/>
                <w:color w:val="auto"/>
              </w:rPr>
            </w:pPr>
            <w:r>
              <w:rPr>
                <w:rFonts w:ascii="Arial" w:cs="Arial" w:eastAsia="Arial" w:hAnsi="Arial"/>
                <w:sz w:val="18"/>
                <w:szCs w:val="18"/>
                <w:color w:val="auto"/>
              </w:rPr>
              <w:t>California, Illinois, Louisiana, Oklahoma, Texas</w:t>
            </w: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Plains Marketing, L.P.</w:t>
            </w:r>
          </w:p>
        </w:tc>
        <w:tc>
          <w:tcPr>
            <w:tcW w:w="6380" w:type="dxa"/>
            <w:vAlign w:val="bottom"/>
            <w:gridSpan w:val="3"/>
          </w:tcPr>
          <w:p>
            <w:pPr>
              <w:spacing w:after="0"/>
              <w:rPr>
                <w:sz w:val="20"/>
                <w:szCs w:val="20"/>
                <w:color w:val="auto"/>
              </w:rPr>
            </w:pPr>
            <w:r>
              <w:rPr>
                <w:rFonts w:ascii="Arial" w:cs="Arial" w:eastAsia="Arial" w:hAnsi="Arial"/>
                <w:sz w:val="18"/>
                <w:szCs w:val="18"/>
                <w:color w:val="auto"/>
              </w:rPr>
              <w:t>California, Illinois, Louisiana, Oklahoma</w:t>
            </w: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Plains Pipeline, L.P.</w:t>
            </w:r>
          </w:p>
        </w:tc>
        <w:tc>
          <w:tcPr>
            <w:tcW w:w="6380" w:type="dxa"/>
            <w:vAlign w:val="bottom"/>
            <w:gridSpan w:val="3"/>
          </w:tcPr>
          <w:p>
            <w:pPr>
              <w:spacing w:after="0"/>
              <w:rPr>
                <w:sz w:val="20"/>
                <w:szCs w:val="20"/>
                <w:color w:val="auto"/>
              </w:rPr>
            </w:pPr>
            <w:r>
              <w:rPr>
                <w:rFonts w:ascii="Arial" w:cs="Arial" w:eastAsia="Arial" w:hAnsi="Arial"/>
                <w:sz w:val="18"/>
                <w:szCs w:val="18"/>
                <w:color w:val="auto"/>
              </w:rPr>
              <w:t>California, Illinois, Louisiana, Oklahoma</w:t>
            </w: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Plains Products Terminals LLC</w:t>
            </w:r>
          </w:p>
        </w:tc>
        <w:tc>
          <w:tcPr>
            <w:tcW w:w="6380" w:type="dxa"/>
            <w:vAlign w:val="bottom"/>
            <w:gridSpan w:val="3"/>
          </w:tcPr>
          <w:p>
            <w:pPr>
              <w:spacing w:after="0"/>
              <w:rPr>
                <w:sz w:val="20"/>
                <w:szCs w:val="20"/>
                <w:color w:val="auto"/>
              </w:rPr>
            </w:pPr>
            <w:r>
              <w:rPr>
                <w:rFonts w:ascii="Arial" w:cs="Arial" w:eastAsia="Arial" w:hAnsi="Arial"/>
                <w:sz w:val="18"/>
                <w:szCs w:val="18"/>
                <w:color w:val="auto"/>
              </w:rPr>
              <w:t>California</w:t>
            </w:r>
          </w:p>
        </w:tc>
      </w:tr>
      <w:tr>
        <w:trPr>
          <w:trHeight w:val="310"/>
        </w:trPr>
        <w:tc>
          <w:tcPr>
            <w:tcW w:w="5040" w:type="dxa"/>
            <w:vAlign w:val="bottom"/>
            <w:gridSpan w:val="2"/>
          </w:tcPr>
          <w:p>
            <w:pPr>
              <w:spacing w:after="0"/>
              <w:rPr>
                <w:sz w:val="20"/>
                <w:szCs w:val="20"/>
                <w:color w:val="auto"/>
              </w:rPr>
            </w:pPr>
            <w:r>
              <w:rPr>
                <w:rFonts w:ascii="Arial" w:cs="Arial" w:eastAsia="Arial" w:hAnsi="Arial"/>
                <w:sz w:val="18"/>
                <w:szCs w:val="18"/>
                <w:color w:val="auto"/>
              </w:rPr>
              <w:t>Plains Midstream Canada ULC</w:t>
            </w:r>
          </w:p>
        </w:tc>
        <w:tc>
          <w:tcPr>
            <w:tcW w:w="6380" w:type="dxa"/>
            <w:vAlign w:val="bottom"/>
            <w:gridSpan w:val="3"/>
          </w:tcPr>
          <w:p>
            <w:pPr>
              <w:spacing w:after="0"/>
              <w:rPr>
                <w:sz w:val="20"/>
                <w:szCs w:val="20"/>
                <w:color w:val="auto"/>
              </w:rPr>
            </w:pPr>
            <w:r>
              <w:rPr>
                <w:rFonts w:ascii="Arial" w:cs="Arial" w:eastAsia="Arial" w:hAnsi="Arial"/>
                <w:sz w:val="18"/>
                <w:szCs w:val="18"/>
                <w:color w:val="auto"/>
              </w:rPr>
              <w:t>Alberta, Manitoba, New Brunswick, Nova</w:t>
            </w:r>
          </w:p>
        </w:tc>
      </w:tr>
      <w:tr>
        <w:trPr>
          <w:trHeight w:val="230"/>
        </w:trPr>
        <w:tc>
          <w:tcPr>
            <w:tcW w:w="3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Scotia, Ontario, Quebec, Saskatchewan</w:t>
            </w: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Plains South Texas Gathering LLC</w:t>
            </w:r>
          </w:p>
        </w:tc>
        <w:tc>
          <w:tcPr>
            <w:tcW w:w="6380" w:type="dxa"/>
            <w:vAlign w:val="bottom"/>
            <w:gridSpan w:val="3"/>
          </w:tcPr>
          <w:p>
            <w:pPr>
              <w:spacing w:after="0"/>
              <w:rPr>
                <w:sz w:val="20"/>
                <w:szCs w:val="20"/>
                <w:color w:val="auto"/>
              </w:rPr>
            </w:pPr>
            <w:r>
              <w:rPr>
                <w:rFonts w:ascii="Arial" w:cs="Arial" w:eastAsia="Arial" w:hAnsi="Arial"/>
                <w:sz w:val="18"/>
                <w:szCs w:val="18"/>
                <w:color w:val="auto"/>
              </w:rPr>
              <w:t>Oklahoma</w:t>
            </w: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Pacific Pipeline System LLC</w:t>
            </w:r>
          </w:p>
        </w:tc>
        <w:tc>
          <w:tcPr>
            <w:tcW w:w="6380" w:type="dxa"/>
            <w:vAlign w:val="bottom"/>
            <w:gridSpan w:val="3"/>
          </w:tcPr>
          <w:p>
            <w:pPr>
              <w:spacing w:after="0"/>
              <w:rPr>
                <w:sz w:val="20"/>
                <w:szCs w:val="20"/>
                <w:color w:val="auto"/>
              </w:rPr>
            </w:pPr>
            <w:r>
              <w:rPr>
                <w:rFonts w:ascii="Arial" w:cs="Arial" w:eastAsia="Arial" w:hAnsi="Arial"/>
                <w:sz w:val="18"/>
                <w:szCs w:val="18"/>
                <w:color w:val="auto"/>
              </w:rPr>
              <w:t>California</w:t>
            </w: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Plains West Coast Terminals LLC</w:t>
            </w:r>
          </w:p>
        </w:tc>
        <w:tc>
          <w:tcPr>
            <w:tcW w:w="6380" w:type="dxa"/>
            <w:vAlign w:val="bottom"/>
            <w:gridSpan w:val="3"/>
          </w:tcPr>
          <w:p>
            <w:pPr>
              <w:spacing w:after="0"/>
              <w:rPr>
                <w:sz w:val="20"/>
                <w:szCs w:val="20"/>
                <w:color w:val="auto"/>
              </w:rPr>
            </w:pPr>
            <w:r>
              <w:rPr>
                <w:rFonts w:ascii="Arial" w:cs="Arial" w:eastAsia="Arial" w:hAnsi="Arial"/>
                <w:sz w:val="18"/>
                <w:szCs w:val="18"/>
                <w:color w:val="auto"/>
              </w:rPr>
              <w:t>California</w:t>
            </w: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Rocky Mountain Pipeline System LLC</w:t>
            </w:r>
          </w:p>
        </w:tc>
        <w:tc>
          <w:tcPr>
            <w:tcW w:w="6380" w:type="dxa"/>
            <w:vAlign w:val="bottom"/>
            <w:gridSpan w:val="3"/>
          </w:tcPr>
          <w:p>
            <w:pPr>
              <w:spacing w:after="0"/>
              <w:rPr>
                <w:sz w:val="20"/>
                <w:szCs w:val="20"/>
                <w:color w:val="auto"/>
              </w:rPr>
            </w:pPr>
            <w:r>
              <w:rPr>
                <w:rFonts w:ascii="Arial" w:cs="Arial" w:eastAsia="Arial" w:hAnsi="Arial"/>
                <w:sz w:val="18"/>
                <w:szCs w:val="18"/>
                <w:color w:val="auto"/>
              </w:rPr>
              <w:t>Utah</w:t>
            </w: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Pine Prairie Energy Center, LLC</w:t>
            </w:r>
          </w:p>
        </w:tc>
        <w:tc>
          <w:tcPr>
            <w:tcW w:w="6380" w:type="dxa"/>
            <w:vAlign w:val="bottom"/>
            <w:gridSpan w:val="3"/>
          </w:tcPr>
          <w:p>
            <w:pPr>
              <w:spacing w:after="0"/>
              <w:rPr>
                <w:sz w:val="20"/>
                <w:szCs w:val="20"/>
                <w:color w:val="auto"/>
              </w:rPr>
            </w:pPr>
            <w:r>
              <w:rPr>
                <w:rFonts w:ascii="Arial" w:cs="Arial" w:eastAsia="Arial" w:hAnsi="Arial"/>
                <w:sz w:val="18"/>
                <w:szCs w:val="18"/>
                <w:color w:val="auto"/>
              </w:rPr>
              <w:t>Louisiana</w:t>
            </w: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SG Resources Mississippi LLC</w:t>
            </w:r>
          </w:p>
        </w:tc>
        <w:tc>
          <w:tcPr>
            <w:tcW w:w="6380" w:type="dxa"/>
            <w:vAlign w:val="bottom"/>
            <w:gridSpan w:val="3"/>
          </w:tcPr>
          <w:p>
            <w:pPr>
              <w:spacing w:after="0"/>
              <w:rPr>
                <w:sz w:val="20"/>
                <w:szCs w:val="20"/>
                <w:color w:val="auto"/>
              </w:rPr>
            </w:pPr>
            <w:r>
              <w:rPr>
                <w:rFonts w:ascii="Arial" w:cs="Arial" w:eastAsia="Arial" w:hAnsi="Arial"/>
                <w:sz w:val="18"/>
                <w:szCs w:val="18"/>
                <w:color w:val="auto"/>
              </w:rPr>
              <w:t>Alabama, Mississippi</w:t>
            </w: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Plains LPG Services LP</w:t>
            </w:r>
          </w:p>
        </w:tc>
        <w:tc>
          <w:tcPr>
            <w:tcW w:w="6380" w:type="dxa"/>
            <w:vAlign w:val="bottom"/>
            <w:gridSpan w:val="3"/>
          </w:tcPr>
          <w:p>
            <w:pPr>
              <w:spacing w:after="0"/>
              <w:rPr>
                <w:sz w:val="20"/>
                <w:szCs w:val="20"/>
                <w:color w:val="auto"/>
              </w:rPr>
            </w:pPr>
            <w:r>
              <w:rPr>
                <w:rFonts w:ascii="Arial" w:cs="Arial" w:eastAsia="Arial" w:hAnsi="Arial"/>
                <w:sz w:val="18"/>
                <w:szCs w:val="18"/>
                <w:color w:val="auto"/>
              </w:rPr>
              <w:t>California, Illinois, Oklahoma</w:t>
            </w:r>
          </w:p>
        </w:tc>
      </w:tr>
      <w:tr>
        <w:trPr>
          <w:trHeight w:val="432"/>
        </w:trPr>
        <w:tc>
          <w:tcPr>
            <w:tcW w:w="3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80" w:type="dxa"/>
            <w:vAlign w:val="bottom"/>
            <w:gridSpan w:val="2"/>
          </w:tcPr>
          <w:p>
            <w:pPr>
              <w:jc w:val="center"/>
              <w:ind w:right="5240"/>
              <w:spacing w:after="0"/>
              <w:rPr>
                <w:sz w:val="20"/>
                <w:szCs w:val="20"/>
                <w:color w:val="auto"/>
              </w:rPr>
            </w:pPr>
            <w:r>
              <w:rPr>
                <w:rFonts w:ascii="Arial" w:cs="Arial" w:eastAsia="Arial" w:hAnsi="Arial"/>
                <w:sz w:val="18"/>
                <w:szCs w:val="18"/>
                <w:color w:val="auto"/>
                <w:w w:val="98"/>
              </w:rPr>
              <w:t>Exhibit A-1</w:t>
            </w:r>
          </w:p>
        </w:tc>
      </w:tr>
    </w:tbl>
    <w:p>
      <w:pPr>
        <w:jc w:val="center"/>
        <w:ind w:right="5240"/>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9" w:name="page50"/>
    <w:bookmarkEnd w:id="4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CHIEF FINANCIAL OFFICER’S CERTIFICATE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September 2, 2014</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undersigned, in his capacity as the Chief Financial Officer of PAA GP LLC, a Delaware limited liability company and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June 30, 2014. In addition, as of the date of this certificate, the total debt of the Partnership is approximately $8.6 billion.</w:t>
      </w:r>
    </w:p>
    <w:p>
      <w:pPr>
        <w:spacing w:after="0" w:line="18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Capitalized terms used but not defined herein have the meanings assigned to them in the Underwriting Agreement dated as of the date hereof by and among the Partnership, PAA Finance Corp. and J.P. Morgan Securities LLC, Barclays Capital Inc., BNP Paribas Securities Corp. and Merrill Lynch, Pierce, Fenner &amp; Smith Incorporated, as the representatives of the several Underwriters.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This certificate is to assist the Underwriters in conducting and documenting their investigation of the affairs of the Partnership in connection with the offering of the Notes covered by the Registration Statement, the Pricing Disclosure Package and the Prospectus.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B-1</w:t>
      </w:r>
    </w:p>
    <w:p>
      <w:pPr>
        <w:sectPr>
          <w:pgSz w:w="11900" w:h="16838" w:orient="portrait"/>
          <w:cols w:equalWidth="0" w:num="1">
            <w:col w:w="11380"/>
          </w:cols>
          <w:pgMar w:left="240" w:top="270" w:right="27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hereunto affixed his signature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210820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jc w:val="right"/>
        <w:ind w:right="1279"/>
        <w:spacing w:after="0"/>
        <w:rPr>
          <w:sz w:val="20"/>
          <w:szCs w:val="20"/>
          <w:color w:val="auto"/>
        </w:rPr>
      </w:pPr>
      <w:r>
        <w:rPr>
          <w:rFonts w:ascii="Arial" w:cs="Arial" w:eastAsia="Arial" w:hAnsi="Arial"/>
          <w:sz w:val="18"/>
          <w:szCs w:val="18"/>
          <w:i w:val="1"/>
          <w:iCs w:val="1"/>
          <w:color w:val="auto"/>
        </w:rPr>
        <w:t>Executive Vice President and</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Exhibit B-2</w:t>
      </w:r>
    </w:p>
    <w:p>
      <w:pPr>
        <w:sectPr>
          <w:pgSz w:w="11900" w:h="16838" w:orient="portrait"/>
          <w:cols w:equalWidth="0" w:num="1">
            <w:col w:w="9759"/>
          </w:cols>
          <w:pgMar w:left="700" w:top="274"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acted as counsel to Plains All American Pipeline, L.P., a Delaware limited partnership (the “</w:t>
      </w:r>
      <w:r>
        <w:rPr>
          <w:rFonts w:ascii="Arial" w:cs="Arial" w:eastAsia="Arial" w:hAnsi="Arial"/>
          <w:sz w:val="16"/>
          <w:szCs w:val="16"/>
          <w:b w:val="1"/>
          <w:bCs w:val="1"/>
          <w:color w:val="auto"/>
        </w:rPr>
        <w:t>Partnership</w:t>
      </w:r>
      <w:r>
        <w:rPr>
          <w:rFonts w:ascii="Arial" w:cs="Arial" w:eastAsia="Arial" w:hAnsi="Arial"/>
          <w:sz w:val="16"/>
          <w:szCs w:val="16"/>
          <w:color w:val="auto"/>
        </w:rPr>
        <w:t>”), with respect to certain legal matters in connection with the registration by the Partnership and PAA Finance Corp., a Delaware corporation and wholly owned subsidiary of the Partnership (“</w:t>
      </w:r>
      <w:r>
        <w:rPr>
          <w:rFonts w:ascii="Arial" w:cs="Arial" w:eastAsia="Arial" w:hAnsi="Arial"/>
          <w:sz w:val="16"/>
          <w:szCs w:val="16"/>
          <w:b w:val="1"/>
          <w:bCs w:val="1"/>
          <w:color w:val="auto"/>
        </w:rPr>
        <w:t>PAA Finance</w:t>
      </w:r>
      <w:r>
        <w:rPr>
          <w:rFonts w:ascii="Arial" w:cs="Arial" w:eastAsia="Arial" w:hAnsi="Arial"/>
          <w:sz w:val="16"/>
          <w:szCs w:val="16"/>
          <w:color w:val="auto"/>
        </w:rPr>
        <w:t>,” and together with the Partnership, the “</w:t>
      </w:r>
      <w:r>
        <w:rPr>
          <w:rFonts w:ascii="Arial" w:cs="Arial" w:eastAsia="Arial" w:hAnsi="Arial"/>
          <w:sz w:val="16"/>
          <w:szCs w:val="16"/>
          <w:b w:val="1"/>
          <w:bCs w:val="1"/>
          <w:color w:val="auto"/>
        </w:rPr>
        <w:t>Issuers</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of the offer and sale by the Issuers of $750,000,000 aggregate principal amount of 3.60% Senior Notes due 2024 (the “</w:t>
      </w:r>
      <w:r>
        <w:rPr>
          <w:rFonts w:ascii="Arial" w:cs="Arial" w:eastAsia="Arial" w:hAnsi="Arial"/>
          <w:sz w:val="16"/>
          <w:szCs w:val="16"/>
          <w:b w:val="1"/>
          <w:bCs w:val="1"/>
          <w:color w:val="auto"/>
        </w:rPr>
        <w:t>Notes</w:t>
      </w:r>
      <w:r>
        <w:rPr>
          <w:rFonts w:ascii="Arial" w:cs="Arial" w:eastAsia="Arial" w:hAnsi="Arial"/>
          <w:sz w:val="16"/>
          <w:szCs w:val="16"/>
          <w:color w:val="auto"/>
        </w:rPr>
        <w:t>”), to be issued and sold pursuant to the Underwriting Agreement dated September 2, 2014, by and among the Issuers and the Underwriters named therein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w:t>
      </w:r>
    </w:p>
    <w:p>
      <w:pPr>
        <w:spacing w:after="0" w:line="154"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color w:val="auto"/>
        </w:rPr>
        <w:t>The Notes are being offered and sold pursuant to a prospectus supplement dated September 2, 2014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pursuant to Rule 424(b)(5) on September 4, 2014, to the prospectus dated September 27, 2012, (such prospectus, as amended and supplemented by the Prospectus Supplement, the “</w:t>
      </w:r>
      <w:r>
        <w:rPr>
          <w:rFonts w:ascii="Arial" w:cs="Arial" w:eastAsia="Arial" w:hAnsi="Arial"/>
          <w:sz w:val="18"/>
          <w:szCs w:val="18"/>
          <w:b w:val="1"/>
          <w:bCs w:val="1"/>
          <w:color w:val="auto"/>
        </w:rPr>
        <w:t>Prospectus</w:t>
      </w:r>
      <w:r>
        <w:rPr>
          <w:rFonts w:ascii="Arial" w:cs="Arial" w:eastAsia="Arial" w:hAnsi="Arial"/>
          <w:sz w:val="18"/>
          <w:szCs w:val="18"/>
          <w:color w:val="auto"/>
        </w:rPr>
        <w:t>”), included in and forming part of the Registration Statement on Form S-3 (Registration No. 333-184137)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Capitalized terms used but not defined herein shall have the meanings given such terms in the Underwriting Agreement.</w:t>
      </w:r>
    </w:p>
    <w:p>
      <w:pPr>
        <w:spacing w:after="0" w:line="184"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color w:val="auto"/>
        </w:rPr>
        <w:t>The Notes are to be issued as securities pursuant to that certain Indenture, dated as of September 25, 2002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among the Issuers, and U.S. Bank National Association, as successor to Wachovia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amended and supplemented by the Twenty-Sixth Supplemental Indenture thereto, to be dated as of September 9, 2014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by and among the Issuers and the Trustee (the Base Indenture, as so amended and supplemented by the Supplemental Indenture, the “</w:t>
      </w:r>
      <w:r>
        <w:rPr>
          <w:rFonts w:ascii="Arial" w:cs="Arial" w:eastAsia="Arial" w:hAnsi="Arial"/>
          <w:sz w:val="17"/>
          <w:szCs w:val="17"/>
          <w:b w:val="1"/>
          <w:bCs w:val="1"/>
          <w:color w:val="auto"/>
        </w:rPr>
        <w:t>Indenture</w:t>
      </w:r>
      <w:r>
        <w:rPr>
          <w:rFonts w:ascii="Arial" w:cs="Arial" w:eastAsia="Arial" w:hAnsi="Arial"/>
          <w:sz w:val="17"/>
          <w:szCs w:val="17"/>
          <w:color w:val="auto"/>
        </w:rPr>
        <w:t>”).</w:t>
      </w:r>
    </w:p>
    <w:p>
      <w:pPr>
        <w:spacing w:after="0" w:line="16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rendering the opinions set forth below, we have examined and relied upon (i) the Registration Statement, the Prospectus Supplement and the Prospectus; (ii) the Fourth Amended and Restated Agreement of Limited Partnership of the Partnership, dated as of May 17, 2012, as amended; (iii) the organizational certificates and the limited partnership or limited liability company agreements (as the case may be) of PAA GP LLC, a Delaware limited liability company (“</w:t>
      </w:r>
      <w:r>
        <w:rPr>
          <w:rFonts w:ascii="Arial" w:cs="Arial" w:eastAsia="Arial" w:hAnsi="Arial"/>
          <w:sz w:val="18"/>
          <w:szCs w:val="18"/>
          <w:b w:val="1"/>
          <w:bCs w:val="1"/>
          <w:color w:val="auto"/>
        </w:rPr>
        <w:t>General Partner</w:t>
      </w:r>
      <w:r>
        <w:rPr>
          <w:rFonts w:ascii="Arial" w:cs="Arial" w:eastAsia="Arial" w:hAnsi="Arial"/>
          <w:sz w:val="18"/>
          <w:szCs w:val="18"/>
          <w:color w:val="auto"/>
        </w:rPr>
        <w:t>”), which is the general partner of the Partnership, of Plains AAP, L.P., a Delaware limited partnership (“</w:t>
      </w:r>
      <w:r>
        <w:rPr>
          <w:rFonts w:ascii="Arial" w:cs="Arial" w:eastAsia="Arial" w:hAnsi="Arial"/>
          <w:sz w:val="18"/>
          <w:szCs w:val="18"/>
          <w:b w:val="1"/>
          <w:bCs w:val="1"/>
          <w:color w:val="auto"/>
        </w:rPr>
        <w:t>Plains AAP</w:t>
      </w:r>
      <w:r>
        <w:rPr>
          <w:rFonts w:ascii="Arial" w:cs="Arial" w:eastAsia="Arial" w:hAnsi="Arial"/>
          <w:sz w:val="18"/>
          <w:szCs w:val="18"/>
          <w:color w:val="auto"/>
        </w:rPr>
        <w:t>”), which owns a 100% membership interest in the General Partner, and of Plains All American GP LLC, a Delaware limited liability company, which is the general partner of Plains AAP; (iv) the bylaws and certificate of incorporation of PAA Finance; (v) the Underwriting Agreement, a copy of which is being filed</w:t>
      </w:r>
    </w:p>
    <w:p>
      <w:pPr>
        <w:sectPr>
          <w:pgSz w:w="11900" w:h="16838" w:orient="portrait"/>
          <w:cols w:equalWidth="0" w:num="1">
            <w:col w:w="11420"/>
          </w:cols>
          <w:pgMar w:left="240" w:top="121" w:right="239" w:bottom="1440" w:gutter="0" w:footer="0" w:header="0"/>
        </w:sectPr>
      </w:pPr>
    </w:p>
    <w:bookmarkStart w:id="52" w:name="page53"/>
    <w:bookmarkEnd w:id="52"/>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Securities and Exchange Commission, together with this Exhibit 5.1, as an exhibit to the Partnership’s Current Report on Form 8-K prior to the closing of the sale of the Notes; (vi) the Base Indenture and the Supplemental Indenture and (vii) such other certificates, statutes and other instruments and documents as we consider appropriate for purposes of the opinions hereafter expressed. In addition, we reviewed such questions of law as we considered appropriate.</w:t>
      </w:r>
    </w:p>
    <w:p>
      <w:pPr>
        <w:spacing w:after="0" w:line="18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Based upon and subject to the foregoing and the assumptions, limitations and qualifications set forth herein, we are of the opinion that when (a) the Supplemental Indenture has been duly executed and delivered by the parties thereto and (b) the Notes have been duly executed, authenticated, issued and delivered in accordance with the provisions of the Indenture and duly purchased and paid for in accordance with the terms of the Underwriting Agreement, the Notes will constitute valid and legally binding obligations of the Issuers, enforceable against the Issuers in accordance with their terms.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As to any facts material to the opinion contained herein, we have made no independent investigation of such facts and have relied, to the extent that we deem such reliance proper, upon certificates of public officials and officers or other representatives of the Partnership.</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B. 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 (iii) all signatures on each such document examined by us are genuine, (iv) each certificate from governmental officials reviewed by us is accurate, complete and authentic, and all official public records are accurate and complete and (v) each natural person signing any document reviewed by us had the legal capacity to do so and each person signing in a representative capacity any document reviewed by us had authority to sign in such capacity.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This opinion is limited in all respects to the laws of the State of New York. We do not express any opinions as to the laws of any other jurisdiction.</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 The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 We express no opinions concerning (i) the validity or enforceability of any provisions contained in the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hereby consent to the filing of this opinion of counsel as Exhibit 5.1 to the Current Report on Form 8-K of the Partnership dated on or about the date hereof, to the incorporation by</w:t>
      </w:r>
    </w:p>
    <w:p>
      <w:pPr>
        <w:sectPr>
          <w:pgSz w:w="11900" w:h="16838" w:orient="portrait"/>
          <w:cols w:equalWidth="0" w:num="1">
            <w:col w:w="11360"/>
          </w:cols>
          <w:pgMar w:left="240" w:top="274" w:right="299" w:bottom="1440" w:gutter="0" w:footer="0" w:header="0"/>
        </w:sectPr>
      </w:pPr>
    </w:p>
    <w:bookmarkStart w:id="53" w:name="page54"/>
    <w:bookmarkEnd w:id="5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28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Vinson &amp; Elkins L.L.P.</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8138641"/>
    <w:multiLevelType w:val="hybridMultilevel"/>
    <w:lvl w:ilvl="0">
      <w:lvlJc w:val="left"/>
      <w:lvlText w:val="(%1)"/>
      <w:numFmt w:val="lowerRoman"/>
      <w:start w:val="8"/>
    </w:lvl>
  </w:abstractNum>
  <w:abstractNum w:abstractNumId="3">
    <w:nsid w:val="1E7FF521"/>
    <w:multiLevelType w:val="hybridMultilevel"/>
    <w:lvl w:ilvl="0">
      <w:lvlJc w:val="left"/>
      <w:lvlText w:val="(%1)"/>
      <w:numFmt w:val="lowerLetter"/>
      <w:start w:val="2"/>
    </w:lvl>
  </w:abstractNum>
  <w:abstractNum w:abstractNumId="4">
    <w:nsid w:val="7C3DBD3D"/>
    <w:multiLevelType w:val="hybridMultilevel"/>
    <w:lvl w:ilvl="0">
      <w:lvlJc w:val="left"/>
      <w:lvlText w:val="(%1)"/>
      <w:numFmt w:val="lowerLetter"/>
      <w:start w:val="3"/>
    </w:lvl>
  </w:abstractNum>
  <w:abstractNum w:abstractNumId="5">
    <w:nsid w:val="737B8DDC"/>
    <w:multiLevelType w:val="hybridMultilevel"/>
    <w:lvl w:ilvl="0">
      <w:lvlJc w:val="left"/>
      <w:lvlText w:val="(%1)"/>
      <w:numFmt w:val="lowerLetter"/>
      <w:start w:val="8"/>
    </w:lvl>
  </w:abstractNum>
  <w:abstractNum w:abstractNumId="6">
    <w:nsid w:val="6CEAF087"/>
    <w:multiLevelType w:val="hybridMultilevel"/>
    <w:lvl w:ilvl="0">
      <w:lvlJc w:val="left"/>
      <w:lvlText w:val="%1"/>
      <w:numFmt w:val="lowerLetter"/>
      <w:start w:val="1"/>
    </w:lvl>
    <w:lvl w:ilvl="1">
      <w:lvlJc w:val="left"/>
      <w:lvlText w:val="(%2)"/>
      <w:numFmt w:val="lowerLetter"/>
      <w:start w:val="13"/>
    </w:lvl>
  </w:abstractNum>
  <w:abstractNum w:abstractNumId="7">
    <w:nsid w:val="22221A70"/>
    <w:multiLevelType w:val="hybridMultilevel"/>
    <w:lvl w:ilvl="0">
      <w:lvlJc w:val="left"/>
      <w:lvlText w:val="(%1)"/>
      <w:numFmt w:val="lowerLetter"/>
      <w:start w:val="1"/>
    </w:lvl>
    <w:lvl w:ilvl="1">
      <w:lvlJc w:val="left"/>
      <w:lvlText w:val="(%2)"/>
      <w:numFmt w:val="lowerLetter"/>
      <w:start w:val="14"/>
    </w:lvl>
  </w:abstractNum>
  <w:abstractNum w:abstractNumId="8">
    <w:nsid w:val="4516DDE9"/>
    <w:multiLevelType w:val="hybridMultilevel"/>
    <w:lvl w:ilvl="0">
      <w:lvlJc w:val="left"/>
      <w:lvlText w:val="%1"/>
      <w:numFmt w:val="lowerLetter"/>
      <w:start w:val="1"/>
    </w:lvl>
    <w:lvl w:ilvl="1">
      <w:lvlJc w:val="left"/>
      <w:lvlText w:val="(%2)"/>
      <w:numFmt w:val="lowerLetter"/>
      <w:start w:val="16"/>
    </w:lvl>
  </w:abstractNum>
  <w:abstractNum w:abstractNumId="9">
    <w:nsid w:val="3006C83E"/>
    <w:multiLevelType w:val="hybridMultilevel"/>
    <w:lvl w:ilvl="0">
      <w:lvlJc w:val="left"/>
      <w:lvlText w:val="(%1)"/>
      <w:numFmt w:val="lowerLetter"/>
      <w:start w:val="61"/>
    </w:lvl>
    <w:lvl w:ilvl="1">
      <w:lvlJc w:val="left"/>
      <w:lvlText w:val="(%2)"/>
      <w:numFmt w:val="lowerLetter"/>
      <w:start w:val="17"/>
    </w:lvl>
  </w:abstractNum>
  <w:abstractNum w:abstractNumId="10">
    <w:nsid w:val="614FD4A1"/>
    <w:multiLevelType w:val="hybridMultilevel"/>
    <w:lvl w:ilvl="0">
      <w:lvlJc w:val="left"/>
      <w:lvlText w:val="%1"/>
      <w:numFmt w:val="upperLetter"/>
      <w:start w:val="1"/>
    </w:lvl>
    <w:lvl w:ilvl="1">
      <w:lvlJc w:val="left"/>
      <w:lvlText w:val="(%2)"/>
      <w:numFmt w:val="lowerLetter"/>
      <w:start w:val="21"/>
    </w:lvl>
  </w:abstractNum>
  <w:abstractNum w:abstractNumId="11">
    <w:nsid w:val="419AC241"/>
    <w:multiLevelType w:val="hybridMultilevel"/>
    <w:lvl w:ilvl="0">
      <w:lvlJc w:val="left"/>
      <w:lvlText w:val="(%1)"/>
      <w:numFmt w:val="upperLetter"/>
      <w:start w:val="2"/>
    </w:lvl>
    <w:lvl w:ilvl="1">
      <w:lvlJc w:val="left"/>
      <w:lvlText w:val="(%2)"/>
      <w:numFmt w:val="lowerLetter"/>
      <w:start w:val="22"/>
    </w:lvl>
  </w:abstractNum>
  <w:abstractNum w:abstractNumId="12">
    <w:nsid w:val="5577F8E1"/>
    <w:multiLevelType w:val="hybridMultilevel"/>
    <w:lvl w:ilvl="0">
      <w:lvlJc w:val="left"/>
      <w:lvlText w:val="(%1)"/>
      <w:numFmt w:val="lowerLetter"/>
      <w:start w:val="24"/>
    </w:lvl>
  </w:abstractNum>
  <w:abstractNum w:abstractNumId="13">
    <w:nsid w:val="440BADFC"/>
    <w:multiLevelType w:val="hybridMultilevel"/>
    <w:lvl w:ilvl="0">
      <w:lvlJc w:val="left"/>
      <w:lvlText w:val="(%1)"/>
      <w:numFmt w:val="lowerLetter"/>
      <w:start w:val="27"/>
    </w:lvl>
  </w:abstractNum>
  <w:abstractNum w:abstractNumId="14">
    <w:nsid w:val="5072367"/>
    <w:multiLevelType w:val="hybridMultilevel"/>
    <w:lvl w:ilvl="0">
      <w:lvlJc w:val="left"/>
      <w:lvlText w:val="(%1)"/>
      <w:numFmt w:val="lowerLetter"/>
      <w:start w:val="30"/>
    </w:lvl>
  </w:abstractNum>
  <w:abstractNum w:abstractNumId="15">
    <w:nsid w:val="3804823E"/>
    <w:multiLevelType w:val="hybridMultilevel"/>
    <w:lvl w:ilvl="0">
      <w:lvlJc w:val="left"/>
      <w:lvlText w:val="%1"/>
      <w:numFmt w:val="lowerLetter"/>
      <w:start w:val="1"/>
    </w:lvl>
    <w:lvl w:ilvl="1">
      <w:lvlJc w:val="left"/>
      <w:lvlText w:val="(%2)"/>
      <w:numFmt w:val="lowerLetter"/>
      <w:start w:val="35"/>
    </w:lvl>
  </w:abstractNum>
  <w:abstractNum w:abstractNumId="16">
    <w:nsid w:val="77465F01"/>
    <w:multiLevelType w:val="hybridMultilevel"/>
    <w:lvl w:ilvl="0">
      <w:lvlJc w:val="left"/>
      <w:lvlText w:val="(%1)"/>
      <w:numFmt w:val="lowerLetter"/>
      <w:start w:val="9"/>
    </w:lvl>
    <w:lvl w:ilvl="1">
      <w:lvlJc w:val="left"/>
      <w:lvlText w:val="(%2)"/>
      <w:numFmt w:val="lowerLetter"/>
      <w:start w:val="38"/>
    </w:lvl>
  </w:abstractNum>
  <w:abstractNum w:abstractNumId="17">
    <w:nsid w:val="7724C67E"/>
    <w:multiLevelType w:val="hybridMultilevel"/>
    <w:lvl w:ilvl="0">
      <w:lvlJc w:val="left"/>
      <w:lvlText w:val="(%1)"/>
      <w:numFmt w:val="lowerLetter"/>
      <w:start w:val="41"/>
    </w:lvl>
  </w:abstractNum>
  <w:abstractNum w:abstractNumId="18">
    <w:nsid w:val="5C482A97"/>
    <w:multiLevelType w:val="hybridMultilevel"/>
    <w:lvl w:ilvl="0">
      <w:lvlJc w:val="left"/>
      <w:lvlText w:val="%1."/>
      <w:numFmt w:val="decimal"/>
      <w:start w:val="2"/>
    </w:lvl>
  </w:abstractNum>
  <w:abstractNum w:abstractNumId="19">
    <w:nsid w:val="2463B9EA"/>
    <w:multiLevelType w:val="hybridMultilevel"/>
    <w:lvl w:ilvl="0">
      <w:lvlJc w:val="left"/>
      <w:lvlText w:val="%1."/>
      <w:numFmt w:val="decimal"/>
      <w:start w:val="3"/>
    </w:lvl>
    <w:lvl w:ilvl="1">
      <w:lvlJc w:val="left"/>
      <w:lvlText w:val="(%2)"/>
      <w:numFmt w:val="lowerLetter"/>
      <w:start w:val="1"/>
    </w:lvl>
  </w:abstractNum>
  <w:abstractNum w:abstractNumId="20">
    <w:nsid w:val="5E884ADC"/>
    <w:multiLevelType w:val="hybridMultilevel"/>
    <w:lvl w:ilvl="0">
      <w:lvlJc w:val="left"/>
      <w:lvlText w:val="(%1)"/>
      <w:numFmt w:val="lowerLetter"/>
      <w:start w:val="3"/>
    </w:lvl>
  </w:abstractNum>
  <w:abstractNum w:abstractNumId="21">
    <w:nsid w:val="51EAD36B"/>
    <w:multiLevelType w:val="hybridMultilevel"/>
    <w:lvl w:ilvl="0">
      <w:lvlJc w:val="left"/>
      <w:lvlText w:val="(%1)"/>
      <w:numFmt w:val="lowerLetter"/>
      <w:start w:val="7"/>
    </w:lvl>
  </w:abstractNum>
  <w:abstractNum w:abstractNumId="22">
    <w:nsid w:val="2D517796"/>
    <w:multiLevelType w:val="hybridMultilevel"/>
    <w:lvl w:ilvl="0">
      <w:lvlJc w:val="left"/>
      <w:lvlText w:val="(%1)"/>
      <w:numFmt w:val="lowerLetter"/>
      <w:start w:val="8"/>
    </w:lvl>
  </w:abstractNum>
  <w:abstractNum w:abstractNumId="23">
    <w:nsid w:val="580BD78F"/>
    <w:multiLevelType w:val="hybridMultilevel"/>
    <w:lvl w:ilvl="0">
      <w:lvlJc w:val="left"/>
      <w:lvlText w:val="%1"/>
      <w:numFmt w:val="decimal"/>
      <w:start w:val="1"/>
    </w:lvl>
    <w:lvl w:ilvl="1">
      <w:lvlJc w:val="left"/>
      <w:lvlText w:val="(%2)"/>
      <w:numFmt w:val="lowerLetter"/>
      <w:start w:val="16"/>
    </w:lvl>
  </w:abstractNum>
  <w:abstractNum w:abstractNumId="24">
    <w:nsid w:val="153EA438"/>
    <w:multiLevelType w:val="hybridMultilevel"/>
    <w:lvl w:ilvl="0">
      <w:lvlJc w:val="left"/>
      <w:lvlText w:val="%1."/>
      <w:numFmt w:val="decimal"/>
      <w:start w:val="6"/>
    </w:lvl>
    <w:lvl w:ilvl="1">
      <w:lvlJc w:val="left"/>
      <w:lvlText w:val="(%2)"/>
      <w:numFmt w:val="lowerLetter"/>
      <w:start w:val="1"/>
    </w:lvl>
  </w:abstractNum>
  <w:abstractNum w:abstractNumId="25">
    <w:nsid w:val="3855585C"/>
    <w:multiLevelType w:val="hybridMultilevel"/>
    <w:lvl w:ilvl="0">
      <w:lvlJc w:val="left"/>
      <w:lvlText w:val="%1"/>
      <w:numFmt w:val="decimal"/>
      <w:start w:val="433"/>
    </w:lvl>
    <w:lvl w:ilvl="1">
      <w:lvlJc w:val="left"/>
      <w:lvlText w:val="%2"/>
      <w:numFmt w:val="lowerLetter"/>
      <w:start w:val="1"/>
    </w:lvl>
  </w:abstractNum>
  <w:abstractNum w:abstractNumId="26">
    <w:nsid w:val="70A64E2A"/>
    <w:multiLevelType w:val="hybridMultilevel"/>
    <w:lvl w:ilvl="0">
      <w:lvlJc w:val="left"/>
      <w:lvlText w:val="(%1)"/>
      <w:numFmt w:val="lowerLetter"/>
      <w:start w:val="2"/>
    </w:lvl>
  </w:abstractNum>
  <w:abstractNum w:abstractNumId="27">
    <w:nsid w:val="6A2342EC"/>
    <w:multiLevelType w:val="hybridMultilevel"/>
    <w:lvl w:ilvl="0">
      <w:lvlJc w:val="left"/>
      <w:lvlText w:val="%1"/>
      <w:numFmt w:val="lowerLetter"/>
      <w:start w:val="1"/>
    </w:lvl>
    <w:lvl w:ilvl="1">
      <w:lvlJc w:val="left"/>
      <w:lvlText w:val="(%2)"/>
      <w:numFmt w:val="lowerLetter"/>
      <w:start w:val="3"/>
    </w:lvl>
  </w:abstractNum>
  <w:abstractNum w:abstractNumId="28">
    <w:nsid w:val="2A487CB0"/>
    <w:multiLevelType w:val="hybridMultilevel"/>
    <w:lvl w:ilvl="0">
      <w:lvlJc w:val="left"/>
      <w:lvlText w:val="(%1)"/>
      <w:numFmt w:val="lowerLetter"/>
      <w:start w:val="2"/>
    </w:lvl>
    <w:lvl w:ilvl="1">
      <w:lvlJc w:val="left"/>
      <w:lvlText w:val="(%2)"/>
      <w:numFmt w:val="lowerLetter"/>
      <w:start w:val="4"/>
    </w:lvl>
  </w:abstractNum>
  <w:abstractNum w:abstractNumId="29">
    <w:nsid w:val="1D4ED43B"/>
    <w:multiLevelType w:val="hybridMultilevel"/>
    <w:lvl w:ilvl="0">
      <w:lvlJc w:val="left"/>
      <w:lvlText w:val="%1"/>
      <w:numFmt w:val="lowerLetter"/>
      <w:start w:val="1"/>
    </w:lvl>
    <w:lvl w:ilvl="1">
      <w:lvlJc w:val="left"/>
      <w:lvlText w:val="(%2)"/>
      <w:numFmt w:val="lowerLetter"/>
      <w:start w:val="5"/>
    </w:lvl>
  </w:abstractNum>
  <w:abstractNum w:abstractNumId="30">
    <w:nsid w:val="725A06FB"/>
    <w:multiLevelType w:val="hybridMultilevel"/>
    <w:lvl w:ilvl="0">
      <w:lvlJc w:val="left"/>
      <w:lvlText w:val="(%1)"/>
      <w:numFmt w:val="lowerLetter"/>
      <w:start w:val="35"/>
    </w:lvl>
    <w:lvl w:ilvl="1">
      <w:lvlJc w:val="left"/>
      <w:lvlText w:val="(%2)"/>
      <w:numFmt w:val="lowerLetter"/>
      <w:start w:val="7"/>
    </w:lvl>
  </w:abstractNum>
  <w:abstractNum w:abstractNumId="31">
    <w:nsid w:val="2CD89A3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32">
    <w:nsid w:val="57E4CCAF"/>
    <w:multiLevelType w:val="hybridMultilevel"/>
    <w:lvl w:ilvl="0">
      <w:lvlJc w:val="left"/>
      <w:lvlText w:val="%1"/>
      <w:numFmt w:val="lowerLetter"/>
      <w:start w:val="1"/>
    </w:lvl>
    <w:lvl w:ilvl="1">
      <w:lvlJc w:val="left"/>
      <w:lvlText w:val="(%2)"/>
      <w:numFmt w:val="lowerRoman"/>
      <w:start w:val="2"/>
    </w:lvl>
  </w:abstractNum>
  <w:abstractNum w:abstractNumId="33">
    <w:nsid w:val="7A6D8D3C"/>
    <w:multiLevelType w:val="hybridMultilevel"/>
    <w:lvl w:ilvl="0">
      <w:lvlJc w:val="left"/>
      <w:lvlText w:val="(%1)"/>
      <w:numFmt w:val="lowerLetter"/>
      <w:start w:val="1"/>
    </w:lvl>
    <w:lvl w:ilvl="1">
      <w:lvlJc w:val="left"/>
      <w:lvlText w:val="(%2)"/>
      <w:numFmt w:val="lowerRoman"/>
      <w:start w:val="5"/>
    </w:lvl>
  </w:abstractNum>
  <w:abstractNum w:abstractNumId="34">
    <w:nsid w:val="4B588F54"/>
    <w:multiLevelType w:val="hybridMultilevel"/>
    <w:lvl w:ilvl="0">
      <w:lvlJc w:val="left"/>
      <w:lvlText w:val="%1"/>
      <w:numFmt w:val="upperLetter"/>
      <w:start w:val="1"/>
    </w:lvl>
    <w:lvl w:ilvl="1">
      <w:lvlJc w:val="left"/>
      <w:lvlText w:val="(%2)"/>
      <w:numFmt w:val="lowerRoman"/>
      <w:start w:val="6"/>
    </w:lvl>
  </w:abstractNum>
  <w:abstractNum w:abstractNumId="35">
    <w:nsid w:val="542289EC"/>
    <w:multiLevelType w:val="hybridMultilevel"/>
    <w:lvl w:ilvl="0">
      <w:lvlJc w:val="left"/>
      <w:lvlText w:val="(%1)"/>
      <w:numFmt w:val="upperLetter"/>
      <w:start w:val="1"/>
    </w:lvl>
    <w:lvl w:ilvl="1">
      <w:lvlJc w:val="left"/>
      <w:lvlText w:val="(%2)"/>
      <w:numFmt w:val="lowerRoman"/>
      <w:start w:val="11"/>
    </w:lvl>
  </w:abstractNum>
  <w:abstractNum w:abstractNumId="36">
    <w:nsid w:val="6DE91B18"/>
    <w:multiLevelType w:val="hybridMultilevel"/>
    <w:lvl w:ilvl="0">
      <w:lvlJc w:val="left"/>
      <w:lvlText w:val="(%1)"/>
      <w:numFmt w:val="lowerRoman"/>
      <w:start w:val="12"/>
    </w:lvl>
  </w:abstractNum>
  <w:abstractNum w:abstractNumId="37">
    <w:nsid w:val="38437FDB"/>
    <w:multiLevelType w:val="hybridMultilevel"/>
    <w:lvl w:ilvl="0">
      <w:lvlJc w:val="left"/>
      <w:lvlText w:val="%1"/>
      <w:numFmt w:val="upperLetter"/>
      <w:start w:val="1"/>
    </w:lvl>
    <w:lvl w:ilvl="1">
      <w:lvlJc w:val="left"/>
      <w:lvlText w:val="(%2)"/>
      <w:numFmt w:val="lowerRoman"/>
      <w:start w:val="14"/>
    </w:lvl>
  </w:abstractNum>
  <w:abstractNum w:abstractNumId="38">
    <w:nsid w:val="7644A45C"/>
    <w:multiLevelType w:val="hybridMultilevel"/>
    <w:lvl w:ilvl="0">
      <w:lvlJc w:val="left"/>
      <w:lvlText w:val="(%1)"/>
      <w:numFmt w:val="upperLetter"/>
      <w:start w:val="1"/>
    </w:lvl>
    <w:lvl w:ilvl="1">
      <w:lvlJc w:val="left"/>
      <w:lvlText w:val="(%2)"/>
      <w:numFmt w:val="lowerRoman"/>
      <w:start w:val="15"/>
    </w:lvl>
  </w:abstractNum>
  <w:abstractNum w:abstractNumId="39">
    <w:nsid w:val="32FFF902"/>
    <w:multiLevelType w:val="hybridMultilevel"/>
    <w:lvl w:ilvl="0">
      <w:lvlJc w:val="left"/>
      <w:lvlText w:val="(%1)"/>
      <w:numFmt w:val="lowerRoman"/>
      <w:start w:val="18"/>
    </w:lvl>
  </w:abstractNum>
  <w:abstractNum w:abstractNumId="40">
    <w:nsid w:val="684A481A"/>
    <w:multiLevelType w:val="hybridMultilevel"/>
    <w:lvl w:ilvl="0">
      <w:lvlJc w:val="left"/>
      <w:lvlText w:val="(%1)"/>
      <w:numFmt w:val="lowerRoman"/>
      <w:start w:val="15"/>
    </w:lvl>
    <w:lvl w:ilvl="1">
      <w:lvlJc w:val="left"/>
      <w:lvlText w:val="(%2)"/>
      <w:numFmt w:val="upperLetter"/>
      <w:start w:val="1"/>
    </w:lvl>
  </w:abstractNum>
  <w:abstractNum w:abstractNumId="41">
    <w:nsid w:val="579478FE"/>
    <w:multiLevelType w:val="hybridMultilevel"/>
    <w:lvl w:ilvl="0">
      <w:lvlJc w:val="left"/>
      <w:lvlText w:val="(%1)"/>
      <w:numFmt w:val="lowerLetter"/>
      <w:start w:val="4"/>
    </w:lvl>
  </w:abstractNum>
  <w:abstractNum w:abstractNumId="42">
    <w:nsid w:val="749ABB43"/>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43">
    <w:nsid w:val="3DC240FB"/>
    <w:multiLevelType w:val="hybridMultilevel"/>
    <w:lvl w:ilvl="0">
      <w:lvlJc w:val="left"/>
      <w:lvlText w:val="(%1)"/>
      <w:numFmt w:val="lowerRoman"/>
      <w:start w:val="2"/>
    </w:lvl>
  </w:abstractNum>
  <w:abstractNum w:abstractNumId="44">
    <w:nsid w:val="1BA026FA"/>
    <w:multiLevelType w:val="hybridMultilevel"/>
    <w:lvl w:ilvl="0">
      <w:lvlJc w:val="left"/>
      <w:lvlText w:val="(%1)"/>
      <w:numFmt w:val="upperLetter"/>
      <w:start w:val="1"/>
    </w:lvl>
  </w:abstractNum>
  <w:abstractNum w:abstractNumId="45">
    <w:nsid w:val="79A1DEAA"/>
    <w:multiLevelType w:val="hybridMultilevel"/>
    <w:lvl w:ilvl="0">
      <w:lvlJc w:val="left"/>
      <w:lvlText w:val="(%1)"/>
      <w:numFmt w:val="lowerLetter"/>
      <w:start w:val="6"/>
    </w:lvl>
    <w:lvl w:ilvl="1">
      <w:lvlJc w:val="left"/>
      <w:lvlText w:val="(%2)"/>
      <w:numFmt w:val="lowerRoman"/>
      <w:start w:val="1"/>
    </w:lvl>
  </w:abstractNum>
  <w:abstractNum w:abstractNumId="46">
    <w:nsid w:val="75C6C33A"/>
    <w:multiLevelType w:val="hybridMultilevel"/>
    <w:lvl w:ilvl="0">
      <w:lvlJc w:val="left"/>
      <w:lvlText w:val="(%1)"/>
      <w:numFmt w:val="lowerRoman"/>
      <w:start w:val="4"/>
    </w:lvl>
  </w:abstractNum>
  <w:abstractNum w:abstractNumId="47">
    <w:nsid w:val="12E685FB"/>
    <w:multiLevelType w:val="hybridMultilevel"/>
    <w:lvl w:ilvl="0">
      <w:lvlJc w:val="left"/>
      <w:lvlText w:val="(%1)"/>
      <w:numFmt w:val="upperLetter"/>
      <w:start w:val="2"/>
    </w:lvl>
    <w:lvl w:ilvl="1">
      <w:lvlJc w:val="left"/>
      <w:lvlText w:val="(%2)"/>
      <w:numFmt w:val="lowerLetter"/>
      <w:start w:val="7"/>
    </w:lvl>
  </w:abstractNum>
  <w:abstractNum w:abstractNumId="48">
    <w:nsid w:val="70C6A529"/>
    <w:multiLevelType w:val="hybridMultilevel"/>
    <w:lvl w:ilvl="0">
      <w:lvlJc w:val="left"/>
      <w:lvlText w:val="(%1)"/>
      <w:numFmt w:val="lowerLetter"/>
      <w:start w:val="8"/>
    </w:lvl>
    <w:lvl w:ilvl="1">
      <w:lvlJc w:val="left"/>
      <w:lvlText w:val="(%2)"/>
      <w:numFmt w:val="upperLetter"/>
      <w:start w:val="1"/>
    </w:lvl>
  </w:abstractNum>
  <w:abstractNum w:abstractNumId="49">
    <w:nsid w:val="520EEDD1"/>
    <w:multiLevelType w:val="hybridMultilevel"/>
    <w:lvl w:ilvl="0">
      <w:lvlJc w:val="left"/>
      <w:lvlText w:val="(%1)"/>
      <w:numFmt w:val="lowerLetter"/>
      <w:start w:val="12"/>
    </w:lvl>
  </w:abstractNum>
  <w:abstractNum w:abstractNumId="50">
    <w:nsid w:val="374A3FE6"/>
    <w:multiLevelType w:val="hybridMultilevel"/>
    <w:lvl w:ilvl="0">
      <w:lvlJc w:val="left"/>
      <w:lvlText w:val="%1."/>
      <w:numFmt w:val="decimal"/>
      <w:start w:val="8"/>
    </w:lvl>
  </w:abstractNum>
  <w:abstractNum w:abstractNumId="51">
    <w:nsid w:val="4F4EF005"/>
    <w:multiLevelType w:val="hybridMultilevel"/>
    <w:lvl w:ilvl="0">
      <w:lvlJc w:val="left"/>
      <w:lvlText w:val="(%1)"/>
      <w:numFmt w:val="lowerRoman"/>
      <w:start w:val="10"/>
    </w:lvl>
  </w:abstractNum>
  <w:abstractNum w:abstractNumId="52">
    <w:nsid w:val="23F9C13C"/>
    <w:multiLevelType w:val="hybridMultilevel"/>
    <w:lvl w:ilvl="0">
      <w:lvlJc w:val="left"/>
      <w:lvlText w:val="%1."/>
      <w:numFmt w:val="decimal"/>
      <w:start w:val="9"/>
    </w:lvl>
  </w:abstractNum>
  <w:abstractNum w:abstractNumId="53">
    <w:nsid w:val="649BB77C"/>
    <w:multiLevelType w:val="hybridMultilevel"/>
    <w:lvl w:ilvl="0">
      <w:lvlJc w:val="left"/>
      <w:lvlText w:val="%1."/>
      <w:numFmt w:val="decimal"/>
      <w:start w:val="10"/>
    </w:lvl>
  </w:abstractNum>
  <w:abstractNum w:abstractNumId="54">
    <w:nsid w:val="275AC794"/>
    <w:multiLevelType w:val="hybridMultilevel"/>
    <w:lvl w:ilvl="0">
      <w:lvlJc w:val="left"/>
      <w:lvlText w:val="%1."/>
      <w:numFmt w:val="decimal"/>
      <w:start w:val="12"/>
    </w:lvl>
  </w:abstractNum>
  <w:abstractNum w:abstractNumId="55">
    <w:nsid w:val="39386575"/>
    <w:multiLevelType w:val="hybridMultilevel"/>
    <w:lvl w:ilvl="0">
      <w:lvlJc w:val="left"/>
      <w:lvlText w:val="%1."/>
      <w:numFmt w:val="decimal"/>
      <w:start w:val="17"/>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2020-01-28T14:39:36Z</dcterms:created>
  <dcterms:modified xsi:type="dcterms:W3CDTF">2020-01-28T14:39:36Z</dcterms:modified>
</cp:coreProperties>
</file>