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August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p>
      <w:pPr>
        <w:spacing w:after="0" w:line="286"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0" w:lineRule="exact"/>
        <w:rPr>
          <w:sz w:val="24"/>
          <w:szCs w:val="24"/>
          <w:color w:val="auto"/>
        </w:rPr>
      </w:pPr>
    </w:p>
    <w:p>
      <w:pPr>
        <w:sectPr>
          <w:pgSz w:w="11900" w:h="16838" w:orient="portrait"/>
          <w:cols w:equalWidth="0" w:num="3">
            <w:col w:w="4820" w:space="720"/>
            <w:col w:w="2900" w:space="720"/>
            <w:col w:w="2140"/>
          </w:cols>
          <w:pgMar w:left="240" w:top="449" w:right="359" w:bottom="1440" w:gutter="0" w:footer="0" w:header="0"/>
          <w:type w:val="continuous"/>
        </w:sect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 w:lineRule="exact"/>
        <w:rPr>
          <w:sz w:val="24"/>
          <w:szCs w:val="24"/>
          <w:color w:val="auto"/>
        </w:rPr>
      </w:pPr>
    </w:p>
    <w:p>
      <w:pPr>
        <w:sectPr>
          <w:pgSz w:w="11900" w:h="16838" w:orient="portrait"/>
          <w:cols w:equalWidth="0" w:num="3">
            <w:col w:w="4280" w:space="720"/>
            <w:col w:w="2820" w:space="720"/>
            <w:col w:w="2760"/>
          </w:cols>
          <w:pgMar w:left="240" w:top="449" w:right="359" w:bottom="1440" w:gutter="0" w:footer="0" w:header="0"/>
          <w:type w:val="continuous"/>
        </w:sectPr>
      </w:pPr>
    </w:p>
    <w:p>
      <w:pPr>
        <w:ind w:left="1500"/>
        <w:spacing w:after="0"/>
        <w:rPr>
          <w:sz w:val="20"/>
          <w:szCs w:val="20"/>
          <w:color w:val="auto"/>
        </w:rPr>
      </w:pPr>
      <w:r>
        <w:rPr>
          <w:rFonts w:ascii="Arial" w:cs="Arial" w:eastAsia="Arial" w:hAnsi="Arial"/>
          <w:sz w:val="14"/>
          <w:szCs w:val="14"/>
          <w:b w:val="1"/>
          <w:bCs w:val="1"/>
          <w:color w:val="auto"/>
        </w:rPr>
        <w:t>incorporation)</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00"/>
          </w:cols>
          <w:pgMar w:left="240" w:top="449" w:right="359" w:bottom="1440" w:gutter="0" w:footer="0" w:header="0"/>
          <w:type w:val="continuous"/>
        </w:sectPr>
      </w:pP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Effective on and as of August 16, 2014, pursuant to Section 2.14 of that certain Third Amended and Restated Credit Agreement dated as of August 19, 2011 among Plains Marketing, L.P. and Plains Midstream Canada ULC (“PMC”), as Borrowers; Plains All American Pipeline, L.P. (the “Registrant”), as Guarantor; Bank of America, N.A., as Administrative Agent, Swing Line Lender and L/C Issuer; Wells Fargo Bank, National Association, as an L/C Issuer; and the other Lenders party thereto (as amended, the “Hedged Inventory Facility”), each Lender under the Hedged Inventory Facility consented to an extension of such Lender’s Maturity Date for one additional year from the Existing Maturity Date. As a result, the Maturity Date of each Lender has been extended to August 16, 2017. Terms used but not defined herein have the meanings assigned to them in the Hedged Inventory Facility.</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Effective on and as of August 16, 2014, pursuant to Section 2.14 of that certain Credit Agreement dated as of August 19, 2011 among the Registrant and PMC, as Borrowers; Bank of America, N.A., as Administrative Agent, Swing Line Lender and L/C Issuer; Wells Fargo Bank, National Association, as an L/C Issuer; and the other Lenders party thereto (as amended, the “Credit Agreement”), each Lender under the Credit Agreement consented to an extension of such Lender’s Maturity Date for one additional year from the Existing Maturity Date. As a result, the Maturity Date of each Lender has been extended to August 16, 2019. Terms used but not defined herein have the meanings assigned to them in the Credit Agreement.</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20, 2014</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2020-01-28T08:43:11Z</dcterms:created>
  <dcterms:modified xsi:type="dcterms:W3CDTF">2020-01-28T08:43:11Z</dcterms:modified>
</cp:coreProperties>
</file>