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As filed with the Securities and Exchange Commission on January 29, 2007</w:t>
      </w:r>
    </w:p>
    <w:p>
      <w:pPr>
        <w:spacing w:after="0" w:line="220" w:lineRule="exact"/>
        <w:rPr>
          <w:sz w:val="20"/>
          <w:szCs w:val="20"/>
          <w:color w:val="auto"/>
        </w:rPr>
      </w:pPr>
    </w:p>
    <w:p>
      <w:pPr>
        <w:ind w:left="8020"/>
        <w:spacing w:after="0"/>
        <w:rPr>
          <w:sz w:val="20"/>
          <w:szCs w:val="20"/>
          <w:color w:val="auto"/>
        </w:rPr>
      </w:pPr>
      <w:r>
        <w:rPr>
          <w:rFonts w:ascii="Arial" w:cs="Arial" w:eastAsia="Arial" w:hAnsi="Arial"/>
          <w:sz w:val="16"/>
          <w:szCs w:val="16"/>
          <w:b w:val="1"/>
          <w:bCs w:val="1"/>
          <w:color w:val="auto"/>
        </w:rPr>
        <w:t>Registration Statement No. 333-138888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38735</wp:posOffset>
            </wp:positionV>
            <wp:extent cx="724789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7890"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73025</wp:posOffset>
            </wp:positionV>
            <wp:extent cx="72478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99"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6" w:lineRule="exact"/>
        <w:rPr>
          <w:sz w:val="20"/>
          <w:szCs w:val="20"/>
          <w:color w:val="auto"/>
        </w:rPr>
      </w:pPr>
    </w:p>
    <w:p>
      <w:pPr>
        <w:jc w:val="center"/>
        <w:ind w:right="-21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2682875</wp:posOffset>
            </wp:positionH>
            <wp:positionV relativeFrom="paragraph">
              <wp:posOffset>179705</wp:posOffset>
            </wp:positionV>
            <wp:extent cx="18903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903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center"/>
        <w:ind w:right="-159"/>
        <w:spacing w:after="0"/>
        <w:rPr>
          <w:sz w:val="20"/>
          <w:szCs w:val="20"/>
          <w:color w:val="auto"/>
        </w:rPr>
      </w:pPr>
      <w:r>
        <w:rPr>
          <w:rFonts w:ascii="Arial" w:cs="Arial" w:eastAsia="Arial" w:hAnsi="Arial"/>
          <w:sz w:val="21"/>
          <w:szCs w:val="21"/>
          <w:b w:val="1"/>
          <w:bCs w:val="1"/>
          <w:color w:val="auto"/>
        </w:rPr>
        <w:t>Amendment No. 2</w:t>
      </w:r>
    </w:p>
    <w:p>
      <w:pPr>
        <w:spacing w:after="0" w:line="20" w:lineRule="exact"/>
        <w:rPr>
          <w:sz w:val="20"/>
          <w:szCs w:val="20"/>
          <w:color w:val="auto"/>
        </w:rPr>
      </w:pPr>
    </w:p>
    <w:p>
      <w:pPr>
        <w:jc w:val="center"/>
        <w:ind w:right="-219"/>
        <w:spacing w:after="0"/>
        <w:rPr>
          <w:sz w:val="20"/>
          <w:szCs w:val="20"/>
          <w:color w:val="auto"/>
        </w:rPr>
      </w:pPr>
      <w:r>
        <w:rPr>
          <w:rFonts w:ascii="Arial" w:cs="Arial" w:eastAsia="Arial" w:hAnsi="Arial"/>
          <w:sz w:val="21"/>
          <w:szCs w:val="21"/>
          <w:b w:val="1"/>
          <w:bCs w:val="1"/>
          <w:color w:val="auto"/>
        </w:rPr>
        <w:t>to</w:t>
      </w:r>
    </w:p>
    <w:p>
      <w:pPr>
        <w:jc w:val="center"/>
        <w:ind w:right="-219"/>
        <w:spacing w:after="0"/>
        <w:rPr>
          <w:sz w:val="20"/>
          <w:szCs w:val="20"/>
          <w:color w:val="auto"/>
        </w:rPr>
      </w:pPr>
      <w:r>
        <w:rPr>
          <w:rFonts w:ascii="Arial" w:cs="Arial" w:eastAsia="Arial" w:hAnsi="Arial"/>
          <w:sz w:val="32"/>
          <w:szCs w:val="32"/>
          <w:b w:val="1"/>
          <w:bCs w:val="1"/>
          <w:color w:val="auto"/>
        </w:rPr>
        <w:t>FORM S-3</w:t>
      </w:r>
    </w:p>
    <w:p>
      <w:pPr>
        <w:spacing w:after="0" w:line="184" w:lineRule="exact"/>
        <w:rPr>
          <w:sz w:val="20"/>
          <w:szCs w:val="20"/>
          <w:color w:val="auto"/>
        </w:rPr>
      </w:pPr>
    </w:p>
    <w:p>
      <w:pPr>
        <w:jc w:val="center"/>
        <w:ind w:right="-219"/>
        <w:spacing w:after="0"/>
        <w:rPr>
          <w:sz w:val="20"/>
          <w:szCs w:val="20"/>
          <w:color w:val="auto"/>
        </w:rPr>
      </w:pPr>
      <w:r>
        <w:rPr>
          <w:rFonts w:ascii="Arial" w:cs="Arial" w:eastAsia="Arial" w:hAnsi="Arial"/>
          <w:sz w:val="21"/>
          <w:szCs w:val="21"/>
          <w:b w:val="1"/>
          <w:bCs w:val="1"/>
          <w:color w:val="auto"/>
        </w:rPr>
        <w:t>REGISTRATION STATEMENT</w:t>
      </w:r>
    </w:p>
    <w:p>
      <w:pPr>
        <w:spacing w:after="0" w:line="22" w:lineRule="exact"/>
        <w:rPr>
          <w:sz w:val="20"/>
          <w:szCs w:val="20"/>
          <w:color w:val="auto"/>
        </w:rPr>
      </w:pPr>
    </w:p>
    <w:p>
      <w:pPr>
        <w:jc w:val="center"/>
        <w:ind w:right="-219"/>
        <w:spacing w:after="0"/>
        <w:rPr>
          <w:sz w:val="20"/>
          <w:szCs w:val="20"/>
          <w:color w:val="auto"/>
        </w:rPr>
      </w:pPr>
      <w:r>
        <w:rPr>
          <w:rFonts w:ascii="Arial" w:cs="Arial" w:eastAsia="Arial" w:hAnsi="Arial"/>
          <w:sz w:val="21"/>
          <w:szCs w:val="21"/>
          <w:b w:val="1"/>
          <w:bCs w:val="1"/>
          <w:color w:val="auto"/>
        </w:rPr>
        <w:t>UNDER</w:t>
      </w:r>
    </w:p>
    <w:p>
      <w:pPr>
        <w:jc w:val="center"/>
        <w:ind w:right="-219"/>
        <w:spacing w:after="0"/>
        <w:rPr>
          <w:sz w:val="20"/>
          <w:szCs w:val="20"/>
          <w:color w:val="auto"/>
        </w:rPr>
      </w:pPr>
      <w:r>
        <w:rPr>
          <w:rFonts w:ascii="Arial" w:cs="Arial" w:eastAsia="Arial" w:hAnsi="Arial"/>
          <w:sz w:val="21"/>
          <w:szCs w:val="21"/>
          <w:b w:val="1"/>
          <w:bCs w:val="1"/>
          <w:color w:val="auto"/>
        </w:rPr>
        <w:t>THE SECURITIES ACT OF 1933</w:t>
      </w:r>
    </w:p>
    <w:p>
      <w:pPr>
        <w:spacing w:after="0" w:line="174" w:lineRule="exact"/>
        <w:rPr>
          <w:sz w:val="20"/>
          <w:szCs w:val="20"/>
          <w:color w:val="auto"/>
        </w:rPr>
      </w:pPr>
    </w:p>
    <w:p>
      <w:pPr>
        <w:jc w:val="center"/>
        <w:ind w:right="-219"/>
        <w:spacing w:after="0"/>
        <w:rPr>
          <w:sz w:val="20"/>
          <w:szCs w:val="20"/>
          <w:color w:val="auto"/>
        </w:rPr>
      </w:pPr>
      <w:r>
        <w:rPr>
          <w:rFonts w:ascii="Arial" w:cs="Arial" w:eastAsia="Arial" w:hAnsi="Arial"/>
          <w:sz w:val="43"/>
          <w:szCs w:val="43"/>
          <w:b w:val="1"/>
          <w:bCs w:val="1"/>
          <w:color w:val="auto"/>
        </w:rPr>
        <w:t>PLAINS ALL AMERICAN PIPELINE, L.P.</w:t>
      </w:r>
    </w:p>
    <w:p>
      <w:pPr>
        <w:spacing w:after="0" w:line="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20"/>
          </w:cols>
          <w:pgMar w:left="240" w:top="122" w:right="439" w:bottom="210" w:gutter="0" w:footer="0" w:header="0"/>
        </w:sectPr>
      </w:pPr>
    </w:p>
    <w:p>
      <w:pPr>
        <w:spacing w:after="0" w:line="200" w:lineRule="exact"/>
        <w:rPr>
          <w:sz w:val="20"/>
          <w:szCs w:val="20"/>
          <w:color w:val="auto"/>
        </w:rPr>
      </w:pPr>
    </w:p>
    <w:p>
      <w:pPr>
        <w:jc w:val="center"/>
        <w:ind w:right="1260"/>
        <w:spacing w:after="0"/>
        <w:rPr>
          <w:sz w:val="20"/>
          <w:szCs w:val="20"/>
          <w:color w:val="auto"/>
        </w:rPr>
      </w:pPr>
      <w:r>
        <w:rPr>
          <w:rFonts w:ascii="Arial" w:cs="Arial" w:eastAsia="Arial" w:hAnsi="Arial"/>
          <w:sz w:val="18"/>
          <w:szCs w:val="18"/>
          <w:b w:val="1"/>
          <w:bCs w:val="1"/>
          <w:color w:val="auto"/>
        </w:rPr>
        <w:t>Delaware</w:t>
      </w:r>
    </w:p>
    <w:p>
      <w:pPr>
        <w:spacing w:after="0" w:line="24" w:lineRule="exact"/>
        <w:rPr>
          <w:sz w:val="20"/>
          <w:szCs w:val="20"/>
          <w:color w:val="auto"/>
        </w:rPr>
      </w:pPr>
    </w:p>
    <w:p>
      <w:pPr>
        <w:jc w:val="center"/>
        <w:ind w:right="1260"/>
        <w:spacing w:after="0"/>
        <w:rPr>
          <w:sz w:val="20"/>
          <w:szCs w:val="20"/>
          <w:color w:val="auto"/>
        </w:rPr>
      </w:pPr>
      <w:r>
        <w:rPr>
          <w:rFonts w:ascii="Arial" w:cs="Arial" w:eastAsia="Arial" w:hAnsi="Arial"/>
          <w:sz w:val="16"/>
          <w:szCs w:val="16"/>
          <w:color w:val="auto"/>
        </w:rPr>
        <w:t>(State or other jurisdiction</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76-0582150</w:t>
      </w:r>
    </w:p>
    <w:p>
      <w:pPr>
        <w:spacing w:after="0" w:line="24"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(I.R.S. Employer Identification No.)</w:t>
      </w:r>
    </w:p>
    <w:p>
      <w:pPr>
        <w:spacing w:after="0" w:line="30" w:lineRule="exact"/>
        <w:rPr>
          <w:sz w:val="20"/>
          <w:szCs w:val="20"/>
          <w:color w:val="auto"/>
        </w:rPr>
      </w:pPr>
    </w:p>
    <w:p>
      <w:pPr>
        <w:sectPr>
          <w:pgSz w:w="11900" w:h="16838" w:orient="portrait"/>
          <w:cols w:equalWidth="0" w:num="2">
            <w:col w:w="6700" w:space="720"/>
            <w:col w:w="3800"/>
          </w:cols>
          <w:pgMar w:left="240" w:top="122" w:right="439" w:bottom="210" w:gutter="0" w:footer="0" w:header="0"/>
          <w:type w:val="continuous"/>
        </w:sectPr>
      </w:pPr>
    </w:p>
    <w:p>
      <w:pPr>
        <w:ind w:left="1560"/>
        <w:spacing w:after="0"/>
        <w:rPr>
          <w:sz w:val="20"/>
          <w:szCs w:val="20"/>
          <w:color w:val="auto"/>
        </w:rPr>
      </w:pPr>
      <w:r>
        <w:rPr>
          <w:rFonts w:ascii="Arial" w:cs="Arial" w:eastAsia="Arial" w:hAnsi="Arial"/>
          <w:sz w:val="18"/>
          <w:szCs w:val="18"/>
          <w:color w:val="auto"/>
        </w:rPr>
        <w:t>of incorporation or organization)</w:t>
      </w:r>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333 Clay Street, Suite 1600</w:t>
      </w:r>
    </w:p>
    <w:p>
      <w:pPr>
        <w:spacing w:after="0" w:line="2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Houston, Texas 77002</w:t>
      </w:r>
    </w:p>
    <w:p>
      <w:pPr>
        <w:spacing w:after="0" w:line="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(713) 646-4100</w:t>
      </w:r>
    </w:p>
    <w:p>
      <w:pPr>
        <w:spacing w:after="0" w:line="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(Address, including zip code, and telephone number,</w:t>
      </w:r>
    </w:p>
    <w:p>
      <w:pPr>
        <w:spacing w:after="0" w:line="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including area code, of registrants’ principal executive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2682875</wp:posOffset>
            </wp:positionH>
            <wp:positionV relativeFrom="paragraph">
              <wp:posOffset>191770</wp:posOffset>
            </wp:positionV>
            <wp:extent cx="18903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903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Tim Moore</w:t>
      </w:r>
    </w:p>
    <w:p>
      <w:pPr>
        <w:spacing w:after="0" w:line="2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333 Clay Street, Suite 1600</w:t>
      </w:r>
    </w:p>
    <w:p>
      <w:pPr>
        <w:spacing w:after="0" w:line="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Houston, Texas 77002</w:t>
      </w:r>
    </w:p>
    <w:p>
      <w:pPr>
        <w:spacing w:after="0" w:line="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(713) 646-4100</w:t>
      </w:r>
    </w:p>
    <w:p>
      <w:pPr>
        <w:spacing w:after="0" w:line="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(Name, address, including zip code, and telephone number,</w:t>
      </w:r>
    </w:p>
    <w:p>
      <w:pPr>
        <w:spacing w:after="0" w:line="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including area code,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2682875</wp:posOffset>
            </wp:positionH>
            <wp:positionV relativeFrom="paragraph">
              <wp:posOffset>182880</wp:posOffset>
            </wp:positionV>
            <wp:extent cx="18903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903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Copy to</w:t>
      </w:r>
      <w:r>
        <w:rPr>
          <w:rFonts w:ascii="Arial" w:cs="Arial" w:eastAsia="Arial" w:hAnsi="Arial"/>
          <w:sz w:val="18"/>
          <w:szCs w:val="18"/>
          <w:color w:val="auto"/>
        </w:rPr>
        <w:t>:</w:t>
      </w:r>
    </w:p>
    <w:p>
      <w:pPr>
        <w:spacing w:after="0" w:line="2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 Alan Beck, Jr.</w:t>
      </w:r>
    </w:p>
    <w:p>
      <w:pPr>
        <w:spacing w:after="0" w:line="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David P. Oelman</w:t>
      </w:r>
    </w:p>
    <w:p>
      <w:pPr>
        <w:spacing w:after="0" w:line="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Vinson &amp; Elkins L.L.P.</w:t>
      </w:r>
    </w:p>
    <w:p>
      <w:pPr>
        <w:spacing w:after="0" w:line="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1001 Fannin, Suite 2300</w:t>
      </w:r>
    </w:p>
    <w:p>
      <w:pPr>
        <w:spacing w:after="0" w:line="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Houston, Texas 77002</w:t>
      </w:r>
    </w:p>
    <w:p>
      <w:pPr>
        <w:spacing w:after="0" w:line="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Telephone: (713) 758-2222</w:t>
      </w:r>
    </w:p>
    <w:p>
      <w:pPr>
        <w:spacing w:after="0" w:line="96"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Approximate date of commencement of proposed sale to the public</w:t>
      </w:r>
      <w:r>
        <w:rPr>
          <w:rFonts w:ascii="Arial" w:cs="Arial" w:eastAsia="Arial" w:hAnsi="Arial"/>
          <w:sz w:val="17"/>
          <w:szCs w:val="17"/>
          <w:color w:val="auto"/>
        </w:rPr>
        <w:t>: From time to time after this registration statement becomes effective.</w:t>
      </w:r>
    </w:p>
    <w:p>
      <w:pPr>
        <w:spacing w:after="0" w:line="12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If the only securities being registered on this form are being offered pursuant to dividend or interest reinvestment plans, please check the following box. o</w:t>
      </w:r>
    </w:p>
    <w:p>
      <w:pPr>
        <w:spacing w:after="0" w:line="136" w:lineRule="exact"/>
        <w:rPr>
          <w:sz w:val="20"/>
          <w:szCs w:val="20"/>
          <w:color w:val="auto"/>
        </w:rPr>
      </w:pPr>
    </w:p>
    <w:p>
      <w:pPr>
        <w:ind w:right="200" w:firstLine="222"/>
        <w:spacing w:after="0" w:line="230" w:lineRule="exact"/>
        <w:rPr>
          <w:sz w:val="20"/>
          <w:szCs w:val="20"/>
          <w:color w:val="auto"/>
        </w:rPr>
      </w:pPr>
      <w:r>
        <w:rPr>
          <w:rFonts w:ascii="Arial" w:cs="Arial" w:eastAsia="Arial" w:hAnsi="Arial"/>
          <w:sz w:val="17"/>
          <w:szCs w:val="17"/>
          <w:color w:val="auto"/>
        </w:rPr>
        <w:t xml:space="preserve">If any of the securities being registered on this form are being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75" w:lineRule="exact"/>
        <w:rPr>
          <w:sz w:val="20"/>
          <w:szCs w:val="20"/>
          <w:color w:val="auto"/>
        </w:rPr>
      </w:pPr>
    </w:p>
    <w:p>
      <w:pPr>
        <w:ind w:right="200" w:firstLine="222"/>
        <w:spacing w:after="0" w:line="270" w:lineRule="auto"/>
        <w:rPr>
          <w:sz w:val="20"/>
          <w:szCs w:val="20"/>
          <w:color w:val="auto"/>
        </w:rPr>
      </w:pPr>
      <w:r>
        <w:rPr>
          <w:rFonts w:ascii="Arial" w:cs="Arial" w:eastAsia="Arial" w:hAnsi="Arial"/>
          <w:sz w:val="18"/>
          <w:szCs w:val="18"/>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68" w:lineRule="exact"/>
        <w:rPr>
          <w:sz w:val="20"/>
          <w:szCs w:val="20"/>
          <w:color w:val="auto"/>
        </w:rPr>
      </w:pPr>
    </w:p>
    <w:p>
      <w:pPr>
        <w:ind w:right="420" w:firstLine="222"/>
        <w:spacing w:after="0" w:line="270" w:lineRule="auto"/>
        <w:rPr>
          <w:sz w:val="20"/>
          <w:szCs w:val="20"/>
          <w:color w:val="auto"/>
        </w:rPr>
      </w:pPr>
      <w:r>
        <w:rPr>
          <w:rFonts w:ascii="Arial" w:cs="Arial" w:eastAsia="Arial" w:hAnsi="Arial"/>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68" w:lineRule="exact"/>
        <w:rPr>
          <w:sz w:val="20"/>
          <w:szCs w:val="20"/>
          <w:color w:val="auto"/>
        </w:rPr>
      </w:pPr>
    </w:p>
    <w:p>
      <w:pPr>
        <w:ind w:right="160" w:firstLine="222"/>
        <w:spacing w:after="0" w:line="270" w:lineRule="auto"/>
        <w:rPr>
          <w:sz w:val="20"/>
          <w:szCs w:val="20"/>
          <w:color w:val="auto"/>
        </w:rPr>
      </w:pPr>
      <w:r>
        <w:rPr>
          <w:rFonts w:ascii="Arial" w:cs="Arial" w:eastAsia="Arial" w:hAnsi="Arial"/>
          <w:sz w:val="18"/>
          <w:szCs w:val="18"/>
          <w:color w:val="auto"/>
        </w:rPr>
        <w:t>If this Form is a registration statement pursuant to General Instruction I.D. or a post-effective amendment thereto that shall become effective upon filing with the Commission pursuant to Rule 462(e) under the Securities Act, check the following box. o</w:t>
      </w:r>
    </w:p>
    <w:p>
      <w:pPr>
        <w:spacing w:after="0" w:line="68" w:lineRule="exact"/>
        <w:rPr>
          <w:sz w:val="20"/>
          <w:szCs w:val="20"/>
          <w:color w:val="auto"/>
        </w:rPr>
      </w:pPr>
    </w:p>
    <w:p>
      <w:pPr>
        <w:ind w:right="320" w:firstLine="222"/>
        <w:spacing w:after="0" w:line="230"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75" w:lineRule="exact"/>
        <w:rPr>
          <w:sz w:val="20"/>
          <w:szCs w:val="20"/>
          <w:color w:val="auto"/>
        </w:rPr>
      </w:pPr>
    </w:p>
    <w:p>
      <w:pPr>
        <w:ind w:firstLine="219"/>
        <w:spacing w:after="0" w:line="255" w:lineRule="auto"/>
        <w:rPr>
          <w:sz w:val="20"/>
          <w:szCs w:val="20"/>
          <w:color w:val="auto"/>
        </w:rPr>
      </w:pPr>
      <w:r>
        <w:rPr>
          <w:rFonts w:ascii="Arial" w:cs="Arial" w:eastAsia="Arial" w:hAnsi="Arial"/>
          <w:sz w:val="18"/>
          <w:szCs w:val="18"/>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120015</wp:posOffset>
            </wp:positionV>
            <wp:extent cx="7247890" cy="33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7890" cy="33655"/>
                    </a:xfrm>
                    <a:prstGeom prst="rect">
                      <a:avLst/>
                    </a:prstGeom>
                    <a:noFill/>
                  </pic:spPr>
                </pic:pic>
              </a:graphicData>
            </a:graphic>
          </wp:anchor>
        </w:drawing>
      </w:r>
    </w:p>
    <w:p>
      <w:pPr>
        <w:sectPr>
          <w:pgSz w:w="11900" w:h="16838" w:orient="portrait"/>
          <w:cols w:equalWidth="0" w:num="1">
            <w:col w:w="11220"/>
          </w:cols>
          <w:pgMar w:left="240" w:top="122" w:right="439" w:bottom="210" w:gutter="0" w:footer="0" w:header="0"/>
          <w:type w:val="continuous"/>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5233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2335"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200025</wp:posOffset>
            </wp:positionV>
            <wp:extent cx="7313295" cy="5041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13295" cy="5041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120" w:right="160"/>
        <w:spacing w:after="0" w:line="237" w:lineRule="auto"/>
        <w:rPr>
          <w:sz w:val="20"/>
          <w:szCs w:val="20"/>
          <w:color w:val="auto"/>
        </w:rPr>
      </w:pPr>
      <w:r>
        <w:rPr>
          <w:rFonts w:ascii="Arial" w:cs="Arial" w:eastAsia="Arial" w:hAnsi="Arial"/>
          <w:sz w:val="14"/>
          <w:szCs w:val="14"/>
          <w:b w:val="1"/>
          <w:bCs w:val="1"/>
          <w:color w:val="auto"/>
        </w:rPr>
        <w:t>The information in this prospectus is not complete and may be changed. The selling unitholders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SUBJECT TO COMPLETION, DATED JANUARY 29, 2007</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Plains All American Pipeline, L.P.</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5,120,517 Common Units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Representing Limited Partner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2682875</wp:posOffset>
            </wp:positionH>
            <wp:positionV relativeFrom="paragraph">
              <wp:posOffset>187325</wp:posOffset>
            </wp:positionV>
            <wp:extent cx="18903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90395"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right="80" w:firstLine="222"/>
        <w:spacing w:after="0" w:line="297" w:lineRule="auto"/>
        <w:rPr>
          <w:sz w:val="20"/>
          <w:szCs w:val="20"/>
          <w:color w:val="auto"/>
        </w:rPr>
      </w:pPr>
      <w:r>
        <w:rPr>
          <w:rFonts w:ascii="Arial" w:cs="Arial" w:eastAsia="Arial" w:hAnsi="Arial"/>
          <w:sz w:val="16"/>
          <w:szCs w:val="16"/>
          <w:color w:val="auto"/>
        </w:rPr>
        <w:t>Up to 5,120,517 common units may be offered and sold from time to time by the selling unitholders named in this prospectus or in any supplement to this prospectus. The selling unitholders may sell the common units at various times and in various types of transactions, including sales in the open market, sales in negotiated transactions and sales by a combination of these methods. The common units covered by this prospectus may be sold at market prices prevailing at the time or at negotiated prices. We will not receive any proceeds from the sale of the common units by the selling unitholders.</w:t>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Our common units trade on the New York Stock Exchange under the symbol “PAA.”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2682875</wp:posOffset>
            </wp:positionH>
            <wp:positionV relativeFrom="paragraph">
              <wp:posOffset>191135</wp:posOffset>
            </wp:positionV>
            <wp:extent cx="18903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90395" cy="825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right="340" w:firstLine="222"/>
        <w:spacing w:after="0" w:line="275" w:lineRule="auto"/>
        <w:rPr>
          <w:sz w:val="20"/>
          <w:szCs w:val="20"/>
          <w:color w:val="auto"/>
        </w:rPr>
      </w:pPr>
      <w:r>
        <w:rPr>
          <w:rFonts w:ascii="Arial" w:cs="Arial" w:eastAsia="Arial" w:hAnsi="Arial"/>
          <w:sz w:val="18"/>
          <w:szCs w:val="18"/>
          <w:b w:val="1"/>
          <w:bCs w:val="1"/>
          <w:color w:val="auto"/>
        </w:rPr>
        <w:t>Limited partnerships are inherently different from corporations. You should carefully consider the risk factors described under “Risk Factors” beginning on page 1 of this prospectus before you make any investment in our securities.</w:t>
      </w:r>
    </w:p>
    <w:p>
      <w:pPr>
        <w:spacing w:after="0" w:line="60" w:lineRule="exact"/>
        <w:rPr>
          <w:sz w:val="20"/>
          <w:szCs w:val="20"/>
          <w:color w:val="auto"/>
        </w:rPr>
      </w:pPr>
    </w:p>
    <w:p>
      <w:pPr>
        <w:ind w:right="880" w:firstLine="222"/>
        <w:spacing w:after="0" w:line="305"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whether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2682875</wp:posOffset>
            </wp:positionH>
            <wp:positionV relativeFrom="paragraph">
              <wp:posOffset>145415</wp:posOffset>
            </wp:positionV>
            <wp:extent cx="18903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903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540" w:type="dxa"/>
            <w:vAlign w:val="bottom"/>
          </w:tcPr>
          <w:p>
            <w:pPr>
              <w:ind w:left="4000"/>
              <w:spacing w:after="0"/>
              <w:rPr>
                <w:sz w:val="20"/>
                <w:szCs w:val="20"/>
                <w:color w:val="auto"/>
              </w:rPr>
            </w:pPr>
            <w:r>
              <w:rPr>
                <w:rFonts w:ascii="Arial" w:cs="Arial" w:eastAsia="Arial" w:hAnsi="Arial"/>
                <w:sz w:val="18"/>
                <w:szCs w:val="18"/>
                <w:color w:val="auto"/>
              </w:rPr>
              <w:t>The date of this prospectus is</w:t>
            </w:r>
          </w:p>
        </w:tc>
        <w:tc>
          <w:tcPr>
            <w:tcW w:w="4880" w:type="dxa"/>
            <w:vAlign w:val="bottom"/>
          </w:tcPr>
          <w:p>
            <w:pPr>
              <w:jc w:val="right"/>
              <w:ind w:right="3911"/>
              <w:spacing w:after="0"/>
              <w:rPr>
                <w:sz w:val="20"/>
                <w:szCs w:val="20"/>
                <w:color w:val="auto"/>
              </w:rPr>
            </w:pPr>
            <w:r>
              <w:rPr>
                <w:rFonts w:ascii="Arial" w:cs="Arial" w:eastAsia="Arial" w:hAnsi="Arial"/>
                <w:sz w:val="18"/>
                <w:szCs w:val="18"/>
                <w:color w:val="auto"/>
              </w:rPr>
              <w:t>, 2007</w:t>
            </w:r>
          </w:p>
        </w:tc>
      </w:tr>
      <w:tr>
        <w:trPr>
          <w:trHeight w:val="626"/>
        </w:trPr>
        <w:tc>
          <w:tcPr>
            <w:tcW w:w="6540" w:type="dxa"/>
            <w:vAlign w:val="bottom"/>
            <w:tcBorders>
              <w:bottom w:val="single" w:sz="8" w:color="808080"/>
            </w:tcBorders>
          </w:tcPr>
          <w:p>
            <w:pPr>
              <w:spacing w:after="0"/>
              <w:rPr>
                <w:sz w:val="24"/>
                <w:szCs w:val="24"/>
                <w:color w:val="auto"/>
              </w:rPr>
            </w:pPr>
          </w:p>
        </w:tc>
        <w:tc>
          <w:tcPr>
            <w:tcW w:w="48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1"/>
        </w:trPr>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340" w:type="dxa"/>
            <w:vAlign w:val="bottom"/>
          </w:tcPr>
          <w:p>
            <w:pPr>
              <w:jc w:val="right"/>
              <w:ind w:right="4331"/>
              <w:spacing w:after="0"/>
              <w:rPr>
                <w:sz w:val="20"/>
                <w:szCs w:val="20"/>
                <w:color w:val="auto"/>
              </w:rPr>
            </w:pPr>
            <w:r>
              <w:rPr>
                <w:rFonts w:ascii="Arial" w:cs="Arial" w:eastAsia="Arial" w:hAnsi="Arial"/>
                <w:sz w:val="18"/>
                <w:szCs w:val="18"/>
                <w:b w:val="1"/>
                <w:bCs w:val="1"/>
                <w:color w:val="auto"/>
                <w:w w:val="97"/>
              </w:rPr>
              <w:t>TABLE OF CONTENTS</w:t>
            </w:r>
          </w:p>
        </w:tc>
      </w:tr>
      <w:tr>
        <w:trPr>
          <w:trHeight w:val="389"/>
        </w:trPr>
        <w:tc>
          <w:tcPr>
            <w:tcW w:w="2220" w:type="dxa"/>
            <w:vAlign w:val="bottom"/>
            <w:tcBorders>
              <w:bottom w:val="single" w:sz="8" w:color="0000EE"/>
            </w:tcBorders>
            <w:gridSpan w:val="10"/>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ABOUT THIS PROSPECTUS</w:t>
              </w:r>
            </w:hyperlink>
          </w:p>
        </w:tc>
        <w:tc>
          <w:tcPr>
            <w:tcW w:w="2520" w:type="dxa"/>
            <w:vAlign w:val="bottom"/>
            <w:gridSpan w:val="8"/>
          </w:tcPr>
          <w:p>
            <w:pPr>
              <w:spacing w:after="0"/>
              <w:rPr>
                <w:sz w:val="24"/>
                <w:szCs w:val="24"/>
                <w:color w:val="auto"/>
              </w:rPr>
            </w:pPr>
          </w:p>
        </w:tc>
        <w:tc>
          <w:tcPr>
            <w:tcW w:w="6340" w:type="dxa"/>
            <w:vAlign w:val="bottom"/>
          </w:tcPr>
          <w:p>
            <w:pPr>
              <w:jc w:val="right"/>
              <w:spacing w:after="0"/>
              <w:rPr>
                <w:sz w:val="20"/>
                <w:szCs w:val="20"/>
                <w:color w:val="auto"/>
              </w:rPr>
            </w:pPr>
            <w:r>
              <w:rPr>
                <w:rFonts w:ascii="Arial" w:cs="Arial" w:eastAsia="Arial" w:hAnsi="Arial"/>
                <w:sz w:val="18"/>
                <w:szCs w:val="18"/>
                <w:color w:val="auto"/>
              </w:rPr>
              <w:t>ii</w:t>
            </w:r>
          </w:p>
        </w:tc>
      </w:tr>
      <w:tr>
        <w:trPr>
          <w:trHeight w:val="194"/>
        </w:trPr>
        <w:tc>
          <w:tcPr>
            <w:tcW w:w="1160" w:type="dxa"/>
            <w:vAlign w:val="bottom"/>
            <w:tcBorders>
              <w:bottom w:val="single" w:sz="8" w:color="0000EE"/>
            </w:tcBorders>
            <w:gridSpan w:val="3"/>
          </w:tcPr>
          <w:p>
            <w:pPr>
              <w:spacing w:after="0" w:line="194" w:lineRule="exact"/>
              <w:rPr>
                <w:rFonts w:ascii="Arial" w:cs="Arial" w:eastAsia="Arial" w:hAnsi="Arial"/>
                <w:sz w:val="18"/>
                <w:szCs w:val="18"/>
                <w:color w:val="0000EE"/>
                <w:w w:val="94"/>
              </w:rPr>
            </w:pPr>
            <w:hyperlink w:anchor="page6">
              <w:r>
                <w:rPr>
                  <w:rFonts w:ascii="Arial" w:cs="Arial" w:eastAsia="Arial" w:hAnsi="Arial"/>
                  <w:sz w:val="18"/>
                  <w:szCs w:val="18"/>
                  <w:color w:val="0000EE"/>
                  <w:w w:val="94"/>
                </w:rPr>
                <w:t>WHO WE ARE</w:t>
              </w:r>
            </w:hyperlink>
          </w:p>
        </w:tc>
        <w:tc>
          <w:tcPr>
            <w:tcW w:w="3580" w:type="dxa"/>
            <w:vAlign w:val="bottom"/>
            <w:gridSpan w:val="15"/>
          </w:tcPr>
          <w:p>
            <w:pPr>
              <w:spacing w:after="0"/>
              <w:rPr>
                <w:sz w:val="16"/>
                <w:szCs w:val="16"/>
                <w:color w:val="auto"/>
              </w:rPr>
            </w:pPr>
          </w:p>
        </w:tc>
        <w:tc>
          <w:tcPr>
            <w:tcW w:w="6340" w:type="dxa"/>
            <w:vAlign w:val="bottom"/>
          </w:tcPr>
          <w:p>
            <w:pPr>
              <w:jc w:val="right"/>
              <w:spacing w:after="0" w:line="194" w:lineRule="exact"/>
              <w:rPr>
                <w:sz w:val="20"/>
                <w:szCs w:val="20"/>
                <w:color w:val="auto"/>
              </w:rPr>
            </w:pPr>
            <w:r>
              <w:rPr>
                <w:rFonts w:ascii="Arial" w:cs="Arial" w:eastAsia="Arial" w:hAnsi="Arial"/>
                <w:sz w:val="18"/>
                <w:szCs w:val="18"/>
                <w:color w:val="auto"/>
              </w:rPr>
              <w:t>1</w:t>
            </w:r>
          </w:p>
        </w:tc>
      </w:tr>
      <w:tr>
        <w:trPr>
          <w:trHeight w:val="194"/>
        </w:trPr>
        <w:tc>
          <w:tcPr>
            <w:tcW w:w="4740" w:type="dxa"/>
            <w:vAlign w:val="bottom"/>
            <w:gridSpan w:val="18"/>
          </w:tcPr>
          <w:p>
            <w:pPr>
              <w:spacing w:after="0" w:line="194" w:lineRule="exact"/>
              <w:rPr>
                <w:rFonts w:ascii="Arial" w:cs="Arial" w:eastAsia="Arial" w:hAnsi="Arial"/>
                <w:sz w:val="18"/>
                <w:szCs w:val="18"/>
                <w:color w:val="0000EE"/>
              </w:rPr>
            </w:pPr>
            <w:hyperlink w:anchor="page6">
              <w:r>
                <w:rPr>
                  <w:rFonts w:ascii="Arial" w:cs="Arial" w:eastAsia="Arial" w:hAnsi="Arial"/>
                  <w:sz w:val="18"/>
                  <w:szCs w:val="18"/>
                  <w:color w:val="0000EE"/>
                </w:rPr>
                <w:t>RISK FACTORS</w:t>
              </w:r>
            </w:hyperlink>
          </w:p>
        </w:tc>
        <w:tc>
          <w:tcPr>
            <w:tcW w:w="6340" w:type="dxa"/>
            <w:vAlign w:val="bottom"/>
          </w:tcPr>
          <w:p>
            <w:pPr>
              <w:jc w:val="right"/>
              <w:spacing w:after="0" w:line="194" w:lineRule="exact"/>
              <w:rPr>
                <w:sz w:val="20"/>
                <w:szCs w:val="20"/>
                <w:color w:val="auto"/>
              </w:rPr>
            </w:pPr>
            <w:r>
              <w:rPr>
                <w:rFonts w:ascii="Arial" w:cs="Arial" w:eastAsia="Arial" w:hAnsi="Arial"/>
                <w:sz w:val="18"/>
                <w:szCs w:val="18"/>
                <w:color w:val="auto"/>
              </w:rPr>
              <w:t>1</w:t>
            </w:r>
          </w:p>
        </w:tc>
      </w:tr>
      <w:tr>
        <w:trPr>
          <w:trHeight w:val="20"/>
        </w:trPr>
        <w:tc>
          <w:tcPr>
            <w:tcW w:w="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r>
      <w:tr>
        <w:trPr>
          <w:trHeight w:val="194"/>
        </w:trPr>
        <w:tc>
          <w:tcPr>
            <w:tcW w:w="4740" w:type="dxa"/>
            <w:vAlign w:val="bottom"/>
            <w:gridSpan w:val="18"/>
          </w:tcPr>
          <w:p>
            <w:pPr>
              <w:spacing w:after="0" w:line="194" w:lineRule="exact"/>
              <w:rPr>
                <w:rFonts w:ascii="Arial" w:cs="Arial" w:eastAsia="Arial" w:hAnsi="Arial"/>
                <w:sz w:val="18"/>
                <w:szCs w:val="18"/>
                <w:color w:val="0000EE"/>
              </w:rPr>
            </w:pPr>
            <w:hyperlink w:anchor="page6">
              <w:r>
                <w:rPr>
                  <w:rFonts w:ascii="Arial" w:cs="Arial" w:eastAsia="Arial" w:hAnsi="Arial"/>
                  <w:sz w:val="18"/>
                  <w:szCs w:val="18"/>
                  <w:color w:val="0000EE"/>
                </w:rPr>
                <w:t>USE OF PROCEEDS</w:t>
              </w:r>
            </w:hyperlink>
          </w:p>
        </w:tc>
        <w:tc>
          <w:tcPr>
            <w:tcW w:w="6340" w:type="dxa"/>
            <w:vAlign w:val="bottom"/>
          </w:tcPr>
          <w:p>
            <w:pPr>
              <w:jc w:val="right"/>
              <w:spacing w:after="0" w:line="194" w:lineRule="exact"/>
              <w:rPr>
                <w:sz w:val="20"/>
                <w:szCs w:val="20"/>
                <w:color w:val="auto"/>
              </w:rPr>
            </w:pPr>
            <w:r>
              <w:rPr>
                <w:rFonts w:ascii="Arial" w:cs="Arial" w:eastAsia="Arial" w:hAnsi="Arial"/>
                <w:sz w:val="18"/>
                <w:szCs w:val="18"/>
                <w:color w:val="auto"/>
              </w:rPr>
              <w:t>1</w:t>
            </w:r>
          </w:p>
        </w:tc>
      </w:tr>
      <w:tr>
        <w:trPr>
          <w:trHeight w:val="20"/>
        </w:trPr>
        <w:tc>
          <w:tcPr>
            <w:tcW w:w="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r>
      <w:tr>
        <w:trPr>
          <w:trHeight w:val="194"/>
        </w:trPr>
        <w:tc>
          <w:tcPr>
            <w:tcW w:w="3260" w:type="dxa"/>
            <w:vAlign w:val="bottom"/>
            <w:tcBorders>
              <w:bottom w:val="single" w:sz="8" w:color="0000EE"/>
            </w:tcBorders>
            <w:gridSpan w:val="14"/>
          </w:tcPr>
          <w:p>
            <w:pPr>
              <w:spacing w:after="0" w:line="194" w:lineRule="exact"/>
              <w:rPr>
                <w:rFonts w:ascii="Arial" w:cs="Arial" w:eastAsia="Arial" w:hAnsi="Arial"/>
                <w:sz w:val="18"/>
                <w:szCs w:val="18"/>
                <w:color w:val="0000EE"/>
                <w:w w:val="94"/>
              </w:rPr>
            </w:pPr>
            <w:hyperlink w:anchor="page7">
              <w:r>
                <w:rPr>
                  <w:rFonts w:ascii="Arial" w:cs="Arial" w:eastAsia="Arial" w:hAnsi="Arial"/>
                  <w:sz w:val="18"/>
                  <w:szCs w:val="18"/>
                  <w:color w:val="0000EE"/>
                  <w:w w:val="94"/>
                </w:rPr>
                <w:t>DESCRIPTION OF THE COMMON UNITS</w:t>
              </w:r>
            </w:hyperlink>
          </w:p>
        </w:tc>
        <w:tc>
          <w:tcPr>
            <w:tcW w:w="1480" w:type="dxa"/>
            <w:vAlign w:val="bottom"/>
            <w:gridSpan w:val="4"/>
          </w:tcPr>
          <w:p>
            <w:pPr>
              <w:spacing w:after="0"/>
              <w:rPr>
                <w:sz w:val="16"/>
                <w:szCs w:val="16"/>
                <w:color w:val="auto"/>
              </w:rPr>
            </w:pPr>
          </w:p>
        </w:tc>
        <w:tc>
          <w:tcPr>
            <w:tcW w:w="6340" w:type="dxa"/>
            <w:vAlign w:val="bottom"/>
          </w:tcPr>
          <w:p>
            <w:pPr>
              <w:jc w:val="right"/>
              <w:spacing w:after="0" w:line="194" w:lineRule="exact"/>
              <w:rPr>
                <w:sz w:val="20"/>
                <w:szCs w:val="20"/>
                <w:color w:val="auto"/>
              </w:rPr>
            </w:pPr>
            <w:r>
              <w:rPr>
                <w:rFonts w:ascii="Arial" w:cs="Arial" w:eastAsia="Arial" w:hAnsi="Arial"/>
                <w:sz w:val="18"/>
                <w:szCs w:val="18"/>
                <w:color w:val="auto"/>
              </w:rPr>
              <w:t>2</w:t>
            </w:r>
          </w:p>
        </w:tc>
      </w:tr>
      <w:tr>
        <w:trPr>
          <w:trHeight w:val="194"/>
        </w:trPr>
        <w:tc>
          <w:tcPr>
            <w:tcW w:w="2460" w:type="dxa"/>
            <w:vAlign w:val="bottom"/>
            <w:tcBorders>
              <w:bottom w:val="single" w:sz="8" w:color="0000EE"/>
            </w:tcBorders>
            <w:gridSpan w:val="11"/>
          </w:tcPr>
          <w:p>
            <w:pPr>
              <w:spacing w:after="0" w:line="194" w:lineRule="exact"/>
              <w:rPr>
                <w:rFonts w:ascii="Arial" w:cs="Arial" w:eastAsia="Arial" w:hAnsi="Arial"/>
                <w:sz w:val="18"/>
                <w:szCs w:val="18"/>
                <w:color w:val="0000EE"/>
                <w:w w:val="96"/>
              </w:rPr>
            </w:pPr>
            <w:hyperlink w:anchor="page9">
              <w:r>
                <w:rPr>
                  <w:rFonts w:ascii="Arial" w:cs="Arial" w:eastAsia="Arial" w:hAnsi="Arial"/>
                  <w:sz w:val="18"/>
                  <w:szCs w:val="18"/>
                  <w:color w:val="0000EE"/>
                  <w:w w:val="96"/>
                </w:rPr>
                <w:t>CASH DISTRIBUTION POLICY</w:t>
              </w:r>
            </w:hyperlink>
          </w:p>
        </w:tc>
        <w:tc>
          <w:tcPr>
            <w:tcW w:w="2280" w:type="dxa"/>
            <w:vAlign w:val="bottom"/>
            <w:gridSpan w:val="7"/>
          </w:tcPr>
          <w:p>
            <w:pPr>
              <w:spacing w:after="0"/>
              <w:rPr>
                <w:sz w:val="16"/>
                <w:szCs w:val="16"/>
                <w:color w:val="auto"/>
              </w:rPr>
            </w:pPr>
          </w:p>
        </w:tc>
        <w:tc>
          <w:tcPr>
            <w:tcW w:w="6340" w:type="dxa"/>
            <w:vAlign w:val="bottom"/>
          </w:tcPr>
          <w:p>
            <w:pPr>
              <w:jc w:val="right"/>
              <w:spacing w:after="0" w:line="194" w:lineRule="exact"/>
              <w:rPr>
                <w:sz w:val="20"/>
                <w:szCs w:val="20"/>
                <w:color w:val="auto"/>
              </w:rPr>
            </w:pPr>
            <w:r>
              <w:rPr>
                <w:rFonts w:ascii="Arial" w:cs="Arial" w:eastAsia="Arial" w:hAnsi="Arial"/>
                <w:sz w:val="18"/>
                <w:szCs w:val="18"/>
                <w:color w:val="auto"/>
              </w:rPr>
              <w:t>4</w:t>
            </w:r>
          </w:p>
        </w:tc>
      </w:tr>
      <w:tr>
        <w:trPr>
          <w:trHeight w:val="194"/>
        </w:trPr>
        <w:tc>
          <w:tcPr>
            <w:tcW w:w="4220" w:type="dxa"/>
            <w:vAlign w:val="bottom"/>
            <w:tcBorders>
              <w:bottom w:val="single" w:sz="8" w:color="0000EE"/>
            </w:tcBorders>
            <w:gridSpan w:val="16"/>
          </w:tcPr>
          <w:p>
            <w:pPr>
              <w:spacing w:after="0" w:line="194" w:lineRule="exact"/>
              <w:rPr>
                <w:rFonts w:ascii="Arial" w:cs="Arial" w:eastAsia="Arial" w:hAnsi="Arial"/>
                <w:sz w:val="18"/>
                <w:szCs w:val="18"/>
                <w:color w:val="0000EE"/>
                <w:w w:val="93"/>
              </w:rPr>
            </w:pPr>
            <w:hyperlink w:anchor="page13">
              <w:r>
                <w:rPr>
                  <w:rFonts w:ascii="Arial" w:cs="Arial" w:eastAsia="Arial" w:hAnsi="Arial"/>
                  <w:sz w:val="18"/>
                  <w:szCs w:val="18"/>
                  <w:color w:val="0000EE"/>
                  <w:w w:val="93"/>
                </w:rPr>
                <w:t>DESCRIPTION OF OUR PARTNERSHIP AGREEMENT</w:t>
              </w:r>
            </w:hyperlink>
          </w:p>
        </w:tc>
        <w:tc>
          <w:tcPr>
            <w:tcW w:w="520" w:type="dxa"/>
            <w:vAlign w:val="bottom"/>
            <w:gridSpan w:val="2"/>
          </w:tcPr>
          <w:p>
            <w:pPr>
              <w:spacing w:after="0"/>
              <w:rPr>
                <w:sz w:val="16"/>
                <w:szCs w:val="16"/>
                <w:color w:val="auto"/>
              </w:rPr>
            </w:pPr>
          </w:p>
        </w:tc>
        <w:tc>
          <w:tcPr>
            <w:tcW w:w="6340" w:type="dxa"/>
            <w:vAlign w:val="bottom"/>
          </w:tcPr>
          <w:p>
            <w:pPr>
              <w:jc w:val="right"/>
              <w:spacing w:after="0" w:line="194" w:lineRule="exact"/>
              <w:rPr>
                <w:sz w:val="20"/>
                <w:szCs w:val="20"/>
                <w:color w:val="auto"/>
              </w:rPr>
            </w:pPr>
            <w:r>
              <w:rPr>
                <w:rFonts w:ascii="Arial" w:cs="Arial" w:eastAsia="Arial" w:hAnsi="Arial"/>
                <w:sz w:val="18"/>
                <w:szCs w:val="18"/>
                <w:color w:val="auto"/>
              </w:rPr>
              <w:t>8</w:t>
            </w:r>
          </w:p>
        </w:tc>
      </w:tr>
      <w:tr>
        <w:trPr>
          <w:trHeight w:val="194"/>
        </w:trPr>
        <w:tc>
          <w:tcPr>
            <w:tcW w:w="4740" w:type="dxa"/>
            <w:vAlign w:val="bottom"/>
            <w:gridSpan w:val="18"/>
          </w:tcPr>
          <w:p>
            <w:pPr>
              <w:spacing w:after="0" w:line="194" w:lineRule="exact"/>
              <w:rPr>
                <w:rFonts w:ascii="Arial" w:cs="Arial" w:eastAsia="Arial" w:hAnsi="Arial"/>
                <w:sz w:val="18"/>
                <w:szCs w:val="18"/>
                <w:color w:val="0000EE"/>
                <w:w w:val="95"/>
              </w:rPr>
            </w:pPr>
            <w:hyperlink w:anchor="page16">
              <w:r>
                <w:rPr>
                  <w:rFonts w:ascii="Arial" w:cs="Arial" w:eastAsia="Arial" w:hAnsi="Arial"/>
                  <w:sz w:val="18"/>
                  <w:szCs w:val="18"/>
                  <w:color w:val="0000EE"/>
                  <w:w w:val="95"/>
                </w:rPr>
                <w:t>MATERIAL U.S. FEDERAL INCOME TAX CONSEQUENCES</w:t>
              </w:r>
            </w:hyperlink>
          </w:p>
        </w:tc>
        <w:tc>
          <w:tcPr>
            <w:tcW w:w="6340" w:type="dxa"/>
            <w:vAlign w:val="bottom"/>
          </w:tcPr>
          <w:p>
            <w:pPr>
              <w:jc w:val="right"/>
              <w:spacing w:after="0" w:line="194" w:lineRule="exact"/>
              <w:rPr>
                <w:sz w:val="20"/>
                <w:szCs w:val="20"/>
                <w:color w:val="auto"/>
              </w:rPr>
            </w:pPr>
            <w:r>
              <w:rPr>
                <w:rFonts w:ascii="Arial" w:cs="Arial" w:eastAsia="Arial" w:hAnsi="Arial"/>
                <w:sz w:val="18"/>
                <w:szCs w:val="18"/>
                <w:color w:val="auto"/>
              </w:rPr>
              <w:t>11</w:t>
            </w:r>
          </w:p>
        </w:tc>
      </w:tr>
      <w:tr>
        <w:trPr>
          <w:trHeight w:val="194"/>
        </w:trPr>
        <w:tc>
          <w:tcPr>
            <w:tcW w:w="2060" w:type="dxa"/>
            <w:vAlign w:val="bottom"/>
            <w:tcBorders>
              <w:top w:val="single" w:sz="8" w:color="0000EE"/>
              <w:bottom w:val="single" w:sz="8" w:color="0000EE"/>
            </w:tcBorders>
            <w:gridSpan w:val="9"/>
          </w:tcPr>
          <w:p>
            <w:pPr>
              <w:spacing w:after="0" w:line="194" w:lineRule="exact"/>
              <w:rPr>
                <w:rFonts w:ascii="Arial" w:cs="Arial" w:eastAsia="Arial" w:hAnsi="Arial"/>
                <w:sz w:val="18"/>
                <w:szCs w:val="18"/>
                <w:color w:val="0000EE"/>
                <w:w w:val="97"/>
              </w:rPr>
            </w:pPr>
            <w:hyperlink w:anchor="page29">
              <w:r>
                <w:rPr>
                  <w:rFonts w:ascii="Arial" w:cs="Arial" w:eastAsia="Arial" w:hAnsi="Arial"/>
                  <w:sz w:val="18"/>
                  <w:szCs w:val="18"/>
                  <w:color w:val="0000EE"/>
                  <w:w w:val="97"/>
                </w:rPr>
                <w:t>SELLING UNITHOLDERS</w:t>
              </w:r>
            </w:hyperlink>
          </w:p>
        </w:tc>
        <w:tc>
          <w:tcPr>
            <w:tcW w:w="2640" w:type="dxa"/>
            <w:vAlign w:val="bottom"/>
            <w:tcBorders>
              <w:top w:val="single" w:sz="8" w:color="0000EE"/>
            </w:tcBorders>
            <w:gridSpan w:val="8"/>
          </w:tcPr>
          <w:p>
            <w:pPr>
              <w:spacing w:after="0"/>
              <w:rPr>
                <w:sz w:val="16"/>
                <w:szCs w:val="16"/>
                <w:color w:val="auto"/>
              </w:rPr>
            </w:pPr>
          </w:p>
        </w:tc>
        <w:tc>
          <w:tcPr>
            <w:tcW w:w="40" w:type="dxa"/>
            <w:vAlign w:val="bottom"/>
          </w:tcPr>
          <w:p>
            <w:pPr>
              <w:spacing w:after="0"/>
              <w:rPr>
                <w:sz w:val="16"/>
                <w:szCs w:val="16"/>
                <w:color w:val="auto"/>
              </w:rPr>
            </w:pPr>
          </w:p>
        </w:tc>
        <w:tc>
          <w:tcPr>
            <w:tcW w:w="6340" w:type="dxa"/>
            <w:vAlign w:val="bottom"/>
          </w:tcPr>
          <w:p>
            <w:pPr>
              <w:jc w:val="right"/>
              <w:spacing w:after="0" w:line="194" w:lineRule="exact"/>
              <w:rPr>
                <w:sz w:val="20"/>
                <w:szCs w:val="20"/>
                <w:color w:val="auto"/>
              </w:rPr>
            </w:pPr>
            <w:r>
              <w:rPr>
                <w:rFonts w:ascii="Arial" w:cs="Arial" w:eastAsia="Arial" w:hAnsi="Arial"/>
                <w:sz w:val="18"/>
                <w:szCs w:val="18"/>
                <w:color w:val="auto"/>
              </w:rPr>
              <w:t>24</w:t>
            </w:r>
          </w:p>
        </w:tc>
      </w:tr>
      <w:tr>
        <w:trPr>
          <w:trHeight w:val="194"/>
        </w:trPr>
        <w:tc>
          <w:tcPr>
            <w:tcW w:w="2040" w:type="dxa"/>
            <w:vAlign w:val="bottom"/>
            <w:tcBorders>
              <w:bottom w:val="single" w:sz="8" w:color="0000EE"/>
            </w:tcBorders>
            <w:gridSpan w:val="8"/>
          </w:tcPr>
          <w:p>
            <w:pPr>
              <w:spacing w:after="0" w:line="194" w:lineRule="exact"/>
              <w:rPr>
                <w:rFonts w:ascii="Arial" w:cs="Arial" w:eastAsia="Arial" w:hAnsi="Arial"/>
                <w:sz w:val="18"/>
                <w:szCs w:val="18"/>
                <w:color w:val="0000EE"/>
                <w:w w:val="96"/>
              </w:rPr>
            </w:pPr>
            <w:hyperlink w:anchor="page30">
              <w:r>
                <w:rPr>
                  <w:rFonts w:ascii="Arial" w:cs="Arial" w:eastAsia="Arial" w:hAnsi="Arial"/>
                  <w:sz w:val="18"/>
                  <w:szCs w:val="18"/>
                  <w:color w:val="0000EE"/>
                  <w:w w:val="96"/>
                </w:rPr>
                <w:t>PLAN OF DISTRIBUTION</w:t>
              </w:r>
            </w:hyperlink>
          </w:p>
        </w:tc>
        <w:tc>
          <w:tcPr>
            <w:tcW w:w="2700" w:type="dxa"/>
            <w:vAlign w:val="bottom"/>
            <w:gridSpan w:val="10"/>
          </w:tcPr>
          <w:p>
            <w:pPr>
              <w:spacing w:after="0"/>
              <w:rPr>
                <w:sz w:val="16"/>
                <w:szCs w:val="16"/>
                <w:color w:val="auto"/>
              </w:rPr>
            </w:pPr>
          </w:p>
        </w:tc>
        <w:tc>
          <w:tcPr>
            <w:tcW w:w="6340" w:type="dxa"/>
            <w:vAlign w:val="bottom"/>
          </w:tcPr>
          <w:p>
            <w:pPr>
              <w:jc w:val="right"/>
              <w:spacing w:after="0" w:line="194" w:lineRule="exact"/>
              <w:rPr>
                <w:sz w:val="20"/>
                <w:szCs w:val="20"/>
                <w:color w:val="auto"/>
              </w:rPr>
            </w:pPr>
            <w:r>
              <w:rPr>
                <w:rFonts w:ascii="Arial" w:cs="Arial" w:eastAsia="Arial" w:hAnsi="Arial"/>
                <w:sz w:val="18"/>
                <w:szCs w:val="18"/>
                <w:color w:val="auto"/>
              </w:rPr>
              <w:t>25</w:t>
            </w:r>
          </w:p>
        </w:tc>
      </w:tr>
      <w:tr>
        <w:trPr>
          <w:trHeight w:val="194"/>
        </w:trPr>
        <w:tc>
          <w:tcPr>
            <w:tcW w:w="4740" w:type="dxa"/>
            <w:vAlign w:val="bottom"/>
            <w:gridSpan w:val="18"/>
          </w:tcPr>
          <w:p>
            <w:pPr>
              <w:spacing w:after="0" w:line="194" w:lineRule="exact"/>
              <w:rPr>
                <w:rFonts w:ascii="Arial" w:cs="Arial" w:eastAsia="Arial" w:hAnsi="Arial"/>
                <w:sz w:val="18"/>
                <w:szCs w:val="18"/>
                <w:color w:val="0000EE"/>
              </w:rPr>
            </w:pPr>
            <w:hyperlink w:anchor="page32">
              <w:r>
                <w:rPr>
                  <w:rFonts w:ascii="Arial" w:cs="Arial" w:eastAsia="Arial" w:hAnsi="Arial"/>
                  <w:sz w:val="18"/>
                  <w:szCs w:val="18"/>
                  <w:color w:val="0000EE"/>
                </w:rPr>
                <w:t>LEGAL MATTERS</w:t>
              </w:r>
            </w:hyperlink>
          </w:p>
        </w:tc>
        <w:tc>
          <w:tcPr>
            <w:tcW w:w="6340" w:type="dxa"/>
            <w:vAlign w:val="bottom"/>
          </w:tcPr>
          <w:p>
            <w:pPr>
              <w:jc w:val="right"/>
              <w:spacing w:after="0" w:line="194" w:lineRule="exact"/>
              <w:rPr>
                <w:sz w:val="20"/>
                <w:szCs w:val="20"/>
                <w:color w:val="auto"/>
              </w:rPr>
            </w:pPr>
            <w:r>
              <w:rPr>
                <w:rFonts w:ascii="Arial" w:cs="Arial" w:eastAsia="Arial" w:hAnsi="Arial"/>
                <w:sz w:val="18"/>
                <w:szCs w:val="18"/>
                <w:color w:val="auto"/>
              </w:rPr>
              <w:t>27</w:t>
            </w:r>
          </w:p>
        </w:tc>
      </w:tr>
      <w:tr>
        <w:trPr>
          <w:trHeight w:val="194"/>
        </w:trPr>
        <w:tc>
          <w:tcPr>
            <w:tcW w:w="1440" w:type="dxa"/>
            <w:vAlign w:val="bottom"/>
            <w:tcBorders>
              <w:top w:val="single" w:sz="8" w:color="0000EE"/>
            </w:tcBorders>
            <w:gridSpan w:val="5"/>
          </w:tcPr>
          <w:p>
            <w:pPr>
              <w:spacing w:after="0" w:line="194" w:lineRule="exact"/>
              <w:rPr>
                <w:rFonts w:ascii="Arial" w:cs="Arial" w:eastAsia="Arial" w:hAnsi="Arial"/>
                <w:sz w:val="18"/>
                <w:szCs w:val="18"/>
                <w:color w:val="0000EE"/>
              </w:rPr>
            </w:pPr>
            <w:hyperlink w:anchor="page32">
              <w:r>
                <w:rPr>
                  <w:rFonts w:ascii="Arial" w:cs="Arial" w:eastAsia="Arial" w:hAnsi="Arial"/>
                  <w:sz w:val="18"/>
                  <w:szCs w:val="18"/>
                  <w:color w:val="0000EE"/>
                </w:rPr>
                <w:t>EXPERTS</w:t>
              </w:r>
            </w:hyperlink>
          </w:p>
        </w:tc>
        <w:tc>
          <w:tcPr>
            <w:tcW w:w="3300" w:type="dxa"/>
            <w:vAlign w:val="bottom"/>
            <w:gridSpan w:val="13"/>
          </w:tcPr>
          <w:p>
            <w:pPr>
              <w:spacing w:after="0"/>
              <w:rPr>
                <w:sz w:val="16"/>
                <w:szCs w:val="16"/>
                <w:color w:val="auto"/>
              </w:rPr>
            </w:pPr>
          </w:p>
        </w:tc>
        <w:tc>
          <w:tcPr>
            <w:tcW w:w="6340" w:type="dxa"/>
            <w:vAlign w:val="bottom"/>
          </w:tcPr>
          <w:p>
            <w:pPr>
              <w:jc w:val="right"/>
              <w:spacing w:after="0" w:line="194" w:lineRule="exact"/>
              <w:rPr>
                <w:sz w:val="20"/>
                <w:szCs w:val="20"/>
                <w:color w:val="auto"/>
              </w:rPr>
            </w:pPr>
            <w:r>
              <w:rPr>
                <w:rFonts w:ascii="Arial" w:cs="Arial" w:eastAsia="Arial" w:hAnsi="Arial"/>
                <w:sz w:val="18"/>
                <w:szCs w:val="18"/>
                <w:color w:val="auto"/>
              </w:rPr>
              <w:t>27</w:t>
            </w:r>
          </w:p>
        </w:tc>
      </w:tr>
      <w:tr>
        <w:trPr>
          <w:trHeight w:val="20"/>
        </w:trPr>
        <w:tc>
          <w:tcPr>
            <w:tcW w:w="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r>
      <w:tr>
        <w:trPr>
          <w:trHeight w:val="194"/>
        </w:trPr>
        <w:tc>
          <w:tcPr>
            <w:tcW w:w="3780" w:type="dxa"/>
            <w:vAlign w:val="bottom"/>
            <w:tcBorders>
              <w:bottom w:val="single" w:sz="8" w:color="0000EE"/>
            </w:tcBorders>
            <w:gridSpan w:val="15"/>
          </w:tcPr>
          <w:p>
            <w:pPr>
              <w:spacing w:after="0" w:line="194" w:lineRule="exact"/>
              <w:rPr>
                <w:rFonts w:ascii="Arial" w:cs="Arial" w:eastAsia="Arial" w:hAnsi="Arial"/>
                <w:sz w:val="18"/>
                <w:szCs w:val="18"/>
                <w:color w:val="0000EE"/>
                <w:w w:val="96"/>
              </w:rPr>
            </w:pPr>
            <w:hyperlink w:anchor="page32">
              <w:r>
                <w:rPr>
                  <w:rFonts w:ascii="Arial" w:cs="Arial" w:eastAsia="Arial" w:hAnsi="Arial"/>
                  <w:sz w:val="18"/>
                  <w:szCs w:val="18"/>
                  <w:color w:val="0000EE"/>
                  <w:w w:val="96"/>
                </w:rPr>
                <w:t>WHERE YOU CAN FIND MORE INFORMATION</w:t>
              </w:r>
            </w:hyperlink>
          </w:p>
        </w:tc>
        <w:tc>
          <w:tcPr>
            <w:tcW w:w="960" w:type="dxa"/>
            <w:vAlign w:val="bottom"/>
            <w:gridSpan w:val="3"/>
          </w:tcPr>
          <w:p>
            <w:pPr>
              <w:spacing w:after="0"/>
              <w:rPr>
                <w:sz w:val="16"/>
                <w:szCs w:val="16"/>
                <w:color w:val="auto"/>
              </w:rPr>
            </w:pPr>
          </w:p>
        </w:tc>
        <w:tc>
          <w:tcPr>
            <w:tcW w:w="6340" w:type="dxa"/>
            <w:vAlign w:val="bottom"/>
          </w:tcPr>
          <w:p>
            <w:pPr>
              <w:jc w:val="right"/>
              <w:spacing w:after="0" w:line="194" w:lineRule="exact"/>
              <w:rPr>
                <w:sz w:val="20"/>
                <w:szCs w:val="20"/>
                <w:color w:val="auto"/>
              </w:rPr>
            </w:pPr>
            <w:r>
              <w:rPr>
                <w:rFonts w:ascii="Arial" w:cs="Arial" w:eastAsia="Arial" w:hAnsi="Arial"/>
                <w:sz w:val="18"/>
                <w:szCs w:val="18"/>
                <w:color w:val="auto"/>
              </w:rPr>
              <w:t>27</w:t>
            </w:r>
          </w:p>
        </w:tc>
      </w:tr>
      <w:tr>
        <w:trPr>
          <w:trHeight w:val="194"/>
        </w:trPr>
        <w:tc>
          <w:tcPr>
            <w:tcW w:w="4740" w:type="dxa"/>
            <w:vAlign w:val="bottom"/>
            <w:gridSpan w:val="18"/>
          </w:tcPr>
          <w:p>
            <w:pPr>
              <w:spacing w:after="0" w:line="194" w:lineRule="exact"/>
              <w:rPr>
                <w:rFonts w:ascii="Arial" w:cs="Arial" w:eastAsia="Arial" w:hAnsi="Arial"/>
                <w:sz w:val="18"/>
                <w:szCs w:val="18"/>
                <w:color w:val="0000EE"/>
              </w:rPr>
            </w:pPr>
            <w:hyperlink w:anchor="page34">
              <w:r>
                <w:rPr>
                  <w:rFonts w:ascii="Arial" w:cs="Arial" w:eastAsia="Arial" w:hAnsi="Arial"/>
                  <w:sz w:val="18"/>
                  <w:szCs w:val="18"/>
                  <w:color w:val="0000EE"/>
                </w:rPr>
                <w:t>FORWARD-LOOKING STATEMENTS</w:t>
              </w:r>
            </w:hyperlink>
          </w:p>
        </w:tc>
        <w:tc>
          <w:tcPr>
            <w:tcW w:w="6340" w:type="dxa"/>
            <w:vAlign w:val="bottom"/>
          </w:tcPr>
          <w:p>
            <w:pPr>
              <w:jc w:val="right"/>
              <w:spacing w:after="0" w:line="194" w:lineRule="exact"/>
              <w:rPr>
                <w:sz w:val="20"/>
                <w:szCs w:val="20"/>
                <w:color w:val="auto"/>
              </w:rPr>
            </w:pPr>
            <w:r>
              <w:rPr>
                <w:rFonts w:ascii="Arial" w:cs="Arial" w:eastAsia="Arial" w:hAnsi="Arial"/>
                <w:sz w:val="18"/>
                <w:szCs w:val="18"/>
                <w:color w:val="auto"/>
              </w:rPr>
              <w:t>29</w:t>
            </w:r>
          </w:p>
        </w:tc>
      </w:tr>
      <w:tr>
        <w:trPr>
          <w:trHeight w:val="20"/>
        </w:trPr>
        <w:tc>
          <w:tcPr>
            <w:tcW w:w="60" w:type="dxa"/>
            <w:vAlign w:val="bottom"/>
            <w:shd w:val="clear" w:color="auto" w:fill="0000EE"/>
          </w:tcPr>
          <w:p>
            <w:pPr>
              <w:spacing w:after="0" w:line="20" w:lineRule="exact"/>
              <w:rPr>
                <w:sz w:val="1"/>
                <w:szCs w:val="1"/>
                <w:color w:val="auto"/>
              </w:rPr>
            </w:pPr>
          </w:p>
        </w:tc>
        <w:tc>
          <w:tcPr>
            <w:tcW w:w="1640" w:type="dxa"/>
            <w:vAlign w:val="bottom"/>
            <w:gridSpan w:val="6"/>
            <w:shd w:val="clear" w:color="auto" w:fill="0000EE"/>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r>
      <w:tr>
        <w:trPr>
          <w:trHeight w:val="194"/>
        </w:trPr>
        <w:tc>
          <w:tcPr>
            <w:tcW w:w="60" w:type="dxa"/>
            <w:vAlign w:val="bottom"/>
          </w:tcPr>
          <w:p>
            <w:pPr>
              <w:spacing w:after="0"/>
              <w:rPr>
                <w:sz w:val="16"/>
                <w:szCs w:val="16"/>
                <w:color w:val="auto"/>
              </w:rPr>
            </w:pPr>
          </w:p>
        </w:tc>
        <w:tc>
          <w:tcPr>
            <w:tcW w:w="4680" w:type="dxa"/>
            <w:vAlign w:val="bottom"/>
            <w:gridSpan w:val="17"/>
          </w:tcPr>
          <w:p>
            <w:pPr>
              <w:spacing w:after="0" w:line="194" w:lineRule="exact"/>
              <w:rPr>
                <w:rFonts w:ascii="Arial" w:cs="Arial" w:eastAsia="Arial" w:hAnsi="Arial"/>
                <w:sz w:val="17"/>
                <w:szCs w:val="17"/>
                <w:color w:val="0000EE"/>
              </w:rPr>
            </w:pPr>
            <w:hyperlink w:anchor="page43">
              <w:r>
                <w:rPr>
                  <w:rFonts w:ascii="Arial" w:cs="Arial" w:eastAsia="Arial" w:hAnsi="Arial"/>
                  <w:sz w:val="17"/>
                  <w:szCs w:val="17"/>
                  <w:color w:val="0000EE"/>
                </w:rPr>
                <w:t>Consent of PricewaterhouseCoopers LLP</w:t>
              </w:r>
            </w:hyperlink>
          </w:p>
        </w:tc>
        <w:tc>
          <w:tcPr>
            <w:tcW w:w="6340" w:type="dxa"/>
            <w:vAlign w:val="bottom"/>
          </w:tcPr>
          <w:p>
            <w:pPr>
              <w:spacing w:after="0"/>
              <w:rPr>
                <w:sz w:val="16"/>
                <w:szCs w:val="16"/>
                <w:color w:val="auto"/>
              </w:rPr>
            </w:pPr>
          </w:p>
        </w:tc>
      </w:tr>
      <w:tr>
        <w:trPr>
          <w:trHeight w:val="194"/>
        </w:trPr>
        <w:tc>
          <w:tcPr>
            <w:tcW w:w="60" w:type="dxa"/>
            <w:vAlign w:val="bottom"/>
          </w:tcPr>
          <w:p>
            <w:pPr>
              <w:spacing w:after="0"/>
              <w:rPr>
                <w:sz w:val="16"/>
                <w:szCs w:val="16"/>
                <w:color w:val="auto"/>
              </w:rPr>
            </w:pPr>
          </w:p>
        </w:tc>
        <w:tc>
          <w:tcPr>
            <w:tcW w:w="2860" w:type="dxa"/>
            <w:vAlign w:val="bottom"/>
            <w:tcBorders>
              <w:top w:val="single" w:sz="8" w:color="0000EE"/>
            </w:tcBorders>
            <w:gridSpan w:val="12"/>
          </w:tcPr>
          <w:p>
            <w:pPr>
              <w:spacing w:after="0" w:line="194" w:lineRule="exact"/>
              <w:rPr>
                <w:rFonts w:ascii="Arial" w:cs="Arial" w:eastAsia="Arial" w:hAnsi="Arial"/>
                <w:sz w:val="17"/>
                <w:szCs w:val="17"/>
                <w:color w:val="0000EE"/>
              </w:rPr>
            </w:pPr>
            <w:hyperlink w:anchor="page44">
              <w:r>
                <w:rPr>
                  <w:rFonts w:ascii="Arial" w:cs="Arial" w:eastAsia="Arial" w:hAnsi="Arial"/>
                  <w:sz w:val="17"/>
                  <w:szCs w:val="17"/>
                  <w:color w:val="0000EE"/>
                </w:rPr>
                <w:t>Consent of KPMG LLP</w:t>
              </w:r>
            </w:hyperlink>
          </w:p>
        </w:tc>
        <w:tc>
          <w:tcPr>
            <w:tcW w:w="1820" w:type="dxa"/>
            <w:vAlign w:val="bottom"/>
            <w:gridSpan w:val="5"/>
          </w:tcPr>
          <w:p>
            <w:pPr>
              <w:spacing w:after="0"/>
              <w:rPr>
                <w:sz w:val="16"/>
                <w:szCs w:val="16"/>
                <w:color w:val="auto"/>
              </w:rPr>
            </w:pPr>
          </w:p>
        </w:tc>
        <w:tc>
          <w:tcPr>
            <w:tcW w:w="6340" w:type="dxa"/>
            <w:vAlign w:val="bottom"/>
          </w:tcPr>
          <w:p>
            <w:pPr>
              <w:spacing w:after="0"/>
              <w:rPr>
                <w:sz w:val="16"/>
                <w:szCs w:val="16"/>
                <w:color w:val="auto"/>
              </w:rPr>
            </w:pPr>
          </w:p>
        </w:tc>
      </w:tr>
      <w:tr>
        <w:trPr>
          <w:trHeight w:val="20"/>
        </w:trPr>
        <w:tc>
          <w:tcPr>
            <w:tcW w:w="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r>
    </w:tbl>
    <w:p>
      <w:pPr>
        <w:spacing w:after="0" w:line="119" w:lineRule="exact"/>
        <w:rPr>
          <w:sz w:val="20"/>
          <w:szCs w:val="20"/>
          <w:color w:val="auto"/>
        </w:rPr>
      </w:pPr>
    </w:p>
    <w:p>
      <w:pPr>
        <w:ind w:right="40" w:firstLine="216"/>
        <w:spacing w:after="0" w:line="252" w:lineRule="auto"/>
        <w:rPr>
          <w:sz w:val="20"/>
          <w:szCs w:val="20"/>
          <w:color w:val="auto"/>
        </w:rPr>
      </w:pPr>
      <w:r>
        <w:rPr>
          <w:rFonts w:ascii="Arial" w:cs="Arial" w:eastAsia="Arial" w:hAnsi="Arial"/>
          <w:sz w:val="18"/>
          <w:szCs w:val="18"/>
          <w:color w:val="auto"/>
        </w:rPr>
        <w:t>You should rely only on the information contained in this prospectus, any prospectus supplement and the documents we have incorporated by reference. Neither we nor the selling unitholders have authorized any other person to give you different information. These securities are not being offered in any state where the offer is not permitted. You should not assume that the information incorporated by reference or provided in this prospectus or any prospectus supplement is accurate as of any date other than the date on the front of those documents. We will disclose any material changes in our affairs in an amendment to this prospectus, a prospectus supplement or a future filing with the Securities and Exchange Commission, or SEC, incorporated by reference in this prospectus.</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117" w:lineRule="exact"/>
        <w:rPr>
          <w:sz w:val="20"/>
          <w:szCs w:val="20"/>
          <w:color w:val="auto"/>
        </w:rPr>
      </w:pPr>
    </w:p>
    <w:p>
      <w:pPr>
        <w:ind w:right="660" w:firstLine="219"/>
        <w:spacing w:after="0" w:line="270" w:lineRule="auto"/>
        <w:rPr>
          <w:sz w:val="20"/>
          <w:szCs w:val="20"/>
          <w:color w:val="auto"/>
        </w:rPr>
      </w:pPr>
      <w:r>
        <w:rPr>
          <w:rFonts w:ascii="Arial" w:cs="Arial" w:eastAsia="Arial" w:hAnsi="Arial"/>
          <w:sz w:val="18"/>
          <w:szCs w:val="18"/>
          <w:color w:val="auto"/>
        </w:rPr>
        <w:t>This prospectus is part of a registration statement on Form S-3 that we have filed with the SEC using a “shelf” registration process. Under this shelf registration process, the selling unitholders may, from time to time, sell up to 5,120,517 common units.</w:t>
      </w:r>
    </w:p>
    <w:p>
      <w:pPr>
        <w:spacing w:after="0" w:line="68" w:lineRule="exact"/>
        <w:rPr>
          <w:sz w:val="20"/>
          <w:szCs w:val="20"/>
          <w:color w:val="auto"/>
        </w:rPr>
      </w:pPr>
    </w:p>
    <w:p>
      <w:pPr>
        <w:ind w:firstLine="219"/>
        <w:spacing w:after="0" w:line="289" w:lineRule="auto"/>
        <w:rPr>
          <w:sz w:val="20"/>
          <w:szCs w:val="20"/>
          <w:color w:val="auto"/>
        </w:rPr>
      </w:pPr>
      <w:r>
        <w:rPr>
          <w:rFonts w:ascii="Arial" w:cs="Arial" w:eastAsia="Arial" w:hAnsi="Arial"/>
          <w:sz w:val="16"/>
          <w:szCs w:val="16"/>
          <w:color w:val="auto"/>
        </w:rPr>
        <w:t>This prospectus provides you with a general description of us and the common units that may be offered by the selling unitholders. In connection with any offer or sale of common units by the selling unitholders under this prospectus, the selling unitholders are required to provide this prospectus and, in certain cases, a prospectus supplement that will contain specific information about the selling unitholders, the terms of the applicable offering and the securities being offered. The prospectus supplement also may add to, update or change information in this prospectus. If there is any inconsistency between the information in this prospectus and any prospectus supplement, you should rely on the information in the prospectus supplement. You should read carefully this prospectus, any prospectus supplement and the additional information described below under the heading “Where You Can Find More Information.”</w:t>
      </w:r>
    </w:p>
    <w:p>
      <w:pPr>
        <w:spacing w:after="0" w:line="59" w:lineRule="exact"/>
        <w:rPr>
          <w:sz w:val="20"/>
          <w:szCs w:val="20"/>
          <w:color w:val="auto"/>
        </w:rPr>
      </w:pPr>
    </w:p>
    <w:p>
      <w:pPr>
        <w:ind w:right="160" w:firstLine="213"/>
        <w:spacing w:after="0" w:line="270" w:lineRule="auto"/>
        <w:rPr>
          <w:sz w:val="20"/>
          <w:szCs w:val="20"/>
          <w:color w:val="auto"/>
        </w:rPr>
      </w:pPr>
      <w:r>
        <w:rPr>
          <w:rFonts w:ascii="Arial" w:cs="Arial" w:eastAsia="Arial" w:hAnsi="Arial"/>
          <w:sz w:val="18"/>
          <w:szCs w:val="18"/>
          <w:color w:val="auto"/>
        </w:rPr>
        <w:t>As used in this prospectus, “Plains,” “we,” “our” and “us” refer to Plains All American Pipeline, L.P. and its subsidiaries, unless otherwise indicated or the context requires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401320</wp:posOffset>
            </wp:positionV>
            <wp:extent cx="725233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WHO WE ARE</w:t>
      </w:r>
    </w:p>
    <w:p>
      <w:pPr>
        <w:spacing w:after="0" w:line="117" w:lineRule="exact"/>
        <w:rPr>
          <w:sz w:val="20"/>
          <w:szCs w:val="20"/>
          <w:color w:val="auto"/>
        </w:rPr>
      </w:pPr>
    </w:p>
    <w:p>
      <w:pPr>
        <w:ind w:firstLine="219"/>
        <w:spacing w:after="0" w:line="253" w:lineRule="auto"/>
        <w:rPr>
          <w:sz w:val="20"/>
          <w:szCs w:val="20"/>
          <w:color w:val="auto"/>
        </w:rPr>
      </w:pPr>
      <w:r>
        <w:rPr>
          <w:rFonts w:ascii="Arial" w:cs="Arial" w:eastAsia="Arial" w:hAnsi="Arial"/>
          <w:sz w:val="18"/>
          <w:szCs w:val="18"/>
          <w:color w:val="auto"/>
        </w:rPr>
        <w:t>We are a Delaware limited partnership formed in September 1998. Our operations are conducted directly and indirectly through our operating subsidiaries. We are engaged in the transportation, storage, terminalling and marketing of crude oil, refined products and liquefied petroleum gas and other natural gas related petroleum products. We own an extensive network of pipeline transportation, terminalling, storage and gathering assets in key oil producing basins, transportation corridors and at major market hubs in the United States and Canada. In addition, through our 50% equity ownership in PAA/Vulcan Gas Storage, LLC, we develop and operate natural gas storage facilities.</w:t>
      </w:r>
    </w:p>
    <w:p>
      <w:pPr>
        <w:spacing w:after="0" w:line="84" w:lineRule="exact"/>
        <w:rPr>
          <w:sz w:val="20"/>
          <w:szCs w:val="20"/>
          <w:color w:val="auto"/>
        </w:rPr>
      </w:pPr>
    </w:p>
    <w:p>
      <w:pPr>
        <w:ind w:right="220" w:firstLine="222"/>
        <w:spacing w:after="0" w:line="270" w:lineRule="auto"/>
        <w:rPr>
          <w:sz w:val="20"/>
          <w:szCs w:val="20"/>
          <w:color w:val="auto"/>
        </w:rPr>
      </w:pPr>
      <w:r>
        <w:rPr>
          <w:rFonts w:ascii="Arial" w:cs="Arial" w:eastAsia="Arial" w:hAnsi="Arial"/>
          <w:sz w:val="18"/>
          <w:szCs w:val="18"/>
          <w:color w:val="auto"/>
        </w:rPr>
        <w:t>On November 15, 2006, we completed our acquisition of Pacific Energy Partners, L.P. pursuant to an Agreement and Plan of Merger dated June 11, 2006 (the “Pacific Merger”).</w:t>
      </w:r>
    </w:p>
    <w:p>
      <w:pPr>
        <w:spacing w:after="0" w:line="6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Our executive offices are located at 333 Clay Street, Suite 1600, Houston, Texas 77002 and our telephone number is (713) 646-4100.</w:t>
      </w: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 FACTORS</w:t>
      </w:r>
    </w:p>
    <w:p>
      <w:pPr>
        <w:spacing w:after="0" w:line="117" w:lineRule="exact"/>
        <w:rPr>
          <w:sz w:val="20"/>
          <w:szCs w:val="20"/>
          <w:color w:val="auto"/>
        </w:rPr>
      </w:pPr>
    </w:p>
    <w:p>
      <w:pPr>
        <w:ind w:right="220" w:firstLine="216"/>
        <w:spacing w:after="0" w:line="297" w:lineRule="auto"/>
        <w:rPr>
          <w:sz w:val="20"/>
          <w:szCs w:val="20"/>
          <w:color w:val="auto"/>
        </w:rPr>
      </w:pPr>
      <w:r>
        <w:rPr>
          <w:rFonts w:ascii="Arial" w:cs="Arial" w:eastAsia="Arial" w:hAnsi="Arial"/>
          <w:sz w:val="16"/>
          <w:szCs w:val="16"/>
          <w:color w:val="auto"/>
        </w:rPr>
        <w:t>You should carefully consider the risk factors discussed in our 2005 annual report on Form 10-K and our quarterly reports on Form 10-Q for the quarters ended June 30, 2006 and September 30, 2006, as amended, together with all of the other information included in this prospectus, any prospectus supplement and the documents we have incorporated by reference into this prospectus in evaluating an investment in our common units. If any of the described risks actually were to occur, our business, financial condition or results of operations could be materially adversely affected.</w:t>
      </w: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USE OF PROCEEDS</w:t>
      </w:r>
    </w:p>
    <w:p>
      <w:pPr>
        <w:spacing w:after="0" w:line="117" w:lineRule="exact"/>
        <w:rPr>
          <w:sz w:val="20"/>
          <w:szCs w:val="20"/>
          <w:color w:val="auto"/>
        </w:rPr>
      </w:pPr>
    </w:p>
    <w:p>
      <w:pPr>
        <w:ind w:right="220" w:firstLine="219"/>
        <w:spacing w:after="0" w:line="270" w:lineRule="auto"/>
        <w:rPr>
          <w:sz w:val="20"/>
          <w:szCs w:val="20"/>
          <w:color w:val="auto"/>
        </w:rPr>
      </w:pPr>
      <w:r>
        <w:rPr>
          <w:rFonts w:ascii="Arial" w:cs="Arial" w:eastAsia="Arial" w:hAnsi="Arial"/>
          <w:sz w:val="18"/>
          <w:szCs w:val="18"/>
          <w:color w:val="auto"/>
        </w:rPr>
        <w:t>The common units to be offered and sold pursuant to this prospectus will be offered and sold by the selling unitholders. We will not receive any proceeds from the sale of the common units by the selling unitholders.</w:t>
      </w:r>
    </w:p>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60"/>
          </w:cols>
          <w:pgMar w:left="240" w:top="415" w:right="2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COMMON UNITS</w:t>
      </w:r>
    </w:p>
    <w:p>
      <w:pPr>
        <w:spacing w:after="0" w:line="117" w:lineRule="exact"/>
        <w:rPr>
          <w:sz w:val="20"/>
          <w:szCs w:val="20"/>
          <w:color w:val="auto"/>
        </w:rPr>
      </w:pPr>
    </w:p>
    <w:p>
      <w:pPr>
        <w:ind w:right="60" w:firstLine="222"/>
        <w:spacing w:after="0" w:line="259" w:lineRule="auto"/>
        <w:rPr>
          <w:sz w:val="20"/>
          <w:szCs w:val="20"/>
          <w:color w:val="auto"/>
        </w:rPr>
      </w:pPr>
      <w:r>
        <w:rPr>
          <w:rFonts w:ascii="Arial" w:cs="Arial" w:eastAsia="Arial" w:hAnsi="Arial"/>
          <w:sz w:val="18"/>
          <w:szCs w:val="18"/>
          <w:color w:val="auto"/>
        </w:rPr>
        <w:t>Generally, our common units represent limited partner interests that entitle the holders to participate in our cash distributions and to exercise the rights and privileges available to limited partners under our partnership agreement. For a description of the relative rights and preferences of holders of common units and our general partner in and to cash distributions, see “Cash Distribution Policy.”</w:t>
      </w:r>
    </w:p>
    <w:p>
      <w:pPr>
        <w:spacing w:after="0" w:line="7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Our outstanding common units are listed on the NYSE under the symbol “PAA.” Any additional common units we issue will also be listed on the NYSE.</w:t>
      </w:r>
    </w:p>
    <w:p>
      <w:pPr>
        <w:spacing w:after="0" w:line="1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transfer agent and registrar for our common units is American Stock Transfer &amp; Trust Company.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Meetings/Voting</w:t>
      </w:r>
    </w:p>
    <w:p>
      <w:pPr>
        <w:spacing w:after="0" w:line="117" w:lineRule="exact"/>
        <w:rPr>
          <w:sz w:val="20"/>
          <w:szCs w:val="20"/>
          <w:color w:val="auto"/>
        </w:rPr>
      </w:pPr>
    </w:p>
    <w:p>
      <w:pPr>
        <w:ind w:right="180" w:firstLine="222"/>
        <w:spacing w:after="0" w:line="274" w:lineRule="auto"/>
        <w:rPr>
          <w:sz w:val="20"/>
          <w:szCs w:val="20"/>
          <w:color w:val="auto"/>
        </w:rPr>
      </w:pPr>
      <w:r>
        <w:rPr>
          <w:rFonts w:ascii="Arial" w:cs="Arial" w:eastAsia="Arial" w:hAnsi="Arial"/>
          <w:sz w:val="17"/>
          <w:szCs w:val="17"/>
          <w:color w:val="auto"/>
        </w:rPr>
        <w:t>Unlike the holders of common stock in a corporation, our common unitholders have only limited voting rights on matters affecting our business. Our common unitholders have no right to elect our general partner or its directors on an annual or other continuing basis. Our general partner may not be removed except by the vote of the holders of at least 66 2/3% of the outstanding common units, including units owned by the general partner and its affiliates. Each holder of common units is entitled to one vote for each common unit on any matters submitted to a vote of the unitholders.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Limited Partner or Assignee</w:t>
      </w:r>
    </w:p>
    <w:p>
      <w:pPr>
        <w:spacing w:after="0" w:line="117" w:lineRule="exact"/>
        <w:rPr>
          <w:sz w:val="20"/>
          <w:szCs w:val="20"/>
          <w:color w:val="auto"/>
        </w:rPr>
      </w:pPr>
    </w:p>
    <w:p>
      <w:pPr>
        <w:ind w:right="100" w:firstLine="222"/>
        <w:spacing w:after="0" w:line="270" w:lineRule="auto"/>
        <w:rPr>
          <w:sz w:val="20"/>
          <w:szCs w:val="20"/>
          <w:color w:val="auto"/>
        </w:rPr>
      </w:pPr>
      <w:r>
        <w:rPr>
          <w:rFonts w:ascii="Arial" w:cs="Arial" w:eastAsia="Arial" w:hAnsi="Arial"/>
          <w:sz w:val="18"/>
          <w:szCs w:val="18"/>
          <w:color w:val="auto"/>
        </w:rPr>
        <w:t>Except as described below under “—Limited Liability,” the common units will be fully paid, and unitholders will not be required to make additional capital contributions to us.</w:t>
      </w:r>
    </w:p>
    <w:p>
      <w:pPr>
        <w:spacing w:after="0" w:line="68" w:lineRule="exact"/>
        <w:rPr>
          <w:sz w:val="20"/>
          <w:szCs w:val="20"/>
          <w:color w:val="auto"/>
        </w:rPr>
      </w:pPr>
    </w:p>
    <w:p>
      <w:pPr>
        <w:ind w:right="40" w:firstLine="222"/>
        <w:spacing w:after="0" w:line="255" w:lineRule="auto"/>
        <w:rPr>
          <w:sz w:val="20"/>
          <w:szCs w:val="20"/>
          <w:color w:val="auto"/>
        </w:rPr>
      </w:pPr>
      <w:r>
        <w:rPr>
          <w:rFonts w:ascii="Arial" w:cs="Arial" w:eastAsia="Arial" w:hAnsi="Arial"/>
          <w:sz w:val="18"/>
          <w:szCs w:val="18"/>
          <w:color w:val="auto"/>
        </w:rPr>
        <w:t>Each purchaser of common units offered by this prospectus must execute a transfer application whereby the purchaser requests admission as a substituted limited partner and makes representations and agrees to provisions stated in the transfer application. If this action is not taken, a purchaser will not be registered as a record holder of common units on the books of our transfer agent or issued a common unit certificate. Purchasers may hold common units in nominee accounts.</w:t>
      </w:r>
    </w:p>
    <w:p>
      <w:pPr>
        <w:spacing w:after="0" w:line="82" w:lineRule="exact"/>
        <w:rPr>
          <w:sz w:val="20"/>
          <w:szCs w:val="20"/>
          <w:color w:val="auto"/>
        </w:rPr>
      </w:pPr>
    </w:p>
    <w:p>
      <w:pPr>
        <w:ind w:right="300" w:firstLine="213"/>
        <w:spacing w:after="0" w:line="253" w:lineRule="auto"/>
        <w:rPr>
          <w:sz w:val="20"/>
          <w:szCs w:val="20"/>
          <w:color w:val="auto"/>
        </w:rPr>
      </w:pPr>
      <w:r>
        <w:rPr>
          <w:rFonts w:ascii="Arial" w:cs="Arial" w:eastAsia="Arial" w:hAnsi="Arial"/>
          <w:sz w:val="18"/>
          <w:szCs w:val="18"/>
          <w:color w:val="auto"/>
        </w:rPr>
        <w:t>An assignee, pending its admission as a substituted limited partner, is entitled to an interest in us equivalent to that of a limited partner with respect to the right to share in allocations and distributions, including liquidating distributions. Our general partner will vote and exercise other powers attributable to common units owned by an assignee who has not become a substituted limited partner at the written direction of the assignee. A nominee or broker who has executed a transfer application with respect to common units held in street name or nominee accounts will receive distributions and reports pertaining to its common units.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Liability</w:t>
      </w:r>
    </w:p>
    <w:p>
      <w:pPr>
        <w:spacing w:after="0" w:line="117" w:lineRule="exact"/>
        <w:rPr>
          <w:sz w:val="20"/>
          <w:szCs w:val="20"/>
          <w:color w:val="auto"/>
        </w:rPr>
      </w:pPr>
    </w:p>
    <w:p>
      <w:pPr>
        <w:ind w:firstLine="213"/>
        <w:spacing w:after="0" w:line="255" w:lineRule="auto"/>
        <w:rPr>
          <w:sz w:val="20"/>
          <w:szCs w:val="20"/>
          <w:color w:val="auto"/>
        </w:rPr>
      </w:pPr>
      <w:r>
        <w:rPr>
          <w:rFonts w:ascii="Arial" w:cs="Arial" w:eastAsia="Arial" w:hAnsi="Arial"/>
          <w:sz w:val="18"/>
          <w:szCs w:val="18"/>
          <w:color w:val="auto"/>
        </w:rPr>
        <w:t>Assuming that a limited partner does not participate in the control of our business within the meaning of the Delaware Revised Uniform Limited Partnership Act (the “Delaware Act”) and that he otherwise acts in conformity with the provisions of our partnership agreement, his liability under the Delaware Act will be limited, subject to some possible exceptions, generally to the amount of capital he is obligated to contribute to us in respect of his units plus his share of any undistributed profits and assets.</w:t>
      </w:r>
    </w:p>
    <w:p>
      <w:pPr>
        <w:spacing w:after="0" w:line="82" w:lineRule="exact"/>
        <w:rPr>
          <w:sz w:val="20"/>
          <w:szCs w:val="20"/>
          <w:color w:val="auto"/>
        </w:rPr>
      </w:pPr>
    </w:p>
    <w:p>
      <w:pPr>
        <w:ind w:right="40" w:firstLine="222"/>
        <w:spacing w:after="0" w:line="287" w:lineRule="auto"/>
        <w:rPr>
          <w:sz w:val="20"/>
          <w:szCs w:val="20"/>
          <w:color w:val="auto"/>
        </w:rPr>
      </w:pPr>
      <w:r>
        <w:rPr>
          <w:rFonts w:ascii="Arial" w:cs="Arial" w:eastAsia="Arial" w:hAnsi="Arial"/>
          <w:sz w:val="16"/>
          <w:szCs w:val="16"/>
          <w:color w:val="auto"/>
        </w:rPr>
        <w:t>Under the Delaware Act, a limited partnership may not make a distribution to a partner to the extent that at the time of the distribution, after giving effect to the distribution, all liabilities of the partnership, other than liabilities to partners on account of their partnership interests and liabilities for which the recourse of creditors is limited to specific property of the partnership, exceed the fair value of the assets of the limited partnership. For the purposes of determining the fair value of the assets of a limited partnership, the Delaware Act provides that the fair value of the property, subject to liability of which recourse of creditors is limited, shall be included in the assets of the limited partnership only to the extent that the fair value of that property exceeds the nonrecourse liability. The Delaware Act provides that a limited partner who receives a distribution and knew at the time of the distribution that the distribution was in violation of the Delaware Act is liable to the limited partnership for the amount of the distribution for three years from the date of the distribution.</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 and Records</w:t>
      </w:r>
    </w:p>
    <w:p>
      <w:pPr>
        <w:spacing w:after="0" w:line="117" w:lineRule="exact"/>
        <w:rPr>
          <w:sz w:val="20"/>
          <w:szCs w:val="20"/>
          <w:color w:val="auto"/>
        </w:rPr>
      </w:pPr>
    </w:p>
    <w:p>
      <w:pPr>
        <w:ind w:right="300" w:firstLine="213"/>
        <w:spacing w:after="0" w:line="292" w:lineRule="auto"/>
        <w:rPr>
          <w:sz w:val="20"/>
          <w:szCs w:val="20"/>
          <w:color w:val="auto"/>
        </w:rPr>
      </w:pPr>
      <w:r>
        <w:rPr>
          <w:rFonts w:ascii="Arial" w:cs="Arial" w:eastAsia="Arial" w:hAnsi="Arial"/>
          <w:sz w:val="16"/>
          <w:szCs w:val="16"/>
          <w:color w:val="auto"/>
        </w:rPr>
        <w:t>As soon as practicable, but in no event later than 120 days after the close of each fiscal year, our general partner will furnish or make available to each unitholder of record (as of a record date selected by our general partner) an annual report containing our audited financial statements for the past fiscal year. These financial statements will be prepared in accordance with generally accepted accounting principles. In addition, no later than 45 days after the close of each quarter (except the fourth quarter), our general partner will furnish or make available to each unitholder of record (as of a record date selected by our general partner) a report containing our unaudited financial statements and any other information required by law.</w:t>
      </w:r>
    </w:p>
    <w:p>
      <w:pPr>
        <w:spacing w:after="0" w:line="5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Our general partner will use all reasonable efforts to furnish each unitholder of record information reasonably required for tax reporting purposes within</w:t>
      </w:r>
    </w:p>
    <w:p>
      <w:pPr>
        <w:spacing w:after="0" w:line="4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90 days after the close of each fiscal year. Our general partner’s ability to furnish this summary tax information will depend on the cooperation of unitholders in supplying information to our general partner. Each unitholder will receive information to assist him in determining his U.S. federal and state and Canadian federal and provincial tax liability and filing his U.S. federal and state and Canadian federal and provincial income tax returns.</w:t>
      </w:r>
    </w:p>
    <w:p>
      <w:pPr>
        <w:spacing w:after="0" w:line="68" w:lineRule="exact"/>
        <w:rPr>
          <w:sz w:val="20"/>
          <w:szCs w:val="20"/>
          <w:color w:val="auto"/>
        </w:rPr>
      </w:pPr>
    </w:p>
    <w:p>
      <w:pPr>
        <w:ind w:right="60" w:firstLine="213"/>
        <w:spacing w:after="0" w:line="270" w:lineRule="auto"/>
        <w:rPr>
          <w:sz w:val="20"/>
          <w:szCs w:val="20"/>
          <w:color w:val="auto"/>
        </w:rPr>
      </w:pPr>
      <w:r>
        <w:rPr>
          <w:rFonts w:ascii="Arial" w:cs="Arial" w:eastAsia="Arial" w:hAnsi="Arial"/>
          <w:sz w:val="18"/>
          <w:szCs w:val="18"/>
          <w:color w:val="auto"/>
        </w:rPr>
        <w:t>A limited partner can, for a purpose reasonably related to the limited partner’s interest as a limited partner, upon reasonable demand and at his own expense, have furnished to him:</w:t>
      </w:r>
    </w:p>
    <w:p>
      <w:pPr>
        <w:spacing w:after="0" w:line="68" w:lineRule="exact"/>
        <w:rPr>
          <w:sz w:val="20"/>
          <w:szCs w:val="20"/>
          <w:color w:val="auto"/>
        </w:rPr>
      </w:pPr>
    </w:p>
    <w:p>
      <w:pPr>
        <w:ind w:left="560" w:hanging="326"/>
        <w:spacing w:after="0"/>
        <w:tabs>
          <w:tab w:leader="none" w:pos="5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a current list of the name and last known address of each partner;</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a copy of our tax returns;</w:t>
      </w:r>
    </w:p>
    <w:p>
      <w:pPr>
        <w:spacing w:after="0" w:line="126" w:lineRule="exact"/>
        <w:rPr>
          <w:rFonts w:ascii="Arial" w:cs="Arial" w:eastAsia="Arial" w:hAnsi="Arial"/>
          <w:sz w:val="18"/>
          <w:szCs w:val="18"/>
          <w:b w:val="1"/>
          <w:bCs w:val="1"/>
          <w:color w:val="auto"/>
        </w:rPr>
      </w:pPr>
    </w:p>
    <w:p>
      <w:pPr>
        <w:ind w:left="560" w:right="680" w:hanging="326"/>
        <w:spacing w:after="0" w:line="270" w:lineRule="auto"/>
        <w:tabs>
          <w:tab w:leader="none" w:pos="5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information as to the amount of cash and a description and statement of the agreed value of any other property or services, contributed or to be contributed by each partner and the date on which each became a partner;</w:t>
      </w:r>
    </w:p>
    <w:p>
      <w:pPr>
        <w:spacing w:after="0" w:line="81" w:lineRule="exact"/>
        <w:rPr>
          <w:rFonts w:ascii="Arial" w:cs="Arial" w:eastAsia="Arial" w:hAnsi="Arial"/>
          <w:sz w:val="18"/>
          <w:szCs w:val="18"/>
          <w:b w:val="1"/>
          <w:bCs w:val="1"/>
          <w:color w:val="auto"/>
        </w:rPr>
      </w:pPr>
    </w:p>
    <w:p>
      <w:pPr>
        <w:ind w:left="560" w:right="480" w:hanging="326"/>
        <w:spacing w:after="0" w:line="270" w:lineRule="auto"/>
        <w:tabs>
          <w:tab w:leader="none" w:pos="5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copies of our partnership agreement, our certificate of limited partnership, amendments to either of them and powers of attorney which have been executed under our partnership agreement;</w:t>
      </w:r>
    </w:p>
    <w:p>
      <w:pPr>
        <w:spacing w:after="0" w:line="81" w:lineRule="exact"/>
        <w:rPr>
          <w:rFonts w:ascii="Arial" w:cs="Arial" w:eastAsia="Arial" w:hAnsi="Arial"/>
          <w:sz w:val="18"/>
          <w:szCs w:val="18"/>
          <w:b w:val="1"/>
          <w:bCs w:val="1"/>
          <w:color w:val="auto"/>
        </w:rPr>
      </w:pPr>
    </w:p>
    <w:p>
      <w:pPr>
        <w:ind w:left="560" w:hanging="326"/>
        <w:spacing w:after="0"/>
        <w:tabs>
          <w:tab w:leader="none" w:pos="5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information regarding the status of our business and financial condition; and</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any other information regarding our affairs as is just and reasonable.</w:t>
      </w:r>
    </w:p>
    <w:p>
      <w:pPr>
        <w:spacing w:after="0" w:line="113" w:lineRule="exact"/>
        <w:rPr>
          <w:sz w:val="20"/>
          <w:szCs w:val="20"/>
          <w:color w:val="auto"/>
        </w:rPr>
      </w:pPr>
    </w:p>
    <w:p>
      <w:pPr>
        <w:ind w:right="140" w:firstLine="222"/>
        <w:spacing w:after="0" w:line="334" w:lineRule="auto"/>
        <w:rPr>
          <w:sz w:val="20"/>
          <w:szCs w:val="20"/>
          <w:color w:val="auto"/>
        </w:rPr>
      </w:pPr>
      <w:r>
        <w:rPr>
          <w:rFonts w:ascii="Arial" w:cs="Arial" w:eastAsia="Arial" w:hAnsi="Arial"/>
          <w:sz w:val="16"/>
          <w:szCs w:val="16"/>
          <w:color w:val="auto"/>
        </w:rPr>
        <w:t>Our general partner may, and intends to, keep confidential from the limited partners trade secrets and other information the disclosure of which our general partner believes in good faith is not in our best interest or which we are required by law or by agreements with third parties to keep confidential.</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CASH DISTRIBUTION POLICY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of Available Cash</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We will distribute to our unitholders, on a quarterly basis, all of our available cash in the manner described below.</w:t>
      </w:r>
    </w:p>
    <w:p>
      <w:pPr>
        <w:spacing w:after="0" w:line="113" w:lineRule="exact"/>
        <w:rPr>
          <w:sz w:val="20"/>
          <w:szCs w:val="20"/>
          <w:color w:val="auto"/>
        </w:rPr>
      </w:pPr>
    </w:p>
    <w:p>
      <w:pPr>
        <w:ind w:right="140" w:firstLine="222"/>
        <w:spacing w:after="0" w:line="270" w:lineRule="auto"/>
        <w:rPr>
          <w:sz w:val="20"/>
          <w:szCs w:val="20"/>
          <w:color w:val="auto"/>
        </w:rPr>
      </w:pPr>
      <w:r>
        <w:rPr>
          <w:rFonts w:ascii="Arial" w:cs="Arial" w:eastAsia="Arial" w:hAnsi="Arial"/>
          <w:sz w:val="18"/>
          <w:szCs w:val="18"/>
          <w:i w:val="1"/>
          <w:iCs w:val="1"/>
          <w:color w:val="auto"/>
        </w:rPr>
        <w:t>Definition of Available Cash</w:t>
      </w:r>
      <w:r>
        <w:rPr>
          <w:rFonts w:ascii="Arial" w:cs="Arial" w:eastAsia="Arial" w:hAnsi="Arial"/>
          <w:sz w:val="18"/>
          <w:szCs w:val="18"/>
          <w:color w:val="auto"/>
        </w:rPr>
        <w:t>. Available cash generally means, for any quarter ending prior to liquidation, all cash on hand at the end of that quarter less the</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cash reserves that is necessary or appropriate in the reasonable discretion of the general partner to:</w:t>
      </w:r>
    </w:p>
    <w:p>
      <w:pPr>
        <w:spacing w:after="0" w:line="68" w:lineRule="exact"/>
        <w:rPr>
          <w:sz w:val="20"/>
          <w:szCs w:val="20"/>
          <w:color w:val="auto"/>
        </w:rPr>
      </w:pPr>
    </w:p>
    <w:p>
      <w:pPr>
        <w:ind w:left="560" w:hanging="326"/>
        <w:spacing w:after="0"/>
        <w:tabs>
          <w:tab w:leader="none" w:pos="5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provide for the proper conduct of our business;</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comply with applicable law or any partnership debt instrument or other agreement; or</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provide funds for distributions to unitholders and the general partner in respect of any one or more of the next four quarters.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Surplus and Capital Surplus</w:t>
      </w:r>
    </w:p>
    <w:p>
      <w:pPr>
        <w:spacing w:after="0" w:line="117" w:lineRule="exact"/>
        <w:rPr>
          <w:sz w:val="20"/>
          <w:szCs w:val="20"/>
          <w:color w:val="auto"/>
        </w:rPr>
      </w:pPr>
    </w:p>
    <w:p>
      <w:pPr>
        <w:ind w:firstLine="222"/>
        <w:spacing w:after="0" w:line="270"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Cash distributions to our unitholders will be characterized as either operating surplus or capital surplus. We distribute available cash from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surplus differently than available cash from capital surplus. See “—Quarterly Distributions of Available Cash.”</w:t>
      </w:r>
    </w:p>
    <w:p>
      <w:pPr>
        <w:spacing w:after="0" w:line="6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Definition of Operating Surplus</w:t>
      </w:r>
      <w:r>
        <w:rPr>
          <w:rFonts w:ascii="Arial" w:cs="Arial" w:eastAsia="Arial" w:hAnsi="Arial"/>
          <w:sz w:val="18"/>
          <w:szCs w:val="18"/>
          <w:color w:val="auto"/>
        </w:rPr>
        <w:t>. Operating surplus refers generally to:</w:t>
      </w:r>
    </w:p>
    <w:p>
      <w:pPr>
        <w:spacing w:after="0" w:line="113" w:lineRule="exact"/>
        <w:rPr>
          <w:sz w:val="20"/>
          <w:szCs w:val="20"/>
          <w:color w:val="auto"/>
        </w:rPr>
      </w:pPr>
    </w:p>
    <w:p>
      <w:pPr>
        <w:ind w:left="560" w:hanging="326"/>
        <w:spacing w:after="0"/>
        <w:tabs>
          <w:tab w:leader="none" w:pos="5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our cash balances on the closing date of our initial public offering; plus</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$25 million; plus</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all of our cash receipts from operations, excluding cash that is capital surplus; less</w:t>
      </w:r>
    </w:p>
    <w:p>
      <w:pPr>
        <w:spacing w:after="0" w:line="126" w:lineRule="exact"/>
        <w:rPr>
          <w:rFonts w:ascii="Arial" w:cs="Arial" w:eastAsia="Arial" w:hAnsi="Arial"/>
          <w:sz w:val="18"/>
          <w:szCs w:val="18"/>
          <w:b w:val="1"/>
          <w:bCs w:val="1"/>
          <w:color w:val="auto"/>
        </w:rPr>
      </w:pPr>
    </w:p>
    <w:p>
      <w:pPr>
        <w:ind w:left="560" w:hanging="326"/>
        <w:spacing w:after="0" w:line="300" w:lineRule="auto"/>
        <w:tabs>
          <w:tab w:leader="none" w:pos="560"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all of our operating expenses, debt service payments, but not including payments required with the sale of assets or any refinancing with the proceeds of new indebtedness or an equity offering, maintenance capital expenditures and reserves established for future operations.</w:t>
      </w:r>
    </w:p>
    <w:p>
      <w:pPr>
        <w:spacing w:after="0" w:line="4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Definition of Capital Surplus</w:t>
      </w:r>
      <w:r>
        <w:rPr>
          <w:rFonts w:ascii="Arial" w:cs="Arial" w:eastAsia="Arial" w:hAnsi="Arial"/>
          <w:sz w:val="18"/>
          <w:szCs w:val="18"/>
          <w:color w:val="auto"/>
        </w:rPr>
        <w:t>. Capital surplus will generally be generated only by:</w:t>
      </w:r>
    </w:p>
    <w:p>
      <w:pPr>
        <w:spacing w:after="0" w:line="113" w:lineRule="exact"/>
        <w:rPr>
          <w:sz w:val="20"/>
          <w:szCs w:val="20"/>
          <w:color w:val="auto"/>
        </w:rPr>
      </w:pPr>
    </w:p>
    <w:p>
      <w:pPr>
        <w:ind w:left="560" w:hanging="326"/>
        <w:spacing w:after="0"/>
        <w:tabs>
          <w:tab w:leader="none" w:pos="5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borrowings other than working capital borrowings;</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sales of debt and equity securities; and</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sales or other dispositions of assets for cash, other than inventory, accounts receivable and other assets in the ordinary course of business.</w:t>
      </w:r>
    </w:p>
    <w:p>
      <w:pPr>
        <w:spacing w:after="0" w:line="125" w:lineRule="exact"/>
        <w:rPr>
          <w:sz w:val="20"/>
          <w:szCs w:val="20"/>
          <w:color w:val="auto"/>
        </w:rPr>
      </w:pPr>
    </w:p>
    <w:p>
      <w:pPr>
        <w:ind w:right="80" w:firstLine="219"/>
        <w:spacing w:after="0" w:line="259" w:lineRule="auto"/>
        <w:rPr>
          <w:sz w:val="20"/>
          <w:szCs w:val="20"/>
          <w:color w:val="auto"/>
        </w:rPr>
      </w:pPr>
      <w:r>
        <w:rPr>
          <w:rFonts w:ascii="Arial" w:cs="Arial" w:eastAsia="Arial" w:hAnsi="Arial"/>
          <w:sz w:val="18"/>
          <w:szCs w:val="18"/>
          <w:color w:val="auto"/>
        </w:rPr>
        <w:t>We will treat all available cash distributed as coming from operating surplus until the sum of all available cash distributed since we began equals the operating surplus as of the end of the quarter prior to the distribution. Any available cash in excess of operating surplus, regardless of its source, will be treated as capital surplus.</w:t>
      </w:r>
    </w:p>
    <w:p>
      <w:pPr>
        <w:spacing w:after="0" w:line="77" w:lineRule="exact"/>
        <w:rPr>
          <w:sz w:val="20"/>
          <w:szCs w:val="20"/>
          <w:color w:val="auto"/>
        </w:rPr>
      </w:pPr>
    </w:p>
    <w:p>
      <w:pPr>
        <w:ind w:right="160" w:firstLine="222"/>
        <w:spacing w:after="0" w:line="259" w:lineRule="auto"/>
        <w:rPr>
          <w:sz w:val="20"/>
          <w:szCs w:val="20"/>
          <w:color w:val="auto"/>
        </w:rPr>
      </w:pPr>
      <w:r>
        <w:rPr>
          <w:rFonts w:ascii="Arial" w:cs="Arial" w:eastAsia="Arial" w:hAnsi="Arial"/>
          <w:sz w:val="18"/>
          <w:szCs w:val="18"/>
          <w:color w:val="auto"/>
        </w:rPr>
        <w:t>If we distribute available cash from capital surplus for each common unit in an aggregate amount per common unit equal to the initial public offering price of the common units, there will not be a distinction between operating surplus and capital surplus, and all distributions of available cash will be treated as operating surplus. We do not anticipate that we will make distributions from capital surplus.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Issuance of Additional Units</w:t>
      </w:r>
    </w:p>
    <w:p>
      <w:pPr>
        <w:spacing w:after="0" w:line="117" w:lineRule="exact"/>
        <w:rPr>
          <w:sz w:val="20"/>
          <w:szCs w:val="20"/>
          <w:color w:val="auto"/>
        </w:rPr>
      </w:pPr>
    </w:p>
    <w:p>
      <w:pPr>
        <w:ind w:right="60" w:firstLine="219"/>
        <w:spacing w:after="0" w:line="334" w:lineRule="auto"/>
        <w:rPr>
          <w:sz w:val="20"/>
          <w:szCs w:val="20"/>
          <w:color w:val="auto"/>
        </w:rPr>
      </w:pPr>
      <w:r>
        <w:rPr>
          <w:rFonts w:ascii="Arial" w:cs="Arial" w:eastAsia="Arial" w:hAnsi="Arial"/>
          <w:sz w:val="16"/>
          <w:szCs w:val="16"/>
          <w:color w:val="auto"/>
        </w:rPr>
        <w:t>We can issue additional common units or other equity securities for consideration and under terms and conditions approved by our general partner in its sole discretion and without the approval of our unitholders. We may fund acquisitions through the issuance of additional common units or other equity securities.</w:t>
      </w:r>
    </w:p>
    <w:p>
      <w:pPr>
        <w:spacing w:after="0" w:line="22" w:lineRule="exact"/>
        <w:rPr>
          <w:sz w:val="20"/>
          <w:szCs w:val="20"/>
          <w:color w:val="auto"/>
        </w:rPr>
      </w:pPr>
    </w:p>
    <w:p>
      <w:pPr>
        <w:jc w:val="both"/>
        <w:ind w:firstLine="222"/>
        <w:spacing w:after="0" w:line="259" w:lineRule="auto"/>
        <w:rPr>
          <w:sz w:val="20"/>
          <w:szCs w:val="20"/>
          <w:color w:val="auto"/>
        </w:rPr>
      </w:pPr>
      <w:r>
        <w:rPr>
          <w:rFonts w:ascii="Arial" w:cs="Arial" w:eastAsia="Arial" w:hAnsi="Arial"/>
          <w:sz w:val="18"/>
          <w:szCs w:val="18"/>
          <w:color w:val="auto"/>
        </w:rPr>
        <w:t>Holders of any additional common units that we issue will be entitled to share equally with our then-existing unitholders in distributions of available cash. In addition, the issuance of additional interests may dilute the value of the interests of the then-existing unitholders. If we issue additional partnership interests, our general partner will be required to make an additional capital contribution to 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Distributions of Available Cash</w:t>
      </w:r>
    </w:p>
    <w:p>
      <w:pPr>
        <w:spacing w:after="0" w:line="117" w:lineRule="exact"/>
        <w:rPr>
          <w:sz w:val="20"/>
          <w:szCs w:val="20"/>
          <w:color w:val="auto"/>
        </w:rPr>
      </w:pPr>
    </w:p>
    <w:p>
      <w:pPr>
        <w:ind w:right="160" w:firstLine="219"/>
        <w:spacing w:after="0" w:line="274" w:lineRule="auto"/>
        <w:rPr>
          <w:sz w:val="20"/>
          <w:szCs w:val="20"/>
          <w:color w:val="auto"/>
        </w:rPr>
      </w:pPr>
      <w:r>
        <w:rPr>
          <w:rFonts w:ascii="Arial" w:cs="Arial" w:eastAsia="Arial" w:hAnsi="Arial"/>
          <w:sz w:val="17"/>
          <w:szCs w:val="17"/>
          <w:color w:val="auto"/>
        </w:rPr>
        <w:t>We will make quarterly distributions to our partners prior to our liquidation in an amount equal to 100% of our available cash for that quarter. We expect to make distributions of all available cash within approximately 45 days after the end of each quarter to holders of record on the applicable record date. The minimum quarterly distribution and the target distribution levels are also subject to certain other adjustments as described below under “—Distributions from Capital Surplus” and “—Adjustment to the Minimum Quarterly Distribution and Target Distribution Levels.”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From Operating Surplus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will make distributions of available cash from operating surplus in the following manner:</w:t>
      </w:r>
    </w:p>
    <w:p>
      <w:pPr>
        <w:spacing w:after="0" w:line="113" w:lineRule="exact"/>
        <w:rPr>
          <w:sz w:val="20"/>
          <w:szCs w:val="20"/>
          <w:color w:val="auto"/>
        </w:rPr>
      </w:pPr>
    </w:p>
    <w:p>
      <w:pPr>
        <w:ind w:left="560" w:right="620" w:hanging="326"/>
        <w:spacing w:after="0" w:line="270" w:lineRule="auto"/>
        <w:tabs>
          <w:tab w:leader="none" w:pos="5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First, 98% to all unitholders, pro rata, and 2% to the general partner, until we distribute for each unit an amount equal to the minimum quarterly distribution for that quarter; and</w:t>
      </w:r>
    </w:p>
    <w:p>
      <w:pPr>
        <w:spacing w:after="0" w:line="81" w:lineRule="exact"/>
        <w:rPr>
          <w:rFonts w:ascii="Arial" w:cs="Arial" w:eastAsia="Arial" w:hAnsi="Arial"/>
          <w:sz w:val="18"/>
          <w:szCs w:val="18"/>
          <w:b w:val="1"/>
          <w:bCs w:val="1"/>
          <w:color w:val="auto"/>
        </w:rPr>
      </w:pPr>
    </w:p>
    <w:p>
      <w:pPr>
        <w:ind w:left="560" w:hanging="326"/>
        <w:spacing w:after="0"/>
        <w:tabs>
          <w:tab w:leader="none" w:pos="5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Thereafter, in the manner described in “—Incentive Distribution Rights” below.</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Distribution Rights</w:t>
      </w:r>
    </w:p>
    <w:p>
      <w:pPr>
        <w:spacing w:after="0" w:line="117"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For any quarter that we distribute available cash from operating surplus to the common unitholders in an amount equal to the minimum quarterly distribution on all units, we will distribute any additional available cash from operating surplus in that quarter among the unitholders and the general partner in the following manner:</w:t>
      </w:r>
    </w:p>
    <w:p>
      <w:pPr>
        <w:spacing w:after="0" w:line="77" w:lineRule="exact"/>
        <w:rPr>
          <w:sz w:val="20"/>
          <w:szCs w:val="20"/>
          <w:color w:val="auto"/>
        </w:rPr>
      </w:pPr>
    </w:p>
    <w:p>
      <w:pPr>
        <w:ind w:left="560" w:right="820" w:hanging="326"/>
        <w:spacing w:after="0" w:line="270" w:lineRule="auto"/>
        <w:tabs>
          <w:tab w:leader="none" w:pos="5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First, 85% to all unitholders, pro rata, and 15% to the general partner, until each unitholder receives a total of $0.495 for that quarter for each outstanding unit (the “first target distribution”);</w:t>
      </w:r>
    </w:p>
    <w:p>
      <w:pPr>
        <w:spacing w:after="0" w:line="81" w:lineRule="exact"/>
        <w:rPr>
          <w:rFonts w:ascii="Arial" w:cs="Arial" w:eastAsia="Arial" w:hAnsi="Arial"/>
          <w:sz w:val="18"/>
          <w:szCs w:val="18"/>
          <w:b w:val="1"/>
          <w:bCs w:val="1"/>
          <w:color w:val="auto"/>
        </w:rPr>
      </w:pPr>
    </w:p>
    <w:p>
      <w:pPr>
        <w:ind w:left="560" w:right="620" w:hanging="326"/>
        <w:spacing w:after="0" w:line="270" w:lineRule="auto"/>
        <w:tabs>
          <w:tab w:leader="none" w:pos="5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Second, 75% to all unitholders, pro rata, and 25% to the general partner, until each unitholder receives a total of $0.675 for that quarter for each outstanding unit (the “second target distribution”); and</w:t>
      </w:r>
    </w:p>
    <w:p>
      <w:pPr>
        <w:spacing w:after="0" w:line="81" w:lineRule="exact"/>
        <w:rPr>
          <w:rFonts w:ascii="Arial" w:cs="Arial" w:eastAsia="Arial" w:hAnsi="Arial"/>
          <w:sz w:val="18"/>
          <w:szCs w:val="18"/>
          <w:b w:val="1"/>
          <w:bCs w:val="1"/>
          <w:color w:val="auto"/>
        </w:rPr>
      </w:pPr>
    </w:p>
    <w:p>
      <w:pPr>
        <w:ind w:left="560" w:hanging="326"/>
        <w:spacing w:after="0"/>
        <w:tabs>
          <w:tab w:leader="none" w:pos="5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Thereafter, 50% to all unitholders, pro rata, and 50% to the general partner.</w:t>
      </w:r>
    </w:p>
    <w:p>
      <w:pPr>
        <w:spacing w:after="0" w:line="113" w:lineRule="exact"/>
        <w:rPr>
          <w:sz w:val="20"/>
          <w:szCs w:val="20"/>
          <w:color w:val="auto"/>
        </w:rPr>
      </w:pPr>
    </w:p>
    <w:p>
      <w:pPr>
        <w:ind w:right="40" w:firstLine="219"/>
        <w:spacing w:after="0" w:line="297" w:lineRule="auto"/>
        <w:rPr>
          <w:sz w:val="20"/>
          <w:szCs w:val="20"/>
          <w:color w:val="auto"/>
        </w:rPr>
      </w:pPr>
      <w:r>
        <w:rPr>
          <w:rFonts w:ascii="Arial" w:cs="Arial" w:eastAsia="Arial" w:hAnsi="Arial"/>
          <w:sz w:val="16"/>
          <w:szCs w:val="16"/>
          <w:color w:val="auto"/>
        </w:rPr>
        <w:t>The incentive distribution rights represent the right to receive an increasing percentage of quarterly distributions of available cash from operating surplus after the minimum quarterly distribution and the target distribution levels have been achieved. Any distributions to the general partner (other than in its capacity as a holder of units) that are in excess of its aggregate 2% general partner interest represent the incentive distribution rights. The right to receive incentive distribution rights is not part of its general partner interest and may be transferred separately from that interest, subject to certain restrictions.</w:t>
      </w:r>
    </w:p>
    <w:p>
      <w:pPr>
        <w:spacing w:after="0" w:line="50" w:lineRule="exact"/>
        <w:rPr>
          <w:sz w:val="20"/>
          <w:szCs w:val="20"/>
          <w:color w:val="auto"/>
        </w:rPr>
      </w:pPr>
    </w:p>
    <w:p>
      <w:pPr>
        <w:ind w:right="60" w:firstLine="222"/>
        <w:spacing w:after="0" w:line="271" w:lineRule="auto"/>
        <w:rPr>
          <w:sz w:val="20"/>
          <w:szCs w:val="20"/>
          <w:color w:val="auto"/>
        </w:rPr>
      </w:pPr>
      <w:r>
        <w:rPr>
          <w:rFonts w:ascii="Arial" w:cs="Arial" w:eastAsia="Arial" w:hAnsi="Arial"/>
          <w:sz w:val="17"/>
          <w:szCs w:val="17"/>
          <w:color w:val="auto"/>
        </w:rPr>
        <w:t>Upon closing of the Pacific Merger, our general partner has agreed to reduce the amounts due it as incentive distributions commencing with the earlier to occur of (i) the payment date of the first quarterly distribution declared and paid after the closing date that equals or exceeds $0.80 per unit or (ii) the payment date of the second quarterly distribution declared and paid after the closing date. Such adjustment shall be as follows: (i) $5 million per quarter for the first four quarters, (ii) $3.75 million per quarter for the next eight quarters, (iii) $2.5 million per quarter for the next four quarters, and (iv) $1.25 million per quarter for the final four quarters. The total reduction in incentive distributions will be $65 million.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from Capital Surplus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auto"/>
        </w:rPr>
        <w:t>How Distributions from Capital Surplus Will Be Made</w:t>
      </w:r>
      <w:r>
        <w:rPr>
          <w:rFonts w:ascii="Arial" w:cs="Arial" w:eastAsia="Arial" w:hAnsi="Arial"/>
          <w:sz w:val="17"/>
          <w:szCs w:val="17"/>
          <w:color w:val="auto"/>
        </w:rPr>
        <w:t>. We will make distributions of available cash from capital surplus in the following manner:</w:t>
      </w:r>
    </w:p>
    <w:p>
      <w:pPr>
        <w:spacing w:after="0" w:line="125" w:lineRule="exact"/>
        <w:rPr>
          <w:sz w:val="20"/>
          <w:szCs w:val="20"/>
          <w:color w:val="auto"/>
        </w:rPr>
      </w:pPr>
    </w:p>
    <w:p>
      <w:pPr>
        <w:ind w:left="560" w:right="420" w:hanging="326"/>
        <w:spacing w:after="0" w:line="300" w:lineRule="auto"/>
        <w:tabs>
          <w:tab w:leader="none" w:pos="560" w:val="left"/>
        </w:tabs>
        <w:numPr>
          <w:ilvl w:val="0"/>
          <w:numId w:val="7"/>
        </w:numPr>
        <w:rPr>
          <w:rFonts w:ascii="Arial" w:cs="Arial" w:eastAsia="Arial" w:hAnsi="Arial"/>
          <w:sz w:val="17"/>
          <w:szCs w:val="17"/>
          <w:b w:val="1"/>
          <w:bCs w:val="1"/>
          <w:color w:val="auto"/>
        </w:rPr>
      </w:pPr>
      <w:r>
        <w:rPr>
          <w:rFonts w:ascii="Arial" w:cs="Arial" w:eastAsia="Arial" w:hAnsi="Arial"/>
          <w:sz w:val="17"/>
          <w:szCs w:val="17"/>
          <w:color w:val="auto"/>
        </w:rPr>
        <w:t>First, 98% to all unitholders, pro rata, and 2% to the general partner, until we distribute, for each common unit issued in our initial public offering, available cash from capital surplus in an aggregate amount per common unit equal to the initial public offering price; and</w:t>
      </w:r>
    </w:p>
    <w:p>
      <w:pPr>
        <w:spacing w:after="0" w:line="58" w:lineRule="exact"/>
        <w:rPr>
          <w:rFonts w:ascii="Arial" w:cs="Arial" w:eastAsia="Arial" w:hAnsi="Arial"/>
          <w:sz w:val="17"/>
          <w:szCs w:val="17"/>
          <w:b w:val="1"/>
          <w:bCs w:val="1"/>
          <w:color w:val="auto"/>
        </w:rPr>
      </w:pPr>
    </w:p>
    <w:p>
      <w:pPr>
        <w:ind w:left="560" w:hanging="326"/>
        <w:spacing w:after="0"/>
        <w:tabs>
          <w:tab w:leader="none" w:pos="5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Thereafter, we will make all distributions of available cash from capital surplus as if they were from operating surplus.</w:t>
      </w:r>
    </w:p>
    <w:p>
      <w:pPr>
        <w:spacing w:after="0" w:line="113" w:lineRule="exact"/>
        <w:rPr>
          <w:sz w:val="20"/>
          <w:szCs w:val="20"/>
          <w:color w:val="auto"/>
        </w:rPr>
      </w:pPr>
    </w:p>
    <w:p>
      <w:pPr>
        <w:ind w:firstLine="222"/>
        <w:spacing w:after="0" w:line="274" w:lineRule="auto"/>
        <w:rPr>
          <w:sz w:val="20"/>
          <w:szCs w:val="20"/>
          <w:color w:val="auto"/>
        </w:rPr>
      </w:pPr>
      <w:r>
        <w:rPr>
          <w:rFonts w:ascii="Arial" w:cs="Arial" w:eastAsia="Arial" w:hAnsi="Arial"/>
          <w:sz w:val="17"/>
          <w:szCs w:val="17"/>
          <w:i w:val="1"/>
          <w:iCs w:val="1"/>
          <w:color w:val="auto"/>
        </w:rPr>
        <w:t>Effect of a Distribution from Capital Surplus</w:t>
      </w:r>
      <w:r>
        <w:rPr>
          <w:rFonts w:ascii="Arial" w:cs="Arial" w:eastAsia="Arial" w:hAnsi="Arial"/>
          <w:sz w:val="17"/>
          <w:szCs w:val="17"/>
          <w:color w:val="auto"/>
        </w:rPr>
        <w:t>. Our partnership agreement treats a distribution of available cash from capital surplus as the repayment of the</w:t>
      </w:r>
      <w:r>
        <w:rPr>
          <w:rFonts w:ascii="Arial" w:cs="Arial" w:eastAsia="Arial" w:hAnsi="Arial"/>
          <w:sz w:val="17"/>
          <w:szCs w:val="17"/>
          <w:i w:val="1"/>
          <w:iCs w:val="1"/>
          <w:color w:val="auto"/>
        </w:rPr>
        <w:t xml:space="preserve"> </w:t>
      </w:r>
      <w:r>
        <w:rPr>
          <w:rFonts w:ascii="Arial" w:cs="Arial" w:eastAsia="Arial" w:hAnsi="Arial"/>
          <w:sz w:val="17"/>
          <w:szCs w:val="17"/>
          <w:color w:val="auto"/>
        </w:rPr>
        <w:t>initial public offering price per unit. To show that repayment, the minimum quarterly distribution and the target distribution levels will be reduced by multiplying each amount by a fraction, the numerator of which is the unrecovered capital of the common units immediately after giving effect to that repayment and the denominator of which is the unrecovered capital of the common units immediately prior to that repayment.</w:t>
      </w:r>
    </w:p>
    <w:p>
      <w:pPr>
        <w:spacing w:after="0" w:line="69"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When Payback Occurs</w:t>
      </w:r>
      <w:r>
        <w:rPr>
          <w:rFonts w:ascii="Arial" w:cs="Arial" w:eastAsia="Arial" w:hAnsi="Arial"/>
          <w:sz w:val="16"/>
          <w:szCs w:val="16"/>
          <w:color w:val="auto"/>
        </w:rPr>
        <w:t>. When “payback” of the reduced initial unit price has occurred (that is, when the unrecovered capital of the common units is zero)</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then:</w:t>
      </w:r>
    </w:p>
    <w:p>
      <w:pPr>
        <w:spacing w:after="0" w:line="100" w:lineRule="exact"/>
        <w:rPr>
          <w:sz w:val="20"/>
          <w:szCs w:val="20"/>
          <w:color w:val="auto"/>
        </w:rPr>
      </w:pPr>
    </w:p>
    <w:p>
      <w:pPr>
        <w:ind w:left="560" w:hanging="326"/>
        <w:spacing w:after="0"/>
        <w:tabs>
          <w:tab w:leader="none" w:pos="5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minimum quarterly distribution and the target distribution levels will be reduced to zero for subsequent quarters;</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all distributions of available cash will be treated as operating surplus; and</w:t>
      </w:r>
    </w:p>
    <w:p>
      <w:pPr>
        <w:spacing w:after="0" w:line="126" w:lineRule="exact"/>
        <w:rPr>
          <w:rFonts w:ascii="Arial" w:cs="Arial" w:eastAsia="Arial" w:hAnsi="Arial"/>
          <w:sz w:val="18"/>
          <w:szCs w:val="18"/>
          <w:b w:val="1"/>
          <w:bCs w:val="1"/>
          <w:color w:val="auto"/>
        </w:rPr>
      </w:pPr>
    </w:p>
    <w:p>
      <w:pPr>
        <w:ind w:left="560" w:right="320" w:hanging="326"/>
        <w:spacing w:after="0" w:line="270" w:lineRule="auto"/>
        <w:tabs>
          <w:tab w:leader="none" w:pos="5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general partner will be entitled to receive 50% of distributions of available cash in its capacities as general partner and as holder of the incentive distribution rights.</w:t>
      </w:r>
    </w:p>
    <w:p>
      <w:pPr>
        <w:spacing w:after="0" w:line="68" w:lineRule="exact"/>
        <w:rPr>
          <w:sz w:val="20"/>
          <w:szCs w:val="20"/>
          <w:color w:val="auto"/>
        </w:rPr>
      </w:pPr>
    </w:p>
    <w:p>
      <w:pPr>
        <w:ind w:right="180" w:firstLine="222"/>
        <w:spacing w:after="0" w:line="270" w:lineRule="auto"/>
        <w:rPr>
          <w:sz w:val="20"/>
          <w:szCs w:val="20"/>
          <w:color w:val="auto"/>
        </w:rPr>
      </w:pPr>
      <w:r>
        <w:rPr>
          <w:rFonts w:ascii="Arial" w:cs="Arial" w:eastAsia="Arial" w:hAnsi="Arial"/>
          <w:sz w:val="18"/>
          <w:szCs w:val="18"/>
          <w:color w:val="auto"/>
        </w:rPr>
        <w:t>Distributions of available cash from capital surplus will not reduce the minimum quarterly distribution or target distribution levels for the quarter in which they are distributed.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 to the Minimum Quarterly Distribution and Target Distribution Levels</w:t>
      </w:r>
    </w:p>
    <w:p>
      <w:pPr>
        <w:spacing w:after="0" w:line="117" w:lineRule="exact"/>
        <w:rPr>
          <w:sz w:val="20"/>
          <w:szCs w:val="20"/>
          <w:color w:val="auto"/>
        </w:rPr>
      </w:pPr>
    </w:p>
    <w:p>
      <w:pPr>
        <w:jc w:val="both"/>
        <w:ind w:right="140" w:firstLine="222"/>
        <w:spacing w:after="0" w:line="259" w:lineRule="auto"/>
        <w:rPr>
          <w:sz w:val="20"/>
          <w:szCs w:val="20"/>
          <w:color w:val="auto"/>
        </w:rPr>
      </w:pPr>
      <w:r>
        <w:rPr>
          <w:rFonts w:ascii="Arial" w:cs="Arial" w:eastAsia="Arial" w:hAnsi="Arial"/>
          <w:sz w:val="18"/>
          <w:szCs w:val="18"/>
          <w:i w:val="1"/>
          <w:iCs w:val="1"/>
          <w:color w:val="auto"/>
        </w:rPr>
        <w:t>How We Adjust the Minimum Quarterly Distribution and Target Distribution Levels</w:t>
      </w:r>
      <w:r>
        <w:rPr>
          <w:rFonts w:ascii="Arial" w:cs="Arial" w:eastAsia="Arial" w:hAnsi="Arial"/>
          <w:sz w:val="18"/>
          <w:szCs w:val="18"/>
          <w:color w:val="auto"/>
        </w:rPr>
        <w:t>. In addition to adjusting the minimum quarterly distribution and target</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levels to reflect a distribution of capital surplus, if we combine our units into fewer units or subdivide our units into a greater number of units (but not if we issue additional common units for cash or property), we will proportionately adjust:</w:t>
      </w:r>
    </w:p>
    <w:p>
      <w:pPr>
        <w:spacing w:after="0" w:line="77" w:lineRule="exact"/>
        <w:rPr>
          <w:sz w:val="20"/>
          <w:szCs w:val="20"/>
          <w:color w:val="auto"/>
        </w:rPr>
      </w:pPr>
    </w:p>
    <w:p>
      <w:pPr>
        <w:ind w:left="560" w:hanging="326"/>
        <w:spacing w:after="0"/>
        <w:tabs>
          <w:tab w:leader="none" w:pos="5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minimum quarterly distribution;</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target distribution levels;</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unrecovered capital; and</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other amounts calculated on a per unit basis.</w:t>
      </w:r>
    </w:p>
    <w:p>
      <w:pPr>
        <w:spacing w:after="0" w:line="113" w:lineRule="exact"/>
        <w:rPr>
          <w:sz w:val="20"/>
          <w:szCs w:val="20"/>
          <w:color w:val="auto"/>
        </w:rPr>
      </w:pPr>
    </w:p>
    <w:p>
      <w:pPr>
        <w:ind w:right="40" w:firstLine="222"/>
        <w:spacing w:after="0" w:line="270" w:lineRule="auto"/>
        <w:rPr>
          <w:sz w:val="20"/>
          <w:szCs w:val="20"/>
          <w:color w:val="auto"/>
        </w:rPr>
      </w:pPr>
      <w:r>
        <w:rPr>
          <w:rFonts w:ascii="Arial" w:cs="Arial" w:eastAsia="Arial" w:hAnsi="Arial"/>
          <w:sz w:val="18"/>
          <w:szCs w:val="18"/>
          <w:color w:val="auto"/>
        </w:rPr>
        <w:t>For example, in the event of a two-for-one split of the common units (assuming no prior adjustments), the minimum quarterly distribution, each of the target distribution levels and the unrecovered capital of the common units would each be reduced to 50% of its initial level.</w:t>
      </w:r>
    </w:p>
    <w:p>
      <w:pPr>
        <w:spacing w:after="0" w:line="68" w:lineRule="exact"/>
        <w:rPr>
          <w:sz w:val="20"/>
          <w:szCs w:val="20"/>
          <w:color w:val="auto"/>
        </w:rPr>
      </w:pPr>
    </w:p>
    <w:p>
      <w:pPr>
        <w:ind w:right="360" w:firstLine="222"/>
        <w:spacing w:after="0" w:line="306" w:lineRule="auto"/>
        <w:rPr>
          <w:sz w:val="20"/>
          <w:szCs w:val="20"/>
          <w:color w:val="auto"/>
        </w:rPr>
      </w:pPr>
      <w:r>
        <w:rPr>
          <w:rFonts w:ascii="Arial" w:cs="Arial" w:eastAsia="Arial" w:hAnsi="Arial"/>
          <w:sz w:val="16"/>
          <w:szCs w:val="16"/>
          <w:i w:val="1"/>
          <w:iCs w:val="1"/>
          <w:color w:val="auto"/>
        </w:rPr>
        <w:t>If We Became Subject to Taxation</w:t>
      </w:r>
      <w:r>
        <w:rPr>
          <w:rFonts w:ascii="Arial" w:cs="Arial" w:eastAsia="Arial" w:hAnsi="Arial"/>
          <w:sz w:val="16"/>
          <w:szCs w:val="16"/>
          <w:color w:val="auto"/>
        </w:rPr>
        <w:t>. If legislation is enacted or if existing law is modified or interpreted by the relevant governmental authority so that we</w:t>
      </w:r>
      <w:r>
        <w:rPr>
          <w:rFonts w:ascii="Arial" w:cs="Arial" w:eastAsia="Arial" w:hAnsi="Arial"/>
          <w:sz w:val="16"/>
          <w:szCs w:val="16"/>
          <w:i w:val="1"/>
          <w:iCs w:val="1"/>
          <w:color w:val="auto"/>
        </w:rPr>
        <w:t xml:space="preserve"> </w:t>
      </w:r>
      <w:r>
        <w:rPr>
          <w:rFonts w:ascii="Arial" w:cs="Arial" w:eastAsia="Arial" w:hAnsi="Arial"/>
          <w:sz w:val="16"/>
          <w:szCs w:val="16"/>
          <w:color w:val="auto"/>
        </w:rPr>
        <w:t>become taxable as a corporation or otherwise subject to taxation as an entity for federal, state or local income tax purposes, we will adjust the minimum quarterly distribution and each of the target distribution levels, respectively, to equal the product obtained by multiplying the amount thereof by: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560" w:right="80" w:hanging="326"/>
        <w:spacing w:after="0" w:line="259" w:lineRule="auto"/>
        <w:tabs>
          <w:tab w:leader="none" w:pos="5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one minus the sum of (x) the maximum effective federal income tax rate to which we as an entity were subject plus (y) any increase in state and local income taxes to which we are subject for the taxable year of the event, after adjusting for any allowable deductions for federal income tax purposes for the payment of state and local income taxes.</w:t>
      </w:r>
    </w:p>
    <w:p>
      <w:pPr>
        <w:spacing w:after="0" w:line="77" w:lineRule="exact"/>
        <w:rPr>
          <w:sz w:val="20"/>
          <w:szCs w:val="20"/>
          <w:color w:val="auto"/>
        </w:rPr>
      </w:pPr>
    </w:p>
    <w:p>
      <w:pPr>
        <w:ind w:right="120" w:firstLine="222"/>
        <w:spacing w:after="0" w:line="259" w:lineRule="auto"/>
        <w:rPr>
          <w:sz w:val="20"/>
          <w:szCs w:val="20"/>
          <w:color w:val="auto"/>
        </w:rPr>
      </w:pPr>
      <w:r>
        <w:rPr>
          <w:rFonts w:ascii="Arial" w:cs="Arial" w:eastAsia="Arial" w:hAnsi="Arial"/>
          <w:sz w:val="18"/>
          <w:szCs w:val="18"/>
          <w:color w:val="auto"/>
        </w:rPr>
        <w:t>For example, assuming we were not previously subject to state and local income tax, if we became taxable as an entity for federal income tax purposes and became subject to a maximum marginal federal, and effective state and local, income tax rate of 38%, then the minimum quarterly distribution and the target distribution levels would each be reduced to 62% of the amount immediately prior to that adjustment.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of Cash Upon Liquidation</w:t>
      </w:r>
    </w:p>
    <w:p>
      <w:pPr>
        <w:spacing w:after="0" w:line="117" w:lineRule="exact"/>
        <w:rPr>
          <w:sz w:val="20"/>
          <w:szCs w:val="20"/>
          <w:color w:val="auto"/>
        </w:rPr>
      </w:pPr>
    </w:p>
    <w:p>
      <w:pPr>
        <w:ind w:right="180" w:firstLine="222"/>
        <w:spacing w:after="0" w:line="255"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If we dissolve and liquidate, we will sell our assets or otherwise dispose of our assets and we will adjust the partners’ capital account balances to</w:t>
      </w:r>
      <w:r>
        <w:rPr>
          <w:rFonts w:ascii="Arial" w:cs="Arial" w:eastAsia="Arial" w:hAnsi="Arial"/>
          <w:sz w:val="18"/>
          <w:szCs w:val="18"/>
          <w:i w:val="1"/>
          <w:iCs w:val="1"/>
          <w:color w:val="auto"/>
        </w:rPr>
        <w:t xml:space="preserve"> </w:t>
      </w:r>
      <w:r>
        <w:rPr>
          <w:rFonts w:ascii="Arial" w:cs="Arial" w:eastAsia="Arial" w:hAnsi="Arial"/>
          <w:sz w:val="18"/>
          <w:szCs w:val="18"/>
          <w:color w:val="auto"/>
        </w:rPr>
        <w:t>show any resulting gain or loss. We will first apply the proceeds of liquidation to the payment of our creditors in the order of priority provided in our partnership agreement and by law and, thereafter, distribute to the unitholders and the general partner in accordance with their adjusted capital account balances.</w:t>
      </w:r>
    </w:p>
    <w:p>
      <w:pPr>
        <w:spacing w:after="0" w:line="8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Manner of Adjustment</w:t>
      </w:r>
      <w:r>
        <w:rPr>
          <w:rFonts w:ascii="Arial" w:cs="Arial" w:eastAsia="Arial" w:hAnsi="Arial"/>
          <w:sz w:val="18"/>
          <w:szCs w:val="18"/>
          <w:color w:val="auto"/>
        </w:rPr>
        <w:t>. If we liquidate, we would allocate any loss to the general partner and each unitholder as follows:</w:t>
      </w:r>
    </w:p>
    <w:p>
      <w:pPr>
        <w:spacing w:after="0" w:line="113" w:lineRule="exact"/>
        <w:rPr>
          <w:sz w:val="20"/>
          <w:szCs w:val="20"/>
          <w:color w:val="auto"/>
        </w:rPr>
      </w:pPr>
    </w:p>
    <w:p>
      <w:pPr>
        <w:ind w:left="560" w:right="200" w:hanging="326"/>
        <w:spacing w:after="0" w:line="270" w:lineRule="auto"/>
        <w:tabs>
          <w:tab w:leader="none" w:pos="5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First, 98% to the holders of common units who have positive balances in their capital accounts in proportion to those positive balances and 2% to the general partner, until the capital accounts of the common unitholders have been reduced to zero; and</w:t>
      </w:r>
    </w:p>
    <w:p>
      <w:pPr>
        <w:spacing w:after="0" w:line="81" w:lineRule="exact"/>
        <w:rPr>
          <w:rFonts w:ascii="Arial" w:cs="Arial" w:eastAsia="Arial" w:hAnsi="Arial"/>
          <w:sz w:val="18"/>
          <w:szCs w:val="18"/>
          <w:b w:val="1"/>
          <w:bCs w:val="1"/>
          <w:color w:val="auto"/>
        </w:rPr>
      </w:pPr>
    </w:p>
    <w:p>
      <w:pPr>
        <w:ind w:left="560" w:hanging="326"/>
        <w:spacing w:after="0"/>
        <w:tabs>
          <w:tab w:leader="none" w:pos="5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Thereafter, 100% to the general partner.</w:t>
      </w:r>
    </w:p>
    <w:p>
      <w:pPr>
        <w:spacing w:after="0" w:line="113" w:lineRule="exact"/>
        <w:rPr>
          <w:sz w:val="20"/>
          <w:szCs w:val="20"/>
          <w:color w:val="auto"/>
        </w:rPr>
      </w:pPr>
    </w:p>
    <w:p>
      <w:pPr>
        <w:ind w:firstLine="222"/>
        <w:spacing w:after="0" w:line="289" w:lineRule="auto"/>
        <w:rPr>
          <w:sz w:val="20"/>
          <w:szCs w:val="20"/>
          <w:color w:val="auto"/>
        </w:rPr>
      </w:pPr>
      <w:r>
        <w:rPr>
          <w:rFonts w:ascii="Arial" w:cs="Arial" w:eastAsia="Arial" w:hAnsi="Arial"/>
          <w:sz w:val="16"/>
          <w:szCs w:val="16"/>
          <w:i w:val="1"/>
          <w:iCs w:val="1"/>
          <w:color w:val="auto"/>
        </w:rPr>
        <w:t>Interim Adjustments to Capital Accounts</w:t>
      </w:r>
      <w:r>
        <w:rPr>
          <w:rFonts w:ascii="Arial" w:cs="Arial" w:eastAsia="Arial" w:hAnsi="Arial"/>
          <w:sz w:val="16"/>
          <w:szCs w:val="16"/>
          <w:color w:val="auto"/>
        </w:rPr>
        <w:t>. If we issued additional security interests or made distributions of property, interim adjustments to capital accounts</w:t>
      </w:r>
      <w:r>
        <w:rPr>
          <w:rFonts w:ascii="Arial" w:cs="Arial" w:eastAsia="Arial" w:hAnsi="Arial"/>
          <w:sz w:val="16"/>
          <w:szCs w:val="16"/>
          <w:i w:val="1"/>
          <w:iCs w:val="1"/>
          <w:color w:val="auto"/>
        </w:rPr>
        <w:t xml:space="preserve"> </w:t>
      </w:r>
      <w:r>
        <w:rPr>
          <w:rFonts w:ascii="Arial" w:cs="Arial" w:eastAsia="Arial" w:hAnsi="Arial"/>
          <w:sz w:val="16"/>
          <w:szCs w:val="16"/>
          <w:color w:val="auto"/>
        </w:rPr>
        <w:t>would also be made. These adjustments would be based on the fair market value of the interests or the property distributed and any gain or loss would be allocated to the unitholders and the general partner in the same way that a gain or loss is allocated upon liquidation. If positive interim adjustments are made to the capital accounts, any subsequent negative adjustments to the capital accounts resulting from our issuance of additional interests, distributions of property, or upon our liquidation, would be allocated in a way that results, to the extent possible, in the capital account balances of the general partner equaling the amount which would have been the general partner’s capital account balances if no prior positive adjustments to the capital accounts had been made.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PARTNERSHIP AGREEMENT</w:t>
      </w:r>
    </w:p>
    <w:p>
      <w:pPr>
        <w:spacing w:after="0" w:line="117" w:lineRule="exact"/>
        <w:rPr>
          <w:sz w:val="20"/>
          <w:szCs w:val="20"/>
          <w:color w:val="auto"/>
        </w:rPr>
      </w:pPr>
    </w:p>
    <w:p>
      <w:pPr>
        <w:ind w:right="40" w:firstLine="219"/>
        <w:spacing w:after="0" w:line="270" w:lineRule="auto"/>
        <w:rPr>
          <w:sz w:val="20"/>
          <w:szCs w:val="20"/>
          <w:color w:val="auto"/>
        </w:rPr>
      </w:pPr>
      <w:r>
        <w:rPr>
          <w:rFonts w:ascii="Arial" w:cs="Arial" w:eastAsia="Arial" w:hAnsi="Arial"/>
          <w:sz w:val="18"/>
          <w:szCs w:val="18"/>
          <w:color w:val="auto"/>
        </w:rPr>
        <w:t>The following is a summary of the material provisions of our partnership agreement. The following provisions of our partnership agreement are summarized elsewhere in this prospectus:</w:t>
      </w:r>
    </w:p>
    <w:p>
      <w:pPr>
        <w:spacing w:after="0" w:line="68" w:lineRule="exact"/>
        <w:rPr>
          <w:sz w:val="20"/>
          <w:szCs w:val="20"/>
          <w:color w:val="auto"/>
        </w:rPr>
      </w:pPr>
    </w:p>
    <w:p>
      <w:pPr>
        <w:ind w:left="560" w:hanging="326"/>
        <w:spacing w:after="0"/>
        <w:tabs>
          <w:tab w:leader="none" w:pos="5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distributions of our available cash are described under “Cash Distribution Policy;”</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allocations of taxable income and other tax matters are described under “Material U.S. Federal Income Tax Consequences;” and</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rights of holders of common units are described under “Description of the Common Units.”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117"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Our purpose under our partnership agreement is to serve as a partner of our operating partnerships and to engage in any business activities that may be engaged in by our operating partnerships or that are approved by our general partner. The partnership agreements of our operating partnerships provide that they may engage in any activity that was engaged in by our predecessors at the time of our initial public offering or reasonably related thereto and any other activity approved by our general partner.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of Attorney</w:t>
      </w:r>
    </w:p>
    <w:p>
      <w:pPr>
        <w:spacing w:after="0" w:line="117" w:lineRule="exact"/>
        <w:rPr>
          <w:sz w:val="20"/>
          <w:szCs w:val="20"/>
          <w:color w:val="auto"/>
        </w:rPr>
      </w:pPr>
    </w:p>
    <w:p>
      <w:pPr>
        <w:ind w:firstLine="222"/>
        <w:spacing w:after="0" w:line="306" w:lineRule="auto"/>
        <w:rPr>
          <w:sz w:val="20"/>
          <w:szCs w:val="20"/>
          <w:color w:val="auto"/>
        </w:rPr>
      </w:pPr>
      <w:r>
        <w:rPr>
          <w:rFonts w:ascii="Arial" w:cs="Arial" w:eastAsia="Arial" w:hAnsi="Arial"/>
          <w:sz w:val="16"/>
          <w:szCs w:val="16"/>
          <w:color w:val="auto"/>
        </w:rPr>
        <w:t>Each limited partner, and each person who acquires a unit from a unitholder and executes and delivers a transfer application, grants to our general partner and (if appointed) a liquidator, a power of attorney to, among other things, execute and file documents required for our qualification, continuance or dissolution. The power of attorney also grants the authority for the amendment of, and to make consents and waivers under, our partnership agreement.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Reimbursements of Our General Partner</w:t>
      </w:r>
    </w:p>
    <w:p>
      <w:pPr>
        <w:spacing w:after="0" w:line="117" w:lineRule="exact"/>
        <w:rPr>
          <w:sz w:val="20"/>
          <w:szCs w:val="20"/>
          <w:color w:val="auto"/>
        </w:rPr>
      </w:pPr>
    </w:p>
    <w:p>
      <w:pPr>
        <w:ind w:right="120" w:firstLine="222"/>
        <w:spacing w:after="0" w:line="259" w:lineRule="auto"/>
        <w:rPr>
          <w:sz w:val="20"/>
          <w:szCs w:val="20"/>
          <w:color w:val="auto"/>
        </w:rPr>
      </w:pPr>
      <w:r>
        <w:rPr>
          <w:rFonts w:ascii="Arial" w:cs="Arial" w:eastAsia="Arial" w:hAnsi="Arial"/>
          <w:sz w:val="18"/>
          <w:szCs w:val="18"/>
          <w:color w:val="auto"/>
        </w:rPr>
        <w:t>Our general partner does not receive any compensation for its services as our general partner. It is, however, entitled to be reimbursed for all of its costs incurred in managing and operating our business. Our partnership agreement provides that our general partner will determine the expenses that are allocable to us in any reasonable manner determined by our general partner in its sole discretion.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Additional Securities</w:t>
      </w:r>
    </w:p>
    <w:p>
      <w:pPr>
        <w:spacing w:after="0" w:line="117" w:lineRule="exact"/>
        <w:rPr>
          <w:sz w:val="20"/>
          <w:szCs w:val="20"/>
          <w:color w:val="auto"/>
        </w:rPr>
      </w:pPr>
    </w:p>
    <w:p>
      <w:pPr>
        <w:ind w:right="40" w:firstLine="222"/>
        <w:spacing w:after="0" w:line="259" w:lineRule="auto"/>
        <w:rPr>
          <w:sz w:val="20"/>
          <w:szCs w:val="20"/>
          <w:color w:val="auto"/>
        </w:rPr>
      </w:pPr>
      <w:r>
        <w:rPr>
          <w:rFonts w:ascii="Arial" w:cs="Arial" w:eastAsia="Arial" w:hAnsi="Arial"/>
          <w:sz w:val="18"/>
          <w:szCs w:val="18"/>
          <w:color w:val="auto"/>
        </w:rPr>
        <w:t>Our partnership agreement authorizes us to issue an unlimited number of additional limited partner interests and other equity securities that are equal in rank with, or junior to, our common units on terms and conditions established by our general partner in its sole discretion without the approval of any limited partners.</w:t>
      </w:r>
    </w:p>
    <w:p>
      <w:pPr>
        <w:spacing w:after="0" w:line="77" w:lineRule="exact"/>
        <w:rPr>
          <w:sz w:val="20"/>
          <w:szCs w:val="20"/>
          <w:color w:val="auto"/>
        </w:rPr>
      </w:pPr>
    </w:p>
    <w:p>
      <w:pPr>
        <w:ind w:right="40" w:firstLine="222"/>
        <w:spacing w:after="0" w:line="259" w:lineRule="auto"/>
        <w:rPr>
          <w:sz w:val="20"/>
          <w:szCs w:val="20"/>
          <w:color w:val="auto"/>
        </w:rPr>
      </w:pPr>
      <w:r>
        <w:rPr>
          <w:rFonts w:ascii="Arial" w:cs="Arial" w:eastAsia="Arial" w:hAnsi="Arial"/>
          <w:sz w:val="18"/>
          <w:szCs w:val="18"/>
          <w:color w:val="auto"/>
        </w:rPr>
        <w:t>It is likely that we will fund acquisitions through the issuance of additional common units or other equity securities. Holders of any additional common units we issue will be entitled to share in our cash distributions equally with the then-existing holders of common units. In addition, the issuance of additional partnership interests may dilute the value of the interests of the then-existing holders of common units in our net assets.</w:t>
      </w:r>
    </w:p>
    <w:p>
      <w:pPr>
        <w:spacing w:after="0" w:line="77" w:lineRule="exact"/>
        <w:rPr>
          <w:sz w:val="20"/>
          <w:szCs w:val="20"/>
          <w:color w:val="auto"/>
        </w:rPr>
      </w:pPr>
    </w:p>
    <w:p>
      <w:pPr>
        <w:ind w:right="600" w:firstLine="222"/>
        <w:spacing w:after="0" w:line="270" w:lineRule="auto"/>
        <w:rPr>
          <w:sz w:val="20"/>
          <w:szCs w:val="20"/>
          <w:color w:val="auto"/>
        </w:rPr>
      </w:pPr>
      <w:r>
        <w:rPr>
          <w:rFonts w:ascii="Arial" w:cs="Arial" w:eastAsia="Arial" w:hAnsi="Arial"/>
          <w:sz w:val="18"/>
          <w:szCs w:val="18"/>
          <w:color w:val="auto"/>
        </w:rPr>
        <w:t>In accordance with Delaware law and the provisions of our partnership agreement, we may also issue additional partnership interests that, in the sole discretion of our general partner, may have special voting rights to which common units are not entitled.</w:t>
      </w:r>
    </w:p>
    <w:p>
      <w:pPr>
        <w:spacing w:after="0" w:line="68" w:lineRule="exact"/>
        <w:rPr>
          <w:sz w:val="20"/>
          <w:szCs w:val="20"/>
          <w:color w:val="auto"/>
        </w:rPr>
      </w:pPr>
    </w:p>
    <w:p>
      <w:pPr>
        <w:ind w:right="100" w:firstLine="222"/>
        <w:spacing w:after="0" w:line="255" w:lineRule="auto"/>
        <w:rPr>
          <w:sz w:val="20"/>
          <w:szCs w:val="20"/>
          <w:color w:val="auto"/>
        </w:rPr>
      </w:pPr>
      <w:r>
        <w:rPr>
          <w:rFonts w:ascii="Arial" w:cs="Arial" w:eastAsia="Arial" w:hAnsi="Arial"/>
          <w:sz w:val="18"/>
          <w:szCs w:val="18"/>
          <w:color w:val="auto"/>
        </w:rPr>
        <w:t>Our general partner has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 necessary to maintain its percentage interests in us that existed immediately prior to the issuance. The holders of common units will not have preemptive rights to acquire additional common units or other partnership interests in us.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Our Partnership Agreement</w:t>
      </w:r>
    </w:p>
    <w:p>
      <w:pPr>
        <w:spacing w:after="0" w:line="117" w:lineRule="exact"/>
        <w:rPr>
          <w:sz w:val="20"/>
          <w:szCs w:val="20"/>
          <w:color w:val="auto"/>
        </w:rPr>
      </w:pPr>
    </w:p>
    <w:p>
      <w:pPr>
        <w:ind w:right="120" w:firstLine="213"/>
        <w:spacing w:after="0" w:line="253" w:lineRule="auto"/>
        <w:rPr>
          <w:sz w:val="20"/>
          <w:szCs w:val="20"/>
          <w:color w:val="auto"/>
        </w:rPr>
      </w:pPr>
      <w:r>
        <w:rPr>
          <w:rFonts w:ascii="Arial" w:cs="Arial" w:eastAsia="Arial" w:hAnsi="Arial"/>
          <w:sz w:val="18"/>
          <w:szCs w:val="18"/>
          <w:color w:val="auto"/>
        </w:rPr>
        <w:t>Amendments to our partnership agreement may be proposed only by our general partner. Any amendment that materially and adversely affects the rights or preferences of any type or class of limited partner interests in relation to other types or classes of limited partner interests or our general partner interest will require the approval of at least a majority of the type or class of limited partner interests or general partner interests so affected. However, in some circumstances, more particularly described in our partnership agreement, our general partner may make amendments to our partnership agreement without the approval of our limited partners or assignees.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or Removal of Our General Partner</w:t>
      </w:r>
    </w:p>
    <w:p>
      <w:pPr>
        <w:spacing w:after="0" w:line="117" w:lineRule="exact"/>
        <w:rPr>
          <w:sz w:val="20"/>
          <w:szCs w:val="20"/>
          <w:color w:val="auto"/>
        </w:rPr>
      </w:pPr>
    </w:p>
    <w:p>
      <w:pPr>
        <w:ind w:right="120" w:firstLine="222"/>
        <w:spacing w:after="0" w:line="269" w:lineRule="auto"/>
        <w:rPr>
          <w:sz w:val="20"/>
          <w:szCs w:val="20"/>
          <w:color w:val="auto"/>
        </w:rPr>
      </w:pPr>
      <w:r>
        <w:rPr>
          <w:rFonts w:ascii="Arial" w:cs="Arial" w:eastAsia="Arial" w:hAnsi="Arial"/>
          <w:sz w:val="17"/>
          <w:szCs w:val="17"/>
          <w:color w:val="auto"/>
        </w:rPr>
        <w:t>Our general partner has agreed not to withdraw voluntarily as our general partner prior to December 31, 2008 without obtaining the approval of the holders of a majority of our outstanding common units, excluding those held by our general partner and its affiliates, and furnishing an opinion of counsel regarding limited liability and tax matters. On or after December 31, 2008, our general partner may withdraw as general partner without first obtaining approval of any unitholder by giving 90 days’ written notice, and that withdrawal will not constitute a violation of our partnership agreement. In addition, our general partner may withdraw without unitholder approval upon 90 days’ notice to our limited partners if at least 50% of our outstanding common units are held or controlled by one person and its affiliates other than our general partner and its affiliates.</w:t>
      </w:r>
    </w:p>
    <w:p>
      <w:pPr>
        <w:spacing w:after="0" w:line="74" w:lineRule="exact"/>
        <w:rPr>
          <w:sz w:val="20"/>
          <w:szCs w:val="20"/>
          <w:color w:val="auto"/>
        </w:rPr>
      </w:pPr>
    </w:p>
    <w:p>
      <w:pPr>
        <w:ind w:right="20" w:firstLine="222"/>
        <w:spacing w:after="0" w:line="253" w:lineRule="auto"/>
        <w:rPr>
          <w:sz w:val="20"/>
          <w:szCs w:val="20"/>
          <w:color w:val="auto"/>
        </w:rPr>
      </w:pPr>
      <w:r>
        <w:rPr>
          <w:rFonts w:ascii="Arial" w:cs="Arial" w:eastAsia="Arial" w:hAnsi="Arial"/>
          <w:sz w:val="18"/>
          <w:szCs w:val="18"/>
          <w:color w:val="auto"/>
        </w:rPr>
        <w:t>Upon the voluntary withdrawal of our general partner, the holders of a majority of our outstanding common units, excluding the common units held by the withdrawing general partner and its affiliates, may elect a successor to the withdrawing general partner. If a successor is not elected, or is elected but an opinion of counsel regarding limited liability and tax matters cannot be obtained, we will be dissolved, wound up and liquidated, unless within 90 days after that withdrawal, the holders of a majority of our outstanding units, excluding the common units held by the withdrawing general partner and its affiliates, agree to continue our business and to appoint a successor general partner.</w:t>
      </w:r>
    </w:p>
    <w:p>
      <w:pPr>
        <w:spacing w:after="0" w:line="84" w:lineRule="exact"/>
        <w:rPr>
          <w:sz w:val="20"/>
          <w:szCs w:val="20"/>
          <w:color w:val="auto"/>
        </w:rPr>
      </w:pPr>
    </w:p>
    <w:p>
      <w:pPr>
        <w:ind w:right="60" w:firstLine="222"/>
        <w:spacing w:after="0" w:line="255" w:lineRule="auto"/>
        <w:rPr>
          <w:sz w:val="20"/>
          <w:szCs w:val="20"/>
          <w:color w:val="auto"/>
        </w:rPr>
      </w:pPr>
      <w:r>
        <w:rPr>
          <w:rFonts w:ascii="Arial" w:cs="Arial" w:eastAsia="Arial" w:hAnsi="Arial"/>
          <w:sz w:val="18"/>
          <w:szCs w:val="18"/>
          <w:color w:val="auto"/>
        </w:rPr>
        <w:t>Our general partner may not be removed unless that removal is approved by the vote of the holders of not less than two-thirds of our outstanding units, including units held by our general partner and its affiliates, and we receive an opinion of counsel regarding limited liability and tax matters. Any removal of this kind is also subject to the approval of a successor general partner by the vote of the holders of a majority of our outstanding common units, including those held by our general partner and its affiliates.</w:t>
      </w:r>
    </w:p>
    <w:p>
      <w:pPr>
        <w:spacing w:after="0" w:line="82" w:lineRule="exact"/>
        <w:rPr>
          <w:sz w:val="20"/>
          <w:szCs w:val="20"/>
          <w:color w:val="auto"/>
        </w:rPr>
      </w:pPr>
    </w:p>
    <w:p>
      <w:pPr>
        <w:ind w:firstLine="219"/>
        <w:spacing w:after="0" w:line="300" w:lineRule="auto"/>
        <w:rPr>
          <w:sz w:val="20"/>
          <w:szCs w:val="20"/>
          <w:color w:val="auto"/>
        </w:rPr>
      </w:pPr>
      <w:r>
        <w:rPr>
          <w:rFonts w:ascii="Arial" w:cs="Arial" w:eastAsia="Arial" w:hAnsi="Arial"/>
          <w:sz w:val="17"/>
          <w:szCs w:val="17"/>
          <w:color w:val="auto"/>
        </w:rPr>
        <w:t>While our partnership agreement limits the ability of our general partner to withdraw, it allows the general partner interest and incentive distribution rights to be transferred to an affiliate or to a third party in conjunction with a merger or sale of all or substantially all of the assets of our general partner.</w:t>
      </w:r>
    </w:p>
    <w:p>
      <w:pPr>
        <w:spacing w:after="0" w:line="45" w:lineRule="exact"/>
        <w:rPr>
          <w:sz w:val="20"/>
          <w:szCs w:val="20"/>
          <w:color w:val="auto"/>
        </w:rPr>
      </w:pPr>
    </w:p>
    <w:p>
      <w:pPr>
        <w:ind w:right="120" w:firstLine="222"/>
        <w:spacing w:after="0" w:line="270" w:lineRule="auto"/>
        <w:rPr>
          <w:sz w:val="20"/>
          <w:szCs w:val="20"/>
          <w:color w:val="auto"/>
        </w:rPr>
      </w:pPr>
      <w:r>
        <w:rPr>
          <w:rFonts w:ascii="Arial" w:cs="Arial" w:eastAsia="Arial" w:hAnsi="Arial"/>
          <w:sz w:val="18"/>
          <w:szCs w:val="18"/>
          <w:color w:val="auto"/>
        </w:rPr>
        <w:t>In addition, our partnership agreement expressly permits the sale, in whole or in part, of the ownership of our general partner. Our general partner may also transfer, in whole or in part, the common units it owns.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and Distribution of Proceeds</w:t>
      </w:r>
    </w:p>
    <w:p>
      <w:pPr>
        <w:spacing w:after="0" w:line="117" w:lineRule="exact"/>
        <w:rPr>
          <w:sz w:val="20"/>
          <w:szCs w:val="20"/>
          <w:color w:val="auto"/>
        </w:rPr>
      </w:pPr>
    </w:p>
    <w:p>
      <w:pPr>
        <w:ind w:right="240" w:firstLine="222"/>
        <w:spacing w:after="0" w:line="259" w:lineRule="auto"/>
        <w:rPr>
          <w:sz w:val="20"/>
          <w:szCs w:val="20"/>
          <w:color w:val="auto"/>
        </w:rPr>
      </w:pPr>
      <w:r>
        <w:rPr>
          <w:rFonts w:ascii="Arial" w:cs="Arial" w:eastAsia="Arial" w:hAnsi="Arial"/>
          <w:sz w:val="18"/>
          <w:szCs w:val="18"/>
          <w:color w:val="auto"/>
        </w:rPr>
        <w:t>Upon our dissolution, unless we are reconstituted and continued as a new limited partnership, the person authorized to wind up our affairs (the liquidator) will, acting with all the powers of our general partner that the liquidator deems necessary or desirable in its good faith judgment, liquidate our assets. The proceeds of the liquidation will be applied as follows:</w:t>
      </w:r>
    </w:p>
    <w:p>
      <w:pPr>
        <w:spacing w:after="0" w:line="77" w:lineRule="exact"/>
        <w:rPr>
          <w:sz w:val="20"/>
          <w:szCs w:val="20"/>
          <w:color w:val="auto"/>
        </w:rPr>
      </w:pPr>
    </w:p>
    <w:p>
      <w:pPr>
        <w:ind w:left="560" w:hanging="326"/>
        <w:spacing w:after="0"/>
        <w:tabs>
          <w:tab w:leader="none" w:pos="5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first, towards the payment of all of our creditors and the creation of a reserve for contingent liabilities; and</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then, to all partners in accordance with the positive balance in the respective capital accounts.</w:t>
      </w:r>
    </w:p>
    <w:p>
      <w:pPr>
        <w:spacing w:after="0" w:line="113" w:lineRule="exact"/>
        <w:rPr>
          <w:sz w:val="20"/>
          <w:szCs w:val="20"/>
          <w:color w:val="auto"/>
        </w:rPr>
      </w:pPr>
    </w:p>
    <w:p>
      <w:pPr>
        <w:ind w:right="100" w:firstLine="222"/>
        <w:spacing w:after="0" w:line="259" w:lineRule="auto"/>
        <w:rPr>
          <w:sz w:val="20"/>
          <w:szCs w:val="20"/>
          <w:color w:val="auto"/>
        </w:rPr>
      </w:pPr>
      <w:r>
        <w:rPr>
          <w:rFonts w:ascii="Arial" w:cs="Arial" w:eastAsia="Arial" w:hAnsi="Arial"/>
          <w:sz w:val="18"/>
          <w:szCs w:val="18"/>
          <w:color w:val="auto"/>
        </w:rPr>
        <w:t>Under some circumstances and subject to some limitations, the liquidator may defer liquidation or distribution of our assets for a reasonable period of time. If the liquidator determines that a sale would be impractical or would cause a loss to our partners, our general partner may distribute assets in kind to our partners.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Management Provisions</w:t>
      </w:r>
    </w:p>
    <w:p>
      <w:pPr>
        <w:spacing w:after="0" w:line="117" w:lineRule="exact"/>
        <w:rPr>
          <w:sz w:val="20"/>
          <w:szCs w:val="20"/>
          <w:color w:val="auto"/>
        </w:rPr>
      </w:pPr>
    </w:p>
    <w:p>
      <w:pPr>
        <w:ind w:right="500" w:firstLine="222"/>
        <w:spacing w:after="0" w:line="270" w:lineRule="auto"/>
        <w:rPr>
          <w:sz w:val="20"/>
          <w:szCs w:val="20"/>
          <w:color w:val="auto"/>
        </w:rPr>
      </w:pPr>
      <w:r>
        <w:rPr>
          <w:rFonts w:ascii="Arial" w:cs="Arial" w:eastAsia="Arial" w:hAnsi="Arial"/>
          <w:sz w:val="18"/>
          <w:szCs w:val="18"/>
          <w:color w:val="auto"/>
        </w:rPr>
        <w:t>Our partnership agreement contains the following specific provisions that are intended to discourage a person or group from attempting to remove our general partner or otherwise change management:</w:t>
      </w:r>
    </w:p>
    <w:p>
      <w:pPr>
        <w:spacing w:after="0" w:line="68" w:lineRule="exact"/>
        <w:rPr>
          <w:sz w:val="20"/>
          <w:szCs w:val="20"/>
          <w:color w:val="auto"/>
        </w:rPr>
      </w:pPr>
    </w:p>
    <w:p>
      <w:pPr>
        <w:ind w:left="560" w:hanging="326"/>
        <w:spacing w:after="0" w:line="270" w:lineRule="auto"/>
        <w:tabs>
          <w:tab w:leader="none" w:pos="5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generally, if a person acquires 20% or more of any class of units then outstanding other than from our general partner or its affiliates, the units owned by such person cannot be voted on any matter; and</w:t>
      </w:r>
    </w:p>
    <w:p>
      <w:pPr>
        <w:spacing w:after="0" w:line="81" w:lineRule="exact"/>
        <w:rPr>
          <w:rFonts w:ascii="Arial" w:cs="Arial" w:eastAsia="Arial" w:hAnsi="Arial"/>
          <w:sz w:val="18"/>
          <w:szCs w:val="18"/>
          <w:b w:val="1"/>
          <w:bCs w:val="1"/>
          <w:color w:val="auto"/>
        </w:rPr>
      </w:pPr>
    </w:p>
    <w:p>
      <w:pPr>
        <w:ind w:left="560" w:right="360" w:hanging="326"/>
        <w:spacing w:after="0" w:line="270" w:lineRule="auto"/>
        <w:tabs>
          <w:tab w:leader="none" w:pos="5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provisions limiting the ability of unitholders to call meetings or to acquire information about our operations, as well as other provisions limiting the unitholders’ ability to influence the manner or direction of 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Call Right</w:t>
      </w:r>
    </w:p>
    <w:p>
      <w:pPr>
        <w:spacing w:after="0" w:line="117" w:lineRule="exact"/>
        <w:rPr>
          <w:sz w:val="20"/>
          <w:szCs w:val="20"/>
          <w:color w:val="auto"/>
        </w:rPr>
      </w:pPr>
    </w:p>
    <w:p>
      <w:pPr>
        <w:ind w:right="80" w:firstLine="222"/>
        <w:spacing w:after="0" w:line="268" w:lineRule="auto"/>
        <w:rPr>
          <w:sz w:val="20"/>
          <w:szCs w:val="20"/>
          <w:color w:val="auto"/>
        </w:rPr>
      </w:pPr>
      <w:r>
        <w:rPr>
          <w:rFonts w:ascii="Arial" w:cs="Arial" w:eastAsia="Arial" w:hAnsi="Arial"/>
          <w:sz w:val="17"/>
          <w:szCs w:val="17"/>
          <w:color w:val="auto"/>
        </w:rPr>
        <w:t>If at any time our general partner and its affiliates own 80% or more of the issued and outstanding limited partner interests of any class, our general partner will have the right to purchase all, but not less than all, of the outstanding limited partner interests of that class that are held by non-affiliated persons. The record date for determining ownership of the limited partner interests would be selected by our general partner on at least 10 but not more than 60 days’ notice. The purchase price in the event of a purchase under these provisions would be the greater of (1) the current market price (as defined in our agreement) of the limited partner interests of the class as of the date three days prior to the date that notice is mailed to the limited partners as provided in our partnership agreement and (2) the highest cash price paid by our general partner or any of its affiliates for any limited partner interest of the class purchased within the 90 days preceding the date our general partner mails notice of its election to purchase the units.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117" w:lineRule="exact"/>
        <w:rPr>
          <w:sz w:val="20"/>
          <w:szCs w:val="20"/>
          <w:color w:val="auto"/>
        </w:rPr>
      </w:pPr>
    </w:p>
    <w:p>
      <w:pPr>
        <w:ind w:right="20" w:firstLine="222"/>
        <w:spacing w:after="0" w:line="268" w:lineRule="auto"/>
        <w:rPr>
          <w:sz w:val="20"/>
          <w:szCs w:val="20"/>
          <w:color w:val="auto"/>
        </w:rPr>
      </w:pPr>
      <w:r>
        <w:rPr>
          <w:rFonts w:ascii="Arial" w:cs="Arial" w:eastAsia="Arial" w:hAnsi="Arial"/>
          <w:sz w:val="17"/>
          <w:szCs w:val="17"/>
          <w:color w:val="auto"/>
        </w:rPr>
        <w:t>Under our partnership agreement, in most circumstances, we will indemnify our general partner, its affiliates and their officers and directors to the fullest extent permitted by law, from and against all losses, claims or damages any of them may suffer by reason of their status as general partner, officer or director, as long as the person seeking indemnity acted in good faith and in a manner reasonably believed to be in, or (in the case of an indemnitee other than the general partner) not opposed to, our best interest. Any indemnification under these provisions will only be out of our assets. Our general partner will not be personally liable for, or have any obligation to contribute or loan funds or assets to us to enable us to effectuate any indemnification. We are authorized to purchase insurance against liabilities asserted against and expenses incurred by persons for our activities, regardless of whether we would have the power to indemnify the person against liabilities under our partnership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17" w:lineRule="exact"/>
        <w:rPr>
          <w:sz w:val="20"/>
          <w:szCs w:val="20"/>
          <w:color w:val="auto"/>
        </w:rPr>
      </w:pPr>
    </w:p>
    <w:p>
      <w:pPr>
        <w:ind w:right="100" w:firstLine="222"/>
        <w:spacing w:after="0" w:line="306" w:lineRule="auto"/>
        <w:rPr>
          <w:sz w:val="20"/>
          <w:szCs w:val="20"/>
          <w:color w:val="auto"/>
        </w:rPr>
      </w:pPr>
      <w:r>
        <w:rPr>
          <w:rFonts w:ascii="Arial" w:cs="Arial" w:eastAsia="Arial" w:hAnsi="Arial"/>
          <w:sz w:val="16"/>
          <w:szCs w:val="16"/>
          <w:color w:val="auto"/>
        </w:rPr>
        <w:t>Under our partnership agreement, we have agreed to register for resale under the Securities Act and applicable state securities laws any common units, or other partnership securities proposed to be sold by our general partner or any of its affiliates or their assignees if an exemption from the registration requirements is not otherwise available. We are obligated to pay all expenses incidental to the registration, excluding underwriting discounts and commissions.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117" w:lineRule="exact"/>
        <w:rPr>
          <w:sz w:val="20"/>
          <w:szCs w:val="20"/>
          <w:color w:val="auto"/>
        </w:rPr>
      </w:pPr>
    </w:p>
    <w:p>
      <w:pPr>
        <w:ind w:right="160" w:firstLine="219"/>
        <w:spacing w:after="0" w:line="292" w:lineRule="auto"/>
        <w:rPr>
          <w:sz w:val="20"/>
          <w:szCs w:val="20"/>
          <w:color w:val="auto"/>
        </w:rPr>
      </w:pPr>
      <w:r>
        <w:rPr>
          <w:rFonts w:ascii="Arial" w:cs="Arial" w:eastAsia="Arial" w:hAnsi="Arial"/>
          <w:sz w:val="16"/>
          <w:szCs w:val="16"/>
          <w:color w:val="auto"/>
        </w:rPr>
        <w:t>This section is a summary of the material U.S. federal income tax consequences that may be relevant to prospective unitholders who are individual citizens or residents of the United States and, unless otherwise noted in the following discussion, is the opinion of Vinson &amp; Elkins L.L.P., counsel to our general partner and us, insofar as it relates to legal conclusions with respect to matters of United States federal income tax law. This section is based upon current provisions of the Internal Revenue Code, existing and proposed regulations and current administrative rulings and court decisions, all of which are subject to change. Later changes in these authorities may cause the tax consequences to vary substantially from the consequences described below.</w:t>
      </w:r>
    </w:p>
    <w:p>
      <w:pPr>
        <w:spacing w:after="0" w:line="56" w:lineRule="exact"/>
        <w:rPr>
          <w:sz w:val="20"/>
          <w:szCs w:val="20"/>
          <w:color w:val="auto"/>
        </w:rPr>
      </w:pPr>
    </w:p>
    <w:p>
      <w:pPr>
        <w:ind w:right="260" w:firstLine="219"/>
        <w:spacing w:after="0" w:line="271" w:lineRule="auto"/>
        <w:rPr>
          <w:sz w:val="20"/>
          <w:szCs w:val="20"/>
          <w:color w:val="auto"/>
        </w:rPr>
      </w:pPr>
      <w:r>
        <w:rPr>
          <w:rFonts w:ascii="Arial" w:cs="Arial" w:eastAsia="Arial" w:hAnsi="Arial"/>
          <w:sz w:val="17"/>
          <w:szCs w:val="17"/>
          <w:color w:val="auto"/>
        </w:rPr>
        <w:t>The following discussion does not comment on all federal income tax matters affecting us or our unitholders. Moreover, the discussion focuses on unitholders who are individual citizens or residents of the United States and has only limited application to corporations, estates, trusts, nonresident aliens or other unitholders subject to specialized tax treatment, such as tax-exempt institutions, foreign persons, individual retirement accounts (IRAs), real estate investment trusts (REITs) or mutual funds. Accordingly, we urge each prospective unitholder to consult, and depend on, his own tax advisor in analyzing the federal, state, local and foreign tax consequences particular to him of the ownership or disposition of common units.</w:t>
      </w:r>
    </w:p>
    <w:p>
      <w:pPr>
        <w:spacing w:after="0" w:line="71" w:lineRule="exact"/>
        <w:rPr>
          <w:sz w:val="20"/>
          <w:szCs w:val="20"/>
          <w:color w:val="auto"/>
        </w:rPr>
      </w:pPr>
    </w:p>
    <w:p>
      <w:pPr>
        <w:ind w:right="240" w:firstLine="213"/>
        <w:spacing w:after="0" w:line="270" w:lineRule="auto"/>
        <w:rPr>
          <w:sz w:val="20"/>
          <w:szCs w:val="20"/>
          <w:color w:val="auto"/>
        </w:rPr>
      </w:pPr>
      <w:r>
        <w:rPr>
          <w:rFonts w:ascii="Arial" w:cs="Arial" w:eastAsia="Arial" w:hAnsi="Arial"/>
          <w:sz w:val="18"/>
          <w:szCs w:val="18"/>
          <w:color w:val="auto"/>
        </w:rPr>
        <w:t>All statements as to matters of law and legal conclusions, but not as to factual matters, contained in this section, unless otherwise noted, are the opinion of Vinson &amp; Elkins L.L.P. and are based on the accuracy of the representations made by us.</w:t>
      </w:r>
    </w:p>
    <w:p>
      <w:pPr>
        <w:spacing w:after="0" w:line="68" w:lineRule="exact"/>
        <w:rPr>
          <w:sz w:val="20"/>
          <w:szCs w:val="20"/>
          <w:color w:val="auto"/>
        </w:rPr>
      </w:pPr>
    </w:p>
    <w:p>
      <w:pPr>
        <w:ind w:right="20" w:firstLine="222"/>
        <w:spacing w:after="0" w:line="287" w:lineRule="auto"/>
        <w:rPr>
          <w:sz w:val="20"/>
          <w:szCs w:val="20"/>
          <w:color w:val="auto"/>
        </w:rPr>
      </w:pPr>
      <w:r>
        <w:rPr>
          <w:rFonts w:ascii="Arial" w:cs="Arial" w:eastAsia="Arial" w:hAnsi="Arial"/>
          <w:sz w:val="16"/>
          <w:szCs w:val="16"/>
          <w:color w:val="auto"/>
        </w:rPr>
        <w:t>No ruling has been or will be requested from the IRS regarding any matter affecting us or prospective unitholders. Instead, we will rely on opinions of Vinson &amp; Elkins L.L.P. Unlike a ruling, an opinion of counsel represents only that counsel’s best legal judgment and does not bind the IRS or the courts. Accordingly, the opinions and statements made herein may not be sustained by a court if contested by the IRS. Any contest of this sort with the IRS may materially and adversely impact the market for the common units and the prices at which common units trade. In addition, the costs of any contest with the IRS, principally legal, accounting and related fees, will result in a reduction in cash available for distribution to our unitholders and our general partner and thus will be borne directly or indirectly by our unitholders and our general partner. Furthermore, the tax treatment of us, or an investment in us, may be significantly modified by future legislative or administrative changes or court decisions. Any modifications may or may not be retroactively applied.</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For the reasons described below, Vinson &amp; Elkins L.L.P. has not rendered an opinion with respect to the following specific federal income tax issues:</w:t>
      </w:r>
    </w:p>
    <w:p>
      <w:pPr>
        <w:spacing w:after="0" w:line="125" w:lineRule="exact"/>
        <w:rPr>
          <w:sz w:val="20"/>
          <w:szCs w:val="20"/>
          <w:color w:val="auto"/>
        </w:rPr>
      </w:pPr>
    </w:p>
    <w:p>
      <w:pPr>
        <w:ind w:firstLine="229"/>
        <w:spacing w:after="0" w:line="270" w:lineRule="auto"/>
        <w:tabs>
          <w:tab w:leader="none" w:pos="47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treatment of a unitholder whose common units are loaned to a short seller to cover a short sale of common units (please read “—Tax Consequences of Unit Ownership—Treatment of Short Sales”);</w:t>
      </w:r>
    </w:p>
    <w:p>
      <w:pPr>
        <w:spacing w:after="0" w:line="68" w:lineRule="exact"/>
        <w:rPr>
          <w:rFonts w:ascii="Arial" w:cs="Arial" w:eastAsia="Arial" w:hAnsi="Arial"/>
          <w:sz w:val="18"/>
          <w:szCs w:val="18"/>
          <w:color w:val="auto"/>
        </w:rPr>
      </w:pPr>
    </w:p>
    <w:p>
      <w:pPr>
        <w:ind w:right="220" w:firstLine="229"/>
        <w:spacing w:after="0" w:line="270" w:lineRule="auto"/>
        <w:tabs>
          <w:tab w:leader="none" w:pos="474"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our monthly convention for allocating taxable income and losses is permitted by existing Treasury Regulations (please read “—Disposition of Common Units—Allocations Between Transferors and Transferees”); and</w:t>
      </w:r>
    </w:p>
    <w:p>
      <w:pPr>
        <w:spacing w:after="0" w:line="68" w:lineRule="exact"/>
        <w:rPr>
          <w:rFonts w:ascii="Arial" w:cs="Arial" w:eastAsia="Arial" w:hAnsi="Arial"/>
          <w:sz w:val="18"/>
          <w:szCs w:val="18"/>
          <w:color w:val="auto"/>
        </w:rPr>
      </w:pPr>
    </w:p>
    <w:p>
      <w:pPr>
        <w:ind w:right="340" w:firstLine="229"/>
        <w:spacing w:after="0" w:line="270" w:lineRule="auto"/>
        <w:tabs>
          <w:tab w:leader="none" w:pos="474"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our method for depreciating Section 743 adjustments is sustainable in certain cases (please read “—Tax Consequences of Unit Ownership— Section 754 Election”).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 Status</w:t>
      </w:r>
    </w:p>
    <w:p>
      <w:pPr>
        <w:spacing w:after="0" w:line="117" w:lineRule="exact"/>
        <w:rPr>
          <w:sz w:val="20"/>
          <w:szCs w:val="20"/>
          <w:color w:val="auto"/>
        </w:rPr>
      </w:pPr>
    </w:p>
    <w:p>
      <w:pPr>
        <w:ind w:right="60" w:firstLine="213"/>
        <w:spacing w:after="0" w:line="255" w:lineRule="auto"/>
        <w:rPr>
          <w:sz w:val="20"/>
          <w:szCs w:val="20"/>
          <w:color w:val="auto"/>
        </w:rPr>
      </w:pPr>
      <w:r>
        <w:rPr>
          <w:rFonts w:ascii="Arial" w:cs="Arial" w:eastAsia="Arial" w:hAnsi="Arial"/>
          <w:sz w:val="18"/>
          <w:szCs w:val="18"/>
          <w:color w:val="auto"/>
        </w:rPr>
        <w:t>A partnership is not a taxable entity and incurs no federal income tax liability. Instead, each partner of a partnership is required to take into account his share of items of income, gain, loss and deduction of the partnership in computing his federal income tax liability, regardless of whether cash distributions are made to him by the partnership. Distributions by a partnership to a partner are generally not taxable unless the amount of cash distributed is in excess of the partner’s adjusted basis in his partnership interest.</w:t>
      </w:r>
    </w:p>
    <w:p>
      <w:pPr>
        <w:spacing w:after="0" w:line="82" w:lineRule="exact"/>
        <w:rPr>
          <w:sz w:val="20"/>
          <w:szCs w:val="20"/>
          <w:color w:val="auto"/>
        </w:rPr>
      </w:pPr>
    </w:p>
    <w:p>
      <w:pPr>
        <w:ind w:right="180" w:firstLine="222"/>
        <w:spacing w:after="0" w:line="259" w:lineRule="auto"/>
        <w:rPr>
          <w:sz w:val="20"/>
          <w:szCs w:val="20"/>
          <w:color w:val="auto"/>
        </w:rPr>
      </w:pPr>
      <w:r>
        <w:rPr>
          <w:rFonts w:ascii="Arial" w:cs="Arial" w:eastAsia="Arial" w:hAnsi="Arial"/>
          <w:sz w:val="18"/>
          <w:szCs w:val="18"/>
          <w:color w:val="auto"/>
        </w:rPr>
        <w:t>No ruling has been or will be sought from the IRS (and the IRS has made no determination) as to our status or the status of the operating partnerships as partnerships for federal income tax purposes, nor as to whether our operations generate “qualifying income” under Section 7704 of the Code. Instead, we will rely on the opinion of Vinson &amp;</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Elkins L.L.P. on such matters. Vinson &amp; Elkins L.L.P. is of the opinion that, based upon the Internal Revenue Code, regulations thereunder, published revenue rulings and court decisions and the representations described below, we and the operating partnerships will be classified as a partnership for federal income tax purposes.</w:t>
      </w:r>
    </w:p>
    <w:p>
      <w:pPr>
        <w:spacing w:after="0" w:line="77" w:lineRule="exact"/>
        <w:rPr>
          <w:sz w:val="20"/>
          <w:szCs w:val="20"/>
          <w:color w:val="auto"/>
        </w:rPr>
      </w:pPr>
    </w:p>
    <w:p>
      <w:pPr>
        <w:ind w:right="280" w:firstLine="222"/>
        <w:spacing w:after="0" w:line="270" w:lineRule="auto"/>
        <w:rPr>
          <w:sz w:val="20"/>
          <w:szCs w:val="20"/>
          <w:color w:val="auto"/>
        </w:rPr>
      </w:pPr>
      <w:r>
        <w:rPr>
          <w:rFonts w:ascii="Arial" w:cs="Arial" w:eastAsia="Arial" w:hAnsi="Arial"/>
          <w:sz w:val="18"/>
          <w:szCs w:val="18"/>
          <w:color w:val="auto"/>
        </w:rPr>
        <w:t>In rendering its opinion, Vinson &amp; Elkins L.L.P. has relied on factual representations made by us and the general partner. The representations made by us and our general partner upon which counsel has relied are:</w:t>
      </w:r>
    </w:p>
    <w:p>
      <w:pPr>
        <w:spacing w:after="0" w:line="68" w:lineRule="exact"/>
        <w:rPr>
          <w:sz w:val="20"/>
          <w:szCs w:val="20"/>
          <w:color w:val="auto"/>
        </w:rPr>
      </w:pPr>
    </w:p>
    <w:p>
      <w:pPr>
        <w:ind w:left="480" w:hanging="251"/>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neither we nor the operating entities will elect to be treated as a corporation;</w:t>
      </w:r>
    </w:p>
    <w:p>
      <w:pPr>
        <w:spacing w:after="0" w:line="113" w:lineRule="exact"/>
        <w:rPr>
          <w:rFonts w:ascii="Arial" w:cs="Arial" w:eastAsia="Arial" w:hAnsi="Arial"/>
          <w:sz w:val="18"/>
          <w:szCs w:val="18"/>
          <w:color w:val="auto"/>
        </w:rPr>
      </w:pPr>
    </w:p>
    <w:p>
      <w:pPr>
        <w:ind w:right="120" w:firstLine="229"/>
        <w:spacing w:after="0" w:line="270" w:lineRule="auto"/>
        <w:tabs>
          <w:tab w:leader="none" w:pos="474"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each taxable year, more than 90% of our gross income will be income from sources that our counsel has opined or will opine is “qualifying income” within the meaning of Section 7704(d) of the Internal Revenue Code.</w:t>
      </w:r>
    </w:p>
    <w:p>
      <w:pPr>
        <w:spacing w:after="0" w:line="68" w:lineRule="exact"/>
        <w:rPr>
          <w:sz w:val="20"/>
          <w:szCs w:val="20"/>
          <w:color w:val="auto"/>
        </w:rPr>
      </w:pPr>
    </w:p>
    <w:p>
      <w:pPr>
        <w:ind w:right="20" w:firstLine="222"/>
        <w:spacing w:after="0" w:line="267" w:lineRule="auto"/>
        <w:rPr>
          <w:sz w:val="20"/>
          <w:szCs w:val="20"/>
          <w:color w:val="auto"/>
        </w:rPr>
      </w:pPr>
      <w:r>
        <w:rPr>
          <w:rFonts w:ascii="Arial" w:cs="Arial" w:eastAsia="Arial" w:hAnsi="Arial"/>
          <w:sz w:val="17"/>
          <w:szCs w:val="17"/>
          <w:color w:val="auto"/>
        </w:rPr>
        <w:t>Section 7704 of the Internal Revenue Code provides that publicly-traded partnerships will, as a general rule, be taxed as corporations. However, an exception, referred to as the “Qualifying Income Exception,” exists with respect to publicly-traded partnerships of which 90% or more of the gross income for every taxable year consists of “qualifying income.” Qualifying income includes income and gains derived from the transportation and marketing of crude oil, natural gas and products thereof. Other types of qualifying income include interest (other than from a financial business), dividends, gains from the sale of real property and gains from the sale or other disposition of capital assets held for the production of income that otherwise constitutes qualifying income. We estimate that less than 4% of our current gross income is not qualifying income; however, this estimate could change from time to time. Based upon and subject to this estimate, the factual representations made by us and our general partner and a review of the applicable legal authorities, Vinson &amp; Elkins L.L.P. is of the opinion that at least 90% of our current gross income constitutes qualifying income.</w:t>
      </w:r>
    </w:p>
    <w:p>
      <w:pPr>
        <w:spacing w:after="0" w:line="76" w:lineRule="exact"/>
        <w:rPr>
          <w:sz w:val="20"/>
          <w:szCs w:val="20"/>
          <w:color w:val="auto"/>
        </w:rPr>
      </w:pPr>
    </w:p>
    <w:p>
      <w:pPr>
        <w:ind w:firstLine="222"/>
        <w:spacing w:after="0" w:line="271" w:lineRule="auto"/>
        <w:rPr>
          <w:sz w:val="20"/>
          <w:szCs w:val="20"/>
          <w:color w:val="auto"/>
        </w:rPr>
      </w:pPr>
      <w:r>
        <w:rPr>
          <w:rFonts w:ascii="Arial" w:cs="Arial" w:eastAsia="Arial" w:hAnsi="Arial"/>
          <w:sz w:val="17"/>
          <w:szCs w:val="17"/>
          <w:color w:val="auto"/>
        </w:rPr>
        <w:t>If we fail to meet the Qualifying Income Exception, other than a failure that is determined by the IRS to be inadvertent and that is cured within a reasonable time after discovery, we will be treated as if we had transferred all of our assets, subject to liabilities, to a newly formed corporation, on the first day of the year in which we fail to meet the Qualifying Income Exception, in return for stock in that corporation, and then distributed that stock to the unitholders in liquidation of their interests in us. This contribution and liquidation should be tax-free to unitholders and us so long as we, at that time, do not have liabilities in excess of the tax basis of our assets. Thereafter, we would be treated as a corporation for federal income tax purposes.</w:t>
      </w:r>
    </w:p>
    <w:p>
      <w:pPr>
        <w:spacing w:after="0" w:line="71" w:lineRule="exact"/>
        <w:rPr>
          <w:sz w:val="20"/>
          <w:szCs w:val="20"/>
          <w:color w:val="auto"/>
        </w:rPr>
      </w:pPr>
    </w:p>
    <w:p>
      <w:pPr>
        <w:ind w:right="100" w:firstLine="222"/>
        <w:spacing w:after="0" w:line="289" w:lineRule="auto"/>
        <w:rPr>
          <w:sz w:val="20"/>
          <w:szCs w:val="20"/>
          <w:color w:val="auto"/>
        </w:rPr>
      </w:pPr>
      <w:r>
        <w:rPr>
          <w:rFonts w:ascii="Arial" w:cs="Arial" w:eastAsia="Arial" w:hAnsi="Arial"/>
          <w:sz w:val="16"/>
          <w:szCs w:val="16"/>
          <w:color w:val="auto"/>
        </w:rPr>
        <w:t>If we were treated as a corporation in any taxable year, either as a result of a failure to meet the Qualifying Income Exception or otherwise, our items of income, gain, loss and deduction would be reflected only on our tax return rather than being passed through to our unitholders, and our net income would be taxed to us at corporate rates. In addition, any distribution made to a unitholder would be treated as either taxable dividend income, to the extent of our current or accumulated earnings and profits, or, in the absence of earnings and profits, a nontaxable return of capital, to the extent of the unitholder’s tax basis in his common units, or taxable capital gain, after the unitholder’s tax basis in his common units is reduced to zero. Accordingly, taxation as a corporation would result in a material reduction in a unitholder’s cash flow and after-tax return and thus would likely result in a substantial reduction of the value of the units.</w:t>
      </w:r>
    </w:p>
    <w:p>
      <w:pPr>
        <w:spacing w:after="0" w:line="5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discussion below is based on the Vinson &amp; Elkins L.L.P. opinion that we will be classified as a partnership for federal income tax purposes.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Partner Status</w:t>
      </w:r>
    </w:p>
    <w:p>
      <w:pPr>
        <w:spacing w:after="0" w:line="117" w:lineRule="exact"/>
        <w:rPr>
          <w:sz w:val="20"/>
          <w:szCs w:val="20"/>
          <w:color w:val="auto"/>
        </w:rPr>
      </w:pPr>
    </w:p>
    <w:p>
      <w:pPr>
        <w:ind w:right="540" w:firstLine="222"/>
        <w:spacing w:after="0" w:line="270" w:lineRule="auto"/>
        <w:rPr>
          <w:sz w:val="20"/>
          <w:szCs w:val="20"/>
          <w:color w:val="auto"/>
        </w:rPr>
      </w:pPr>
      <w:r>
        <w:rPr>
          <w:rFonts w:ascii="Arial" w:cs="Arial" w:eastAsia="Arial" w:hAnsi="Arial"/>
          <w:sz w:val="18"/>
          <w:szCs w:val="18"/>
          <w:color w:val="auto"/>
        </w:rPr>
        <w:t>Unitholders who have become limited partners of Plains All American Pipeline will be treated as partners of Plains All American Pipeline for federal income tax purposes. Also:</w:t>
      </w:r>
    </w:p>
    <w:p>
      <w:pPr>
        <w:spacing w:after="0" w:line="68" w:lineRule="exact"/>
        <w:rPr>
          <w:sz w:val="20"/>
          <w:szCs w:val="20"/>
          <w:color w:val="auto"/>
        </w:rPr>
      </w:pPr>
    </w:p>
    <w:p>
      <w:pPr>
        <w:ind w:left="560" w:hanging="326"/>
        <w:spacing w:after="0"/>
        <w:tabs>
          <w:tab w:leader="none" w:pos="5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assignees who have executed and delivered transfer applications, and are awaiting admission as limited partners and</w:t>
      </w:r>
    </w:p>
    <w:p>
      <w:pPr>
        <w:spacing w:after="0" w:line="126" w:lineRule="exact"/>
        <w:rPr>
          <w:rFonts w:ascii="Arial" w:cs="Arial" w:eastAsia="Arial" w:hAnsi="Arial"/>
          <w:sz w:val="18"/>
          <w:szCs w:val="18"/>
          <w:b w:val="1"/>
          <w:bCs w:val="1"/>
          <w:color w:val="auto"/>
        </w:rPr>
      </w:pPr>
    </w:p>
    <w:p>
      <w:pPr>
        <w:ind w:left="560" w:right="60" w:hanging="326"/>
        <w:spacing w:after="0" w:line="270" w:lineRule="auto"/>
        <w:tabs>
          <w:tab w:leader="none" w:pos="5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unitholders whose common units are held in street name or by a nominee and who have the right to direct the nominee in the exercise of all substantive rights attendant to the ownership of their common units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will be treated as partners of Plains All American Pipeline for federal income tax purposes. As there is no direct or indirect controlling authority addressing assignees of common units who are entitled to execute and deliver transfer applications and thereby become entitled to direct the exercise of attendant rights, but who fail to execute and deliver transfer applications, Vinson &amp; Elkins L.L.P.’s opinion does not extend to these persons. Furthermore, a purchaser or other transferee of common units who does not execute and deliver a transfer application may not receive some federal income tax information or reports furnished to record holders of common units unless the common units are held in a nominee or street name account and the nominee or broker has executed and delivered a transfer application for those common units.</w:t>
      </w:r>
    </w:p>
    <w:p>
      <w:pPr>
        <w:spacing w:after="0" w:line="84" w:lineRule="exact"/>
        <w:rPr>
          <w:sz w:val="20"/>
          <w:szCs w:val="20"/>
          <w:color w:val="auto"/>
        </w:rPr>
      </w:pPr>
    </w:p>
    <w:p>
      <w:pPr>
        <w:ind w:right="180" w:firstLine="213"/>
        <w:spacing w:after="0" w:line="334" w:lineRule="auto"/>
        <w:rPr>
          <w:sz w:val="20"/>
          <w:szCs w:val="20"/>
          <w:color w:val="auto"/>
        </w:rPr>
      </w:pPr>
      <w:r>
        <w:rPr>
          <w:rFonts w:ascii="Arial" w:cs="Arial" w:eastAsia="Arial" w:hAnsi="Arial"/>
          <w:sz w:val="16"/>
          <w:szCs w:val="16"/>
          <w:color w:val="auto"/>
        </w:rPr>
        <w:t>A beneficial owner of common units whose units have been transferred to a short seller to complete a short sale would appear to lose his status as a partner with respect to those units for federal income tax purposes. Please read “—Tax Consequences of Unit Ownership—Treatment of Short Sales.”</w:t>
      </w:r>
    </w:p>
    <w:p>
      <w:pPr>
        <w:spacing w:after="0" w:line="22" w:lineRule="exact"/>
        <w:rPr>
          <w:sz w:val="20"/>
          <w:szCs w:val="20"/>
          <w:color w:val="auto"/>
        </w:rPr>
      </w:pPr>
    </w:p>
    <w:p>
      <w:pPr>
        <w:ind w:right="40" w:firstLine="222"/>
        <w:spacing w:after="0" w:line="306" w:lineRule="auto"/>
        <w:rPr>
          <w:sz w:val="20"/>
          <w:szCs w:val="20"/>
          <w:color w:val="auto"/>
        </w:rPr>
      </w:pPr>
      <w:r>
        <w:rPr>
          <w:rFonts w:ascii="Arial" w:cs="Arial" w:eastAsia="Arial" w:hAnsi="Arial"/>
          <w:sz w:val="16"/>
          <w:szCs w:val="16"/>
          <w:color w:val="auto"/>
        </w:rPr>
        <w:t>Income, gain, deductions or losses would not appear to be reportable by a unitholder who is not a partner for federal income tax purposes, and any cash distributions received by a unitholder who is not a partner for federal income tax purposes would therefore appear to be fully taxable as ordinary income. These holders are urged to consult their own tax advisors with respect to their status as partners in Plains All American Pipeline for federal income tax purposes.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of Unit Ownership</w:t>
      </w:r>
    </w:p>
    <w:p>
      <w:pPr>
        <w:spacing w:after="0" w:line="117" w:lineRule="exact"/>
        <w:rPr>
          <w:sz w:val="20"/>
          <w:szCs w:val="20"/>
          <w:color w:val="auto"/>
        </w:rPr>
      </w:pPr>
    </w:p>
    <w:p>
      <w:pPr>
        <w:ind w:right="120" w:firstLine="222"/>
        <w:spacing w:after="0" w:line="274" w:lineRule="auto"/>
        <w:rPr>
          <w:sz w:val="20"/>
          <w:szCs w:val="20"/>
          <w:color w:val="auto"/>
        </w:rPr>
      </w:pPr>
      <w:r>
        <w:rPr>
          <w:rFonts w:ascii="Arial" w:cs="Arial" w:eastAsia="Arial" w:hAnsi="Arial"/>
          <w:sz w:val="17"/>
          <w:szCs w:val="17"/>
          <w:i w:val="1"/>
          <w:iCs w:val="1"/>
          <w:color w:val="auto"/>
        </w:rPr>
        <w:t xml:space="preserve">Flow-Through of Taxable Income. </w:t>
      </w:r>
      <w:r>
        <w:rPr>
          <w:rFonts w:ascii="Arial" w:cs="Arial" w:eastAsia="Arial" w:hAnsi="Arial"/>
          <w:sz w:val="17"/>
          <w:szCs w:val="17"/>
          <w:color w:val="auto"/>
        </w:rPr>
        <w:t>We will not pay any federal income tax. Instead, each unitholder will be required to report on his income tax return his</w:t>
      </w:r>
      <w:r>
        <w:rPr>
          <w:rFonts w:ascii="Arial" w:cs="Arial" w:eastAsia="Arial" w:hAnsi="Arial"/>
          <w:sz w:val="17"/>
          <w:szCs w:val="17"/>
          <w:i w:val="1"/>
          <w:iCs w:val="1"/>
          <w:color w:val="auto"/>
        </w:rPr>
        <w:t xml:space="preserve"> </w:t>
      </w:r>
      <w:r>
        <w:rPr>
          <w:rFonts w:ascii="Arial" w:cs="Arial" w:eastAsia="Arial" w:hAnsi="Arial"/>
          <w:sz w:val="17"/>
          <w:szCs w:val="17"/>
          <w:color w:val="auto"/>
        </w:rPr>
        <w:t>share of our income, gains, losses and deductions without regard to whether we make cash distributions to him. Consequently, we may allocate income to a unitholder even if he has not received a cash distribution. Each unitholder will be required to include in income his allocable share of our income, gains, losses and deductions for our taxable year ending with or within his taxable year. Our taxable year ends on December 31.</w:t>
      </w:r>
    </w:p>
    <w:p>
      <w:pPr>
        <w:spacing w:after="0" w:line="69" w:lineRule="exact"/>
        <w:rPr>
          <w:sz w:val="20"/>
          <w:szCs w:val="20"/>
          <w:color w:val="auto"/>
        </w:rPr>
      </w:pPr>
    </w:p>
    <w:p>
      <w:pPr>
        <w:ind w:firstLine="222"/>
        <w:spacing w:after="0" w:line="251" w:lineRule="auto"/>
        <w:rPr>
          <w:sz w:val="20"/>
          <w:szCs w:val="20"/>
          <w:color w:val="auto"/>
        </w:rPr>
      </w:pPr>
      <w:r>
        <w:rPr>
          <w:rFonts w:ascii="Arial" w:cs="Arial" w:eastAsia="Arial" w:hAnsi="Arial"/>
          <w:sz w:val="18"/>
          <w:szCs w:val="18"/>
          <w:i w:val="1"/>
          <w:iCs w:val="1"/>
          <w:color w:val="auto"/>
        </w:rPr>
        <w:t>Treatment of Distributions</w:t>
      </w:r>
      <w:r>
        <w:rPr>
          <w:rFonts w:ascii="Arial" w:cs="Arial" w:eastAsia="Arial" w:hAnsi="Arial"/>
          <w:sz w:val="18"/>
          <w:szCs w:val="18"/>
          <w:color w:val="auto"/>
        </w:rPr>
        <w:t>. Distributions by us to a unitholder generally will not be taxable to the unitholder for federal income tax purposes except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extent the amount of any such cash distribution exceeds his tax basis in his common units immediately before the distribution. Our cash distributions in excess of a unitholder’s tax basis generally will be considered to be gain from the sale or exchange of the common units, taxable in accordance with the rules described under "—Disposition of Common Units” below. Any reduction in a unitholder’s share of our liabilities for which no partner, including the general partner, bears the economic risk of loss, known as “nonrecourse liabilities,” will be treated as a distribution of cash to that unitholder. To the extent our distributions cause a unitholder’s “at risk” amount to be less than zero at the end of any taxable year, he must recapture any losses deducted in previous years. Please read "— Limitations on Deductibility of Losses.”</w:t>
      </w:r>
    </w:p>
    <w:p>
      <w:pPr>
        <w:spacing w:after="0" w:line="87" w:lineRule="exact"/>
        <w:rPr>
          <w:sz w:val="20"/>
          <w:szCs w:val="20"/>
          <w:color w:val="auto"/>
        </w:rPr>
      </w:pPr>
    </w:p>
    <w:p>
      <w:pPr>
        <w:ind w:right="20" w:firstLine="213"/>
        <w:spacing w:after="0" w:line="267" w:lineRule="auto"/>
        <w:rPr>
          <w:sz w:val="20"/>
          <w:szCs w:val="20"/>
          <w:color w:val="auto"/>
        </w:rPr>
      </w:pPr>
      <w:r>
        <w:rPr>
          <w:rFonts w:ascii="Arial" w:cs="Arial" w:eastAsia="Arial" w:hAnsi="Arial"/>
          <w:sz w:val="17"/>
          <w:szCs w:val="17"/>
          <w:color w:val="auto"/>
        </w:rPr>
        <w:t>A decrease in a unitholder’s percentage interest in us because of our issuance of additional common units will decrease his share of our nonrecourse liabilities, and thus will result in a corresponding deemed distribution of cash. A non-pro rata distribution of money or property may result in ordinary income to a unitholder, regardless of his tax basis in his common units, if the distribution reduces the unitholder’s share of our “unrealized receivables,” including depreciation recapture, and/or substantially appreciated “inventory items,” both as defined in Section 751 of the Internal Revenue Code, and collectively, “Section 751 Assets.” To that extent, he will be treated as having been distributed his proportionate share of the Section 751 Assets and having exchanged those assets with us in return for the non-pro rata portion of the actual distribution made to him. This latter deemed exchange will generally result in the unitholder’s realization of ordinary income. That income will equal the excess of (1) the non-pro rata portion of that distribution over (2) the unitholder’s tax basis for the share of Section 751 Assets deemed relinquished in the exchange.</w:t>
      </w:r>
    </w:p>
    <w:p>
      <w:pPr>
        <w:spacing w:after="0" w:line="76" w:lineRule="exact"/>
        <w:rPr>
          <w:sz w:val="20"/>
          <w:szCs w:val="20"/>
          <w:color w:val="auto"/>
        </w:rPr>
      </w:pPr>
    </w:p>
    <w:p>
      <w:pPr>
        <w:ind w:right="20" w:firstLine="222"/>
        <w:spacing w:after="0" w:line="253" w:lineRule="auto"/>
        <w:rPr>
          <w:sz w:val="20"/>
          <w:szCs w:val="20"/>
          <w:color w:val="auto"/>
        </w:rPr>
      </w:pPr>
      <w:r>
        <w:rPr>
          <w:rFonts w:ascii="Arial" w:cs="Arial" w:eastAsia="Arial" w:hAnsi="Arial"/>
          <w:sz w:val="18"/>
          <w:szCs w:val="18"/>
          <w:i w:val="1"/>
          <w:iCs w:val="1"/>
          <w:color w:val="auto"/>
        </w:rPr>
        <w:t xml:space="preserve">Basis of Common Units. </w:t>
      </w:r>
      <w:r>
        <w:rPr>
          <w:rFonts w:ascii="Arial" w:cs="Arial" w:eastAsia="Arial" w:hAnsi="Arial"/>
          <w:sz w:val="18"/>
          <w:szCs w:val="18"/>
          <w:color w:val="auto"/>
        </w:rPr>
        <w:t>A unitholder’s initial tax basis for his common units will be the amount he paid for the common units plus his share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nonrecourse liabilities. That basis will be increased by his share of our income and by any increases in his share of our nonrecourse liabilities. That basis will be decreased, but not below zero, by distributions from us, by the unitholder’s share of our losses, by any decreases in his share of our nonrecourse liabilities and by his share of our expenditures that are not deductible in computing taxable income and are not required to be capitalized. A unitholderwill have no share of our debt that is recourse to our general partner, but will</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right="420"/>
        <w:spacing w:after="0" w:line="270" w:lineRule="auto"/>
        <w:rPr>
          <w:sz w:val="20"/>
          <w:szCs w:val="20"/>
          <w:color w:val="auto"/>
        </w:rPr>
      </w:pPr>
      <w:r>
        <w:rPr>
          <w:rFonts w:ascii="Arial" w:cs="Arial" w:eastAsia="Arial" w:hAnsi="Arial"/>
          <w:sz w:val="18"/>
          <w:szCs w:val="18"/>
          <w:color w:val="auto"/>
        </w:rPr>
        <w:t>have a share, generally based on his share of profits, of our nonrecourse liabilities. Please read “—Disposition of Common Units—Recognition of Gain or Loss.”</w:t>
      </w:r>
    </w:p>
    <w:p>
      <w:pPr>
        <w:spacing w:after="0" w:line="68" w:lineRule="exact"/>
        <w:rPr>
          <w:sz w:val="20"/>
          <w:szCs w:val="20"/>
          <w:color w:val="auto"/>
        </w:rPr>
      </w:pPr>
    </w:p>
    <w:p>
      <w:pPr>
        <w:ind w:right="40" w:firstLine="222"/>
        <w:spacing w:after="0" w:line="286" w:lineRule="auto"/>
        <w:rPr>
          <w:sz w:val="20"/>
          <w:szCs w:val="20"/>
          <w:color w:val="auto"/>
        </w:rPr>
      </w:pPr>
      <w:r>
        <w:rPr>
          <w:rFonts w:ascii="Arial" w:cs="Arial" w:eastAsia="Arial" w:hAnsi="Arial"/>
          <w:sz w:val="16"/>
          <w:szCs w:val="16"/>
          <w:i w:val="1"/>
          <w:iCs w:val="1"/>
          <w:color w:val="auto"/>
        </w:rPr>
        <w:t xml:space="preserve">Limitations on Deductibility of Losses. </w:t>
      </w:r>
      <w:r>
        <w:rPr>
          <w:rFonts w:ascii="Arial" w:cs="Arial" w:eastAsia="Arial" w:hAnsi="Arial"/>
          <w:sz w:val="16"/>
          <w:szCs w:val="16"/>
          <w:color w:val="auto"/>
        </w:rPr>
        <w:t>The deduction by a unitholder of his share of our losses will be limited to the tax basis in his units and, in the case of</w:t>
      </w:r>
      <w:r>
        <w:rPr>
          <w:rFonts w:ascii="Arial" w:cs="Arial" w:eastAsia="Arial" w:hAnsi="Arial"/>
          <w:sz w:val="16"/>
          <w:szCs w:val="16"/>
          <w:i w:val="1"/>
          <w:iCs w:val="1"/>
          <w:color w:val="auto"/>
        </w:rPr>
        <w:t xml:space="preserve"> </w:t>
      </w:r>
      <w:r>
        <w:rPr>
          <w:rFonts w:ascii="Arial" w:cs="Arial" w:eastAsia="Arial" w:hAnsi="Arial"/>
          <w:sz w:val="16"/>
          <w:szCs w:val="16"/>
          <w:color w:val="auto"/>
        </w:rPr>
        <w:t>an individual unitholder or a corporate unitholder, if more than 50% of the value of the corporate unitholder’s stock is owned directly or indirectly by five or fewer individuals or some tax-exempt organizations, to the amount for which the unitholder is considered to be “at risk” with respect to our activities, if that is less than his tax basis. A unitholder must recapture losses deducted in previous years to the extent that distributions cause his at risk amount to be less than zero at the end of any taxable year. Losses disallowed to a unitholder or recaptured as a result of these limitations will carry forward and will be allowable to the extent that his tax basis or at risk amount, whichever is the limiting factor, is subsequently increased. Upon the taxable disposition of a unit, any gain recognized by a unitholder can be offset by losses that were previously suspended by the at risk limitation but may not be offset by losses suspended by the basis limitation. Any excess loss above that gain previously suspended by the at risk or basis limitations is no longer utilizable.</w:t>
      </w:r>
    </w:p>
    <w:p>
      <w:pPr>
        <w:spacing w:after="0" w:line="62" w:lineRule="exact"/>
        <w:rPr>
          <w:sz w:val="20"/>
          <w:szCs w:val="20"/>
          <w:color w:val="auto"/>
        </w:rPr>
      </w:pPr>
    </w:p>
    <w:p>
      <w:pPr>
        <w:ind w:right="60" w:firstLine="222"/>
        <w:spacing w:after="0" w:line="297" w:lineRule="auto"/>
        <w:rPr>
          <w:sz w:val="20"/>
          <w:szCs w:val="20"/>
          <w:color w:val="auto"/>
        </w:rPr>
      </w:pPr>
      <w:r>
        <w:rPr>
          <w:rFonts w:ascii="Arial" w:cs="Arial" w:eastAsia="Arial" w:hAnsi="Arial"/>
          <w:sz w:val="16"/>
          <w:szCs w:val="16"/>
          <w:color w:val="auto"/>
        </w:rPr>
        <w:t>In general, a unitholder will be at risk to the extent of the tax basis of his units, excluding any portion of that basis attributable to his share of our nonrecourse liabilities, reduced by any amount of money he borrows to acquire or hold his units, if the lender of those borrowed funds owns an interest in us, is related to the unitholder or can look only to the units for repayment. A unitholder’s at risk amount will increase or decrease as the tax basis of the unitholder’s units increases or decreases, other than tax basis increases or decreases attributable to increases or decreases in his share of our nonrecourse liabilities.</w:t>
      </w:r>
    </w:p>
    <w:p>
      <w:pPr>
        <w:spacing w:after="0" w:line="50" w:lineRule="exact"/>
        <w:rPr>
          <w:sz w:val="20"/>
          <w:szCs w:val="20"/>
          <w:color w:val="auto"/>
        </w:rPr>
      </w:pPr>
    </w:p>
    <w:p>
      <w:pPr>
        <w:ind w:right="20" w:firstLine="219"/>
        <w:spacing w:after="0" w:line="267" w:lineRule="auto"/>
        <w:rPr>
          <w:sz w:val="20"/>
          <w:szCs w:val="20"/>
          <w:color w:val="auto"/>
        </w:rPr>
      </w:pPr>
      <w:r>
        <w:rPr>
          <w:rFonts w:ascii="Arial" w:cs="Arial" w:eastAsia="Arial" w:hAnsi="Arial"/>
          <w:sz w:val="17"/>
          <w:szCs w:val="17"/>
          <w:color w:val="auto"/>
        </w:rPr>
        <w:t>The passive loss limitations generally provide that individuals, estates, trusts and some closely-held corporations and personal service corporations can deduct losses from passive activities, which are generally activities in which the taxpayer does not materially participate, only to the extent of the taxpayer’s income from those passive activities. The passive loss limitations are applied separately with respect to each publicly-traded partnership. Consequently, any passive losses we generate will only be available to offset our passive income generated in the future and will not be available to offset income from other passive activities or investments, including our investments or investments in other publicly-traded partnerships, or salary or active business income. Passive losses that are not deductible because they exceed a unitholder’s share of income we generate may be deducted in full when he disposes of his entire investment in us in a fully taxable transaction with an unrelated party. The passive activity loss rules are applied after other applicable limitations on deductions, including the at risk rules and the basis limitation.</w:t>
      </w:r>
    </w:p>
    <w:p>
      <w:pPr>
        <w:spacing w:after="0" w:line="76" w:lineRule="exact"/>
        <w:rPr>
          <w:sz w:val="20"/>
          <w:szCs w:val="20"/>
          <w:color w:val="auto"/>
        </w:rPr>
      </w:pPr>
    </w:p>
    <w:p>
      <w:pPr>
        <w:ind w:firstLine="213"/>
        <w:spacing w:after="0" w:line="270" w:lineRule="auto"/>
        <w:rPr>
          <w:sz w:val="20"/>
          <w:szCs w:val="20"/>
          <w:color w:val="auto"/>
        </w:rPr>
      </w:pPr>
      <w:r>
        <w:rPr>
          <w:rFonts w:ascii="Arial" w:cs="Arial" w:eastAsia="Arial" w:hAnsi="Arial"/>
          <w:sz w:val="18"/>
          <w:szCs w:val="18"/>
          <w:color w:val="auto"/>
        </w:rPr>
        <w:t>A unitholder’s share of our net income may be offset by any of our suspended passive losses, but it may not be offset by any other current or carryover losses from other passive activities, including those attributable to other publicly-traded partnerships.</w:t>
      </w:r>
    </w:p>
    <w:p>
      <w:pPr>
        <w:spacing w:after="0" w:line="68" w:lineRule="exact"/>
        <w:rPr>
          <w:sz w:val="20"/>
          <w:szCs w:val="20"/>
          <w:color w:val="auto"/>
        </w:rPr>
      </w:pPr>
    </w:p>
    <w:p>
      <w:pPr>
        <w:ind w:right="160" w:firstLine="222"/>
        <w:spacing w:after="0" w:line="270" w:lineRule="auto"/>
        <w:rPr>
          <w:sz w:val="20"/>
          <w:szCs w:val="20"/>
          <w:color w:val="auto"/>
        </w:rPr>
      </w:pPr>
      <w:r>
        <w:rPr>
          <w:rFonts w:ascii="Arial" w:cs="Arial" w:eastAsia="Arial" w:hAnsi="Arial"/>
          <w:sz w:val="18"/>
          <w:szCs w:val="18"/>
          <w:i w:val="1"/>
          <w:iCs w:val="1"/>
          <w:color w:val="auto"/>
        </w:rPr>
        <w:t xml:space="preserve">Limitations on Interest Deductions. </w:t>
      </w:r>
      <w:r>
        <w:rPr>
          <w:rFonts w:ascii="Arial" w:cs="Arial" w:eastAsia="Arial" w:hAnsi="Arial"/>
          <w:sz w:val="18"/>
          <w:szCs w:val="18"/>
          <w:color w:val="auto"/>
        </w:rPr>
        <w:t>The deductibility of a non-corporate taxpayer’s “investment interest expense” is generally limited to the amount of that</w:t>
      </w:r>
      <w:r>
        <w:rPr>
          <w:rFonts w:ascii="Arial" w:cs="Arial" w:eastAsia="Arial" w:hAnsi="Arial"/>
          <w:sz w:val="18"/>
          <w:szCs w:val="18"/>
          <w:i w:val="1"/>
          <w:iCs w:val="1"/>
          <w:color w:val="auto"/>
        </w:rPr>
        <w:t xml:space="preserve"> </w:t>
      </w:r>
      <w:r>
        <w:rPr>
          <w:rFonts w:ascii="Arial" w:cs="Arial" w:eastAsia="Arial" w:hAnsi="Arial"/>
          <w:sz w:val="18"/>
          <w:szCs w:val="18"/>
          <w:color w:val="auto"/>
        </w:rPr>
        <w:t>taxpayer’s “net investment income.” Investment interest expense includes:</w:t>
      </w:r>
    </w:p>
    <w:p>
      <w:pPr>
        <w:spacing w:after="0" w:line="68" w:lineRule="exact"/>
        <w:rPr>
          <w:sz w:val="20"/>
          <w:szCs w:val="20"/>
          <w:color w:val="auto"/>
        </w:rPr>
      </w:pPr>
    </w:p>
    <w:p>
      <w:pPr>
        <w:ind w:left="560" w:hanging="326"/>
        <w:spacing w:after="0"/>
        <w:tabs>
          <w:tab w:leader="none" w:pos="5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interest on indebtedness properly allocable to property held for investment;</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our interest expense attributed to portfolio income; and</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the portion of interest expense incurred to purchase or carry an interest in a passive activity to the extent attributable to portfolio income.</w:t>
      </w:r>
    </w:p>
    <w:p>
      <w:pPr>
        <w:spacing w:after="0" w:line="113" w:lineRule="exact"/>
        <w:rPr>
          <w:sz w:val="20"/>
          <w:szCs w:val="20"/>
          <w:color w:val="auto"/>
        </w:rPr>
      </w:pPr>
    </w:p>
    <w:p>
      <w:pPr>
        <w:ind w:right="100" w:firstLine="219"/>
        <w:spacing w:after="0" w:line="292" w:lineRule="auto"/>
        <w:rPr>
          <w:sz w:val="20"/>
          <w:szCs w:val="20"/>
          <w:color w:val="auto"/>
        </w:rPr>
      </w:pPr>
      <w:r>
        <w:rPr>
          <w:rFonts w:ascii="Arial" w:cs="Arial" w:eastAsia="Arial" w:hAnsi="Arial"/>
          <w:sz w:val="16"/>
          <w:szCs w:val="16"/>
          <w:color w:val="auto"/>
        </w:rPr>
        <w:t>The computation of a unitholder’s investment interest expense will take into account interest on any margin account borrowing or other loan incurred to purchase or carry a unit. Net investment income includes gross income from property held for investment and amounts treated as portfolio income under the passive loss rules, less deductible expenses, other than interest, directly connected with the production of investment income, but generally does not include gains attributable to the disposition of property held for investment. The IRS has indicated that net passive income earned by a publicly-traded partnership will be treated as investment income to its unitholders. In addition, the unitholder’s share of our portfolio income will be treated as investment income.</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right="20" w:firstLine="222"/>
        <w:spacing w:after="0" w:line="250" w:lineRule="auto"/>
        <w:rPr>
          <w:sz w:val="20"/>
          <w:szCs w:val="20"/>
          <w:color w:val="auto"/>
        </w:rPr>
      </w:pPr>
      <w:r>
        <w:rPr>
          <w:rFonts w:ascii="Arial" w:cs="Arial" w:eastAsia="Arial" w:hAnsi="Arial"/>
          <w:sz w:val="18"/>
          <w:szCs w:val="18"/>
          <w:i w:val="1"/>
          <w:iCs w:val="1"/>
          <w:color w:val="auto"/>
        </w:rPr>
        <w:t xml:space="preserve">Entity-Level Collections. </w:t>
      </w:r>
      <w:r>
        <w:rPr>
          <w:rFonts w:ascii="Arial" w:cs="Arial" w:eastAsia="Arial" w:hAnsi="Arial"/>
          <w:sz w:val="18"/>
          <w:szCs w:val="18"/>
          <w:color w:val="auto"/>
        </w:rPr>
        <w:t>If we are required or elect under applicable law to pay any federal, state, local, or foreign income tax on behalf of any unitholder or</w:t>
      </w:r>
      <w:r>
        <w:rPr>
          <w:rFonts w:ascii="Arial" w:cs="Arial" w:eastAsia="Arial" w:hAnsi="Arial"/>
          <w:sz w:val="18"/>
          <w:szCs w:val="18"/>
          <w:i w:val="1"/>
          <w:iCs w:val="1"/>
          <w:color w:val="auto"/>
        </w:rPr>
        <w:t xml:space="preserve"> </w:t>
      </w:r>
      <w:r>
        <w:rPr>
          <w:rFonts w:ascii="Arial" w:cs="Arial" w:eastAsia="Arial" w:hAnsi="Arial"/>
          <w:sz w:val="18"/>
          <w:szCs w:val="18"/>
          <w:color w:val="auto"/>
        </w:rPr>
        <w:t>our general partner or any former unitholder, we are authorized to pay those taxes from our funds. That payment, if made, will be treated as a distribution of cash to the unitholder on whose behalf the payment was made. If the payment is made on behalf of a person whose identity cannot be determined, we are authorized to treat the payment as a distribution to all current unitholders. We are authorized to amend our partnership agreement in the manner necessary to maintain uniformity of intrinsic tax characteristics of units and to adjust later distributions, so that after giving effect to these distributions, the priority and characterization of distributions otherwise applicable under our partnership agreement is maintained as nearly as is practicable. Payments by us as described above could give rise to an overpayment of tax on behalf of an individual unitholder in which event the unitholder would be required to file a claim in order to obtain a credit or refund.</w:t>
      </w:r>
    </w:p>
    <w:p>
      <w:pPr>
        <w:spacing w:after="0" w:line="91" w:lineRule="exact"/>
        <w:rPr>
          <w:sz w:val="20"/>
          <w:szCs w:val="20"/>
          <w:color w:val="auto"/>
        </w:rPr>
      </w:pPr>
    </w:p>
    <w:p>
      <w:pPr>
        <w:ind w:right="140" w:firstLine="222"/>
        <w:spacing w:after="0" w:line="253" w:lineRule="auto"/>
        <w:rPr>
          <w:sz w:val="20"/>
          <w:szCs w:val="20"/>
          <w:color w:val="auto"/>
        </w:rPr>
      </w:pPr>
      <w:r>
        <w:rPr>
          <w:rFonts w:ascii="Arial" w:cs="Arial" w:eastAsia="Arial" w:hAnsi="Arial"/>
          <w:sz w:val="18"/>
          <w:szCs w:val="18"/>
          <w:i w:val="1"/>
          <w:iCs w:val="1"/>
          <w:color w:val="auto"/>
        </w:rPr>
        <w:t xml:space="preserve">Allocation of Income, Gain, Loss and Deduction. </w:t>
      </w:r>
      <w:r>
        <w:rPr>
          <w:rFonts w:ascii="Arial" w:cs="Arial" w:eastAsia="Arial" w:hAnsi="Arial"/>
          <w:sz w:val="18"/>
          <w:szCs w:val="18"/>
          <w:color w:val="auto"/>
        </w:rPr>
        <w:t>In general, if we have a net profit, our items of income, gain, loss and deduction will be allocated among</w:t>
      </w:r>
      <w:r>
        <w:rPr>
          <w:rFonts w:ascii="Arial" w:cs="Arial" w:eastAsia="Arial" w:hAnsi="Arial"/>
          <w:sz w:val="18"/>
          <w:szCs w:val="18"/>
          <w:i w:val="1"/>
          <w:iCs w:val="1"/>
          <w:color w:val="auto"/>
        </w:rPr>
        <w:t xml:space="preserve"> </w:t>
      </w:r>
      <w:r>
        <w:rPr>
          <w:rFonts w:ascii="Arial" w:cs="Arial" w:eastAsia="Arial" w:hAnsi="Arial"/>
          <w:sz w:val="18"/>
          <w:szCs w:val="18"/>
          <w:color w:val="auto"/>
        </w:rPr>
        <w:t>our general partner and the unitholders in accordance with their percentage interests in us. At any time that incentive distributions are made to the general partner, gross income will be allocated to the recipients to the extent of these distributions. If we have a net loss for the entire year, that loss will be allocated first to the general partner and the unitholders in accordance with their percentage interests in us to the extent of their positive capital accounts and, second, to our general partner.</w:t>
      </w:r>
    </w:p>
    <w:p>
      <w:pPr>
        <w:spacing w:after="0" w:line="84" w:lineRule="exact"/>
        <w:rPr>
          <w:sz w:val="20"/>
          <w:szCs w:val="20"/>
          <w:color w:val="auto"/>
        </w:rPr>
      </w:pPr>
    </w:p>
    <w:p>
      <w:pPr>
        <w:ind w:right="20" w:firstLine="222"/>
        <w:spacing w:after="0" w:line="267" w:lineRule="auto"/>
        <w:rPr>
          <w:sz w:val="20"/>
          <w:szCs w:val="20"/>
          <w:color w:val="auto"/>
        </w:rPr>
      </w:pPr>
      <w:r>
        <w:rPr>
          <w:rFonts w:ascii="Arial" w:cs="Arial" w:eastAsia="Arial" w:hAnsi="Arial"/>
          <w:sz w:val="17"/>
          <w:szCs w:val="17"/>
          <w:color w:val="auto"/>
        </w:rPr>
        <w:t>Specified items of our income, gain, loss and deduction will be allocated to account for the difference between the tax basis and fair market value of property contributed to us by our general partner and its affiliates, referred to in this discussion as “Contributed Property,” and to account for the difference between the fair market value of our assets and their carrying value on our books at the time of an offering. The effect of these allocations to a unitholder purchasing common units in the offering will be essentially the same as if the tax basis of our assets were equal to their fair market value at the time of the offering. In addition, items of recapture income will be allocated to the extent possible to the unitholder who was allocated the deduction giving rise to the treatment of that gain as recapture income in order to minimize the recognition of ordinary income by some unitholders. Finally, although we do not expect that our operations will result in the creation of negative capital accounts, if negative capital accounts nevertheless result, items of our income and gain will be allocated in an amount and manner to eliminate the negative balance as quickly as possible.</w:t>
      </w:r>
    </w:p>
    <w:p>
      <w:pPr>
        <w:spacing w:after="0" w:line="76" w:lineRule="exact"/>
        <w:rPr>
          <w:sz w:val="20"/>
          <w:szCs w:val="20"/>
          <w:color w:val="auto"/>
        </w:rPr>
      </w:pPr>
    </w:p>
    <w:p>
      <w:pPr>
        <w:ind w:firstLine="213"/>
        <w:spacing w:after="0" w:line="268" w:lineRule="auto"/>
        <w:rPr>
          <w:sz w:val="20"/>
          <w:szCs w:val="20"/>
          <w:color w:val="auto"/>
        </w:rPr>
      </w:pPr>
      <w:r>
        <w:rPr>
          <w:rFonts w:ascii="Arial" w:cs="Arial" w:eastAsia="Arial" w:hAnsi="Arial"/>
          <w:sz w:val="17"/>
          <w:szCs w:val="17"/>
          <w:color w:val="auto"/>
        </w:rPr>
        <w:t>An allocation of items of our income, gain, loss or deduction, other than an allocation required by the Internal Revenue Code to eliminate the difference between a partner’s “book” capital account, credited with the fair market value of Contributed Property, and “tax” capital account, credited with the tax basis of Contributed Property referred to in this discussion as the “Book-Tax Disparity,” will generally be given effect for federal income tax purposes in determining a partner’s share of an item of income, gain, loss or deduction only if the allocation has substantial economic effect. In any other case, a partner’s share of an item will be determined on the basis of the partner’s interest in us, which will be determined by taking into account all the facts and circumstances, including the partner’s relative contributions to us, the interests of all the partners in profits and losses, the interest of all the partners in cash flow and other nonliquidating distributions and rights of the partners to distributions of capital upon liquidation.</w:t>
      </w:r>
    </w:p>
    <w:p>
      <w:pPr>
        <w:spacing w:after="0" w:line="74" w:lineRule="exact"/>
        <w:rPr>
          <w:sz w:val="20"/>
          <w:szCs w:val="20"/>
          <w:color w:val="auto"/>
        </w:rPr>
      </w:pPr>
    </w:p>
    <w:p>
      <w:pPr>
        <w:ind w:right="20" w:firstLine="219"/>
        <w:spacing w:after="0" w:line="281" w:lineRule="auto"/>
        <w:rPr>
          <w:sz w:val="20"/>
          <w:szCs w:val="20"/>
          <w:color w:val="auto"/>
        </w:rPr>
      </w:pPr>
      <w:r>
        <w:rPr>
          <w:rFonts w:ascii="Arial" w:cs="Arial" w:eastAsia="Arial" w:hAnsi="Arial"/>
          <w:sz w:val="17"/>
          <w:szCs w:val="17"/>
          <w:color w:val="auto"/>
        </w:rPr>
        <w:t>Vinson &amp; Elkins L.L.P. is of the opinion that, with the exception of the issues described in "—Tax Consequences of Unit Ownership—Section 754 Election” and “—Disposition of Common Units—Allocations Between Transferors and Transferees,” respectively, allocations under our partnership agreement will be given effect for federal income tax purposes in determining a partner’s share of an item of income, gain, loss or deduction.</w:t>
      </w:r>
    </w:p>
    <w:p>
      <w:pPr>
        <w:spacing w:after="0" w:line="61" w:lineRule="exact"/>
        <w:rPr>
          <w:sz w:val="20"/>
          <w:szCs w:val="20"/>
          <w:color w:val="auto"/>
        </w:rPr>
      </w:pPr>
    </w:p>
    <w:p>
      <w:pPr>
        <w:ind w:right="40" w:firstLine="222"/>
        <w:spacing w:after="0" w:line="259" w:lineRule="auto"/>
        <w:rPr>
          <w:sz w:val="20"/>
          <w:szCs w:val="20"/>
          <w:color w:val="auto"/>
        </w:rPr>
      </w:pPr>
      <w:r>
        <w:rPr>
          <w:rFonts w:ascii="Arial" w:cs="Arial" w:eastAsia="Arial" w:hAnsi="Arial"/>
          <w:sz w:val="18"/>
          <w:szCs w:val="18"/>
          <w:i w:val="1"/>
          <w:iCs w:val="1"/>
          <w:color w:val="auto"/>
        </w:rPr>
        <w:t xml:space="preserve">Treatment of Short Sales. </w:t>
      </w:r>
      <w:r>
        <w:rPr>
          <w:rFonts w:ascii="Arial" w:cs="Arial" w:eastAsia="Arial" w:hAnsi="Arial"/>
          <w:sz w:val="18"/>
          <w:szCs w:val="18"/>
          <w:color w:val="auto"/>
        </w:rPr>
        <w:t>A unitholder whose units are loaned to a “short seller” to cover a short sale of units may be considered as having disposed of those</w:t>
      </w:r>
      <w:r>
        <w:rPr>
          <w:rFonts w:ascii="Arial" w:cs="Arial" w:eastAsia="Arial" w:hAnsi="Arial"/>
          <w:sz w:val="18"/>
          <w:szCs w:val="18"/>
          <w:i w:val="1"/>
          <w:iCs w:val="1"/>
          <w:color w:val="auto"/>
        </w:rPr>
        <w:t xml:space="preserve"> </w:t>
      </w:r>
      <w:r>
        <w:rPr>
          <w:rFonts w:ascii="Arial" w:cs="Arial" w:eastAsia="Arial" w:hAnsi="Arial"/>
          <w:sz w:val="18"/>
          <w:szCs w:val="18"/>
          <w:color w:val="auto"/>
        </w:rPr>
        <w:t>units. If so, he would no longer be treated for tax purposes as a partner with respect to those units during the period of the loan and may recognize gain or loss from the disposition. As a result, during this period:</w:t>
      </w:r>
    </w:p>
    <w:p>
      <w:pPr>
        <w:spacing w:after="0" w:line="77" w:lineRule="exact"/>
        <w:rPr>
          <w:sz w:val="20"/>
          <w:szCs w:val="20"/>
          <w:color w:val="auto"/>
        </w:rPr>
      </w:pPr>
    </w:p>
    <w:p>
      <w:pPr>
        <w:ind w:left="560" w:hanging="326"/>
        <w:spacing w:after="0"/>
        <w:tabs>
          <w:tab w:leader="none" w:pos="5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any of our income, gain, loss or deduction with respect to those units would not be reportable by the unitholder;</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any cash distributions received by the unitholder as to those units would be fully taxable; and</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all of these distributions would appear to be ordinary income.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right="120" w:firstLine="219"/>
        <w:spacing w:after="0" w:line="253" w:lineRule="auto"/>
        <w:rPr>
          <w:sz w:val="20"/>
          <w:szCs w:val="20"/>
          <w:color w:val="auto"/>
        </w:rPr>
      </w:pPr>
      <w:r>
        <w:rPr>
          <w:rFonts w:ascii="Arial" w:cs="Arial" w:eastAsia="Arial" w:hAnsi="Arial"/>
          <w:sz w:val="18"/>
          <w:szCs w:val="18"/>
          <w:color w:val="auto"/>
        </w:rPr>
        <w:t>Vinson &amp; Elkins L.L.P. has not rendered an opinion regarding the treatment of a unitholder where common units are loaned to a short seller to cover a short sale of common units; therefore, unitholders desiring to assure their status as partners and avoid the risk of gain recognition from a loan to a short seller are urged to modify any applicable brokerage account agreements to prohibit their brokers from loaning their units. The IRS has announced that it is actively studying issues relating to the tax treatment of short sales of partnership interests. Please read “—Disposition of Common Units—Recognition of Gain or Loss.”</w:t>
      </w:r>
    </w:p>
    <w:p>
      <w:pPr>
        <w:spacing w:after="0" w:line="84" w:lineRule="exact"/>
        <w:rPr>
          <w:sz w:val="20"/>
          <w:szCs w:val="20"/>
          <w:color w:val="auto"/>
        </w:rPr>
      </w:pPr>
    </w:p>
    <w:p>
      <w:pPr>
        <w:ind w:right="80" w:firstLine="222"/>
        <w:spacing w:after="0" w:line="253" w:lineRule="auto"/>
        <w:rPr>
          <w:sz w:val="20"/>
          <w:szCs w:val="20"/>
          <w:color w:val="auto"/>
        </w:rPr>
      </w:pPr>
      <w:r>
        <w:rPr>
          <w:rFonts w:ascii="Arial" w:cs="Arial" w:eastAsia="Arial" w:hAnsi="Arial"/>
          <w:sz w:val="18"/>
          <w:szCs w:val="18"/>
          <w:i w:val="1"/>
          <w:iCs w:val="1"/>
          <w:color w:val="auto"/>
        </w:rPr>
        <w:t xml:space="preserve">Alternative Minimum Tax. </w:t>
      </w:r>
      <w:r>
        <w:rPr>
          <w:rFonts w:ascii="Arial" w:cs="Arial" w:eastAsia="Arial" w:hAnsi="Arial"/>
          <w:sz w:val="18"/>
          <w:szCs w:val="18"/>
          <w:color w:val="auto"/>
        </w:rPr>
        <w:t>Although it is not expected that we will generate significant tax preference items or adjustments, each unitholder will be required</w:t>
      </w:r>
      <w:r>
        <w:rPr>
          <w:rFonts w:ascii="Arial" w:cs="Arial" w:eastAsia="Arial" w:hAnsi="Arial"/>
          <w:sz w:val="18"/>
          <w:szCs w:val="18"/>
          <w:i w:val="1"/>
          <w:iCs w:val="1"/>
          <w:color w:val="auto"/>
        </w:rPr>
        <w:t xml:space="preserve"> </w:t>
      </w:r>
      <w:r>
        <w:rPr>
          <w:rFonts w:ascii="Arial" w:cs="Arial" w:eastAsia="Arial" w:hAnsi="Arial"/>
          <w:sz w:val="18"/>
          <w:szCs w:val="18"/>
          <w:color w:val="auto"/>
        </w:rPr>
        <w:t>to take into account his distributive share of any items of our income, gain, loss or deduction for purposes of the alternative minimum tax. The current minimum tax rate for noncorporate taxpayers is 26% on the first $175,000 of alternative minimum taxable income in excess of the exemption amount and 28% on any additional alternative minimum taxable income. Prospective unitholders are urged to consult with their tax advisors as to the impact of an investment in units on their liability for the alternative minimum tax.</w:t>
      </w:r>
    </w:p>
    <w:p>
      <w:pPr>
        <w:spacing w:after="0" w:line="84" w:lineRule="exact"/>
        <w:rPr>
          <w:sz w:val="20"/>
          <w:szCs w:val="20"/>
          <w:color w:val="auto"/>
        </w:rPr>
      </w:pPr>
    </w:p>
    <w:p>
      <w:pPr>
        <w:ind w:right="180" w:firstLine="222"/>
        <w:spacing w:after="0" w:line="334" w:lineRule="auto"/>
        <w:rPr>
          <w:sz w:val="20"/>
          <w:szCs w:val="20"/>
          <w:color w:val="auto"/>
        </w:rPr>
      </w:pPr>
      <w:r>
        <w:rPr>
          <w:rFonts w:ascii="Arial" w:cs="Arial" w:eastAsia="Arial" w:hAnsi="Arial"/>
          <w:sz w:val="16"/>
          <w:szCs w:val="16"/>
          <w:i w:val="1"/>
          <w:iCs w:val="1"/>
          <w:color w:val="auto"/>
        </w:rPr>
        <w:t xml:space="preserve">Tax Rates. </w:t>
      </w:r>
      <w:r>
        <w:rPr>
          <w:rFonts w:ascii="Arial" w:cs="Arial" w:eastAsia="Arial" w:hAnsi="Arial"/>
          <w:sz w:val="16"/>
          <w:szCs w:val="16"/>
          <w:color w:val="auto"/>
        </w:rPr>
        <w:t>In general the highest effective United States federal income tax rate for individuals currently is 35% and the maximum United States federal</w:t>
      </w:r>
      <w:r>
        <w:rPr>
          <w:rFonts w:ascii="Arial" w:cs="Arial" w:eastAsia="Arial" w:hAnsi="Arial"/>
          <w:sz w:val="16"/>
          <w:szCs w:val="16"/>
          <w:i w:val="1"/>
          <w:iCs w:val="1"/>
          <w:color w:val="auto"/>
        </w:rPr>
        <w:t xml:space="preserve"> </w:t>
      </w:r>
      <w:r>
        <w:rPr>
          <w:rFonts w:ascii="Arial" w:cs="Arial" w:eastAsia="Arial" w:hAnsi="Arial"/>
          <w:sz w:val="16"/>
          <w:szCs w:val="16"/>
          <w:color w:val="auto"/>
        </w:rPr>
        <w:t>income tax rate for net capital gains of an individual currently is 15% if the asset disposed of was held for more than twelve months at the time of disposition.</w:t>
      </w:r>
    </w:p>
    <w:p>
      <w:pPr>
        <w:spacing w:after="0" w:line="22" w:lineRule="exact"/>
        <w:rPr>
          <w:sz w:val="20"/>
          <w:szCs w:val="20"/>
          <w:color w:val="auto"/>
        </w:rPr>
      </w:pPr>
    </w:p>
    <w:p>
      <w:pPr>
        <w:ind w:firstLine="222"/>
        <w:spacing w:after="0" w:line="292" w:lineRule="auto"/>
        <w:rPr>
          <w:sz w:val="20"/>
          <w:szCs w:val="20"/>
          <w:color w:val="auto"/>
        </w:rPr>
      </w:pPr>
      <w:r>
        <w:rPr>
          <w:rFonts w:ascii="Arial" w:cs="Arial" w:eastAsia="Arial" w:hAnsi="Arial"/>
          <w:sz w:val="16"/>
          <w:szCs w:val="16"/>
          <w:i w:val="1"/>
          <w:iCs w:val="1"/>
          <w:color w:val="auto"/>
        </w:rPr>
        <w:t xml:space="preserve">Section 754 Election. </w:t>
      </w:r>
      <w:r>
        <w:rPr>
          <w:rFonts w:ascii="Arial" w:cs="Arial" w:eastAsia="Arial" w:hAnsi="Arial"/>
          <w:sz w:val="16"/>
          <w:szCs w:val="16"/>
          <w:color w:val="auto"/>
        </w:rPr>
        <w:t>We have made the election permitted by Section 754 of the Internal Revenue Code. That election is irrevocable without the consent of</w:t>
      </w:r>
      <w:r>
        <w:rPr>
          <w:rFonts w:ascii="Arial" w:cs="Arial" w:eastAsia="Arial" w:hAnsi="Arial"/>
          <w:sz w:val="16"/>
          <w:szCs w:val="16"/>
          <w:i w:val="1"/>
          <w:iCs w:val="1"/>
          <w:color w:val="auto"/>
        </w:rPr>
        <w:t xml:space="preserve"> </w:t>
      </w:r>
      <w:r>
        <w:rPr>
          <w:rFonts w:ascii="Arial" w:cs="Arial" w:eastAsia="Arial" w:hAnsi="Arial"/>
          <w:sz w:val="16"/>
          <w:szCs w:val="16"/>
          <w:color w:val="auto"/>
        </w:rPr>
        <w:t>the IRS. The election will generally permit us to adjust a common unit purchaser’s tax basis in our assets (“inside basis”) under Section 743(b) of the Internal Revenue Code to reflect his purchase price. This election does not apply to a person who purchases common units directly from us. The Section 743(b) adjustment belongs to the purchaser and not to other unitholders. For purposes of this discussion, a partner’s inside basis in our assets will be considered to have two components: (1) his share of our tax basis in our assets (“common basis”) and (2) his Section 743(b) adjustment to that basis.</w:t>
      </w:r>
    </w:p>
    <w:p>
      <w:pPr>
        <w:spacing w:after="0" w:line="56" w:lineRule="exact"/>
        <w:rPr>
          <w:sz w:val="20"/>
          <w:szCs w:val="20"/>
          <w:color w:val="auto"/>
        </w:rPr>
      </w:pPr>
    </w:p>
    <w:p>
      <w:pPr>
        <w:ind w:right="80" w:firstLine="219"/>
        <w:spacing w:after="0" w:line="251" w:lineRule="auto"/>
        <w:rPr>
          <w:sz w:val="20"/>
          <w:szCs w:val="20"/>
          <w:color w:val="auto"/>
        </w:rPr>
      </w:pPr>
      <w:r>
        <w:rPr>
          <w:rFonts w:ascii="Arial" w:cs="Arial" w:eastAsia="Arial" w:hAnsi="Arial"/>
          <w:sz w:val="18"/>
          <w:szCs w:val="18"/>
          <w:color w:val="auto"/>
        </w:rPr>
        <w:t>Where the remedial allocation method is adopted (which we have adopted), the Treasury Regulations under Section 743 of the Internal Revenue Code require a portion of the Section 743(b) adjustment that is attributable to recovery property to be depreciated over the remaining cost recovery period for the Section 704(c) built-in gain. Under Treasury Regulation Section 1.167(c)-l(a)(6), a Section 743(b) adjustment attributable to property subject to depreciation under Section 167 of the Internal Revenue Code rather than cost recovery deductions under Section 168 is generally required to be depreciated using either the straight-line method or the 150% declining balance method. Under our partnership agreement, our general partner is authorized to take a position to preserve the uniformity of units even if that position is not consistent with these Treasury Regulations. Please read “—Tax Treatment of Operations” and “—Uniformity of Units.”</w:t>
      </w:r>
    </w:p>
    <w:p>
      <w:pPr>
        <w:spacing w:after="0" w:line="87" w:lineRule="exact"/>
        <w:rPr>
          <w:sz w:val="20"/>
          <w:szCs w:val="20"/>
          <w:color w:val="auto"/>
        </w:rPr>
      </w:pPr>
    </w:p>
    <w:p>
      <w:pPr>
        <w:ind w:firstLine="213"/>
        <w:spacing w:after="0" w:line="265" w:lineRule="auto"/>
        <w:rPr>
          <w:sz w:val="20"/>
          <w:szCs w:val="20"/>
          <w:color w:val="auto"/>
        </w:rPr>
      </w:pPr>
      <w:r>
        <w:rPr>
          <w:rFonts w:ascii="Arial" w:cs="Arial" w:eastAsia="Arial" w:hAnsi="Arial"/>
          <w:sz w:val="17"/>
          <w:szCs w:val="17"/>
          <w:color w:val="auto"/>
        </w:rPr>
        <w:t>Although Vinson &amp; Elkins L.L.P. is unable to opine as to the validity of this approach because there is no direct or indirect controlling authority on this issue, we intend to depreciate the portion of a Section 743(b) adjustment attributable to unrealized appreciation in the value of Contributed Property, to the extent of any unamortized Book-Tax Disparity, using a rate of depreciation or amortization derived from the depreciation or amortization method and useful life applied to the common basis of the property, or treat that portion as non-amortizable to the extent attributable to property the common basis of which is not amortizable. This method is consistent with the methods employed by other publicly traded partnerships and is consistent with the regulations under Section 743 of the Internal Revenue Code but is arguably inconsistent with Treasury Regulation Section 1.167(c)-1(a)(6), which is not expected to directly apply to a material portion of our assets. To the extent this Section 743(b) adjustment is attributable to appreciation in value in excess of the unamortized Book-Tax Disparity, we will apply the rules described in the Treasury Regulations and legislative history. If we determine that this position cannot reasonably be taken, we may take a depreciation or amortization position under which all purchasers acquiring units in the same month would receive depreciation or amortization, whether attributable to common basis or a Section 743(b) adjustment, based upon the same applicable rate as if they had purchased a direct interest in our assets. This kind of aggregate approach may result in lower annual depreciation or amortization deductions than would otherwise be allowable to some unitholders. Please read “—Uniformity of Units.”</w:t>
      </w:r>
    </w:p>
    <w:p>
      <w:pPr>
        <w:spacing w:after="0" w:line="80" w:lineRule="exact"/>
        <w:rPr>
          <w:sz w:val="20"/>
          <w:szCs w:val="20"/>
          <w:color w:val="auto"/>
        </w:rPr>
      </w:pPr>
    </w:p>
    <w:p>
      <w:pPr>
        <w:ind w:right="320" w:firstLine="213"/>
        <w:spacing w:after="0" w:line="306" w:lineRule="auto"/>
        <w:rPr>
          <w:sz w:val="20"/>
          <w:szCs w:val="20"/>
          <w:color w:val="auto"/>
        </w:rPr>
      </w:pPr>
      <w:r>
        <w:rPr>
          <w:rFonts w:ascii="Arial" w:cs="Arial" w:eastAsia="Arial" w:hAnsi="Arial"/>
          <w:sz w:val="16"/>
          <w:szCs w:val="16"/>
          <w:color w:val="auto"/>
        </w:rPr>
        <w:t>A Section 754 election is advantageous if the transferee’s tax basis in his units is higher than the units’ share of the aggregate tax basis of our assets immediately prior to the transfer. In that case, as a result of the election, the transferee would have, among other items, a greater amount of depreciation and depletion deductions and his share of any gain or loss on a sale of our assets would be less. Conversely, a Section 754 election is disadvantageous if the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transferee’s tax basis in his units is lower than those units’ share of the aggregate tax basis of our assets immediately prior to the transfer. Thus, the fair market value of the units may be affected either favorably or unfavorably by the election. A basis adjustment is required regardless of whether a Section 754 election is made in the case of a transfer of an interest in us if we have a substantial built-in loss immediately after the transfer, or if we distribute property and have a substantial basis reduction. Generally a built-in loss or a basis reduction is substantial if it exceeds $250,000.</w:t>
      </w:r>
    </w:p>
    <w:p>
      <w:pPr>
        <w:spacing w:after="0" w:line="69" w:lineRule="exact"/>
        <w:rPr>
          <w:sz w:val="20"/>
          <w:szCs w:val="20"/>
          <w:color w:val="auto"/>
        </w:rPr>
      </w:pPr>
    </w:p>
    <w:p>
      <w:pPr>
        <w:ind w:firstLine="219"/>
        <w:spacing w:after="0" w:line="267" w:lineRule="auto"/>
        <w:rPr>
          <w:sz w:val="20"/>
          <w:szCs w:val="20"/>
          <w:color w:val="auto"/>
        </w:rPr>
      </w:pPr>
      <w:r>
        <w:rPr>
          <w:rFonts w:ascii="Arial" w:cs="Arial" w:eastAsia="Arial" w:hAnsi="Arial"/>
          <w:sz w:val="17"/>
          <w:szCs w:val="17"/>
          <w:color w:val="auto"/>
        </w:rPr>
        <w:t>The calculations involved in the Section 754 election are complex and will be made on the basis of assumptions as to the value of our assets and other matters. The determinations we make may be successfully challenged by the IRS and the deductions resulting from them may be reduced or disallowed altogether. For example, the allocation of the Section 743(b) adjustment among our assets must be made in accordance with the Internal Revenue Code. The IRS could seek to reallocate some or all of any Section 743(b) adjustment allocated by us to our tangible assets to goodwill instead. Goodwill, as an intangible asset, is generally amortizable over a longer period of time or under a less accelerated method than our tangible assets. Should the IRS require a different basis adjustment to be made, and should, in our opinion, the expense of compliance exceed the benefit of the election, we may seek permission from the IRS to revoke our Section 754 election. If permission is granted, a subsequent purchaser of units may be allocated more income than he would have been allocated had the election not been revoked.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Treatment of Operations</w:t>
      </w:r>
    </w:p>
    <w:p>
      <w:pPr>
        <w:spacing w:after="0" w:line="117" w:lineRule="exact"/>
        <w:rPr>
          <w:sz w:val="20"/>
          <w:szCs w:val="20"/>
          <w:color w:val="auto"/>
        </w:rPr>
      </w:pPr>
    </w:p>
    <w:p>
      <w:pPr>
        <w:ind w:right="60" w:firstLine="222"/>
        <w:spacing w:after="0" w:line="269" w:lineRule="auto"/>
        <w:rPr>
          <w:sz w:val="20"/>
          <w:szCs w:val="20"/>
          <w:color w:val="auto"/>
        </w:rPr>
      </w:pPr>
      <w:r>
        <w:rPr>
          <w:rFonts w:ascii="Arial" w:cs="Arial" w:eastAsia="Arial" w:hAnsi="Arial"/>
          <w:sz w:val="17"/>
          <w:szCs w:val="17"/>
          <w:i w:val="1"/>
          <w:iCs w:val="1"/>
          <w:color w:val="auto"/>
        </w:rPr>
        <w:t xml:space="preserve">Accounting Method and Taxable Year. </w:t>
      </w:r>
      <w:r>
        <w:rPr>
          <w:rFonts w:ascii="Arial" w:cs="Arial" w:eastAsia="Arial" w:hAnsi="Arial"/>
          <w:sz w:val="17"/>
          <w:szCs w:val="17"/>
          <w:color w:val="auto"/>
        </w:rPr>
        <w:t>We use the year ending December 31 as our taxable year and the accrual method of accounting for federal income tax</w:t>
      </w:r>
      <w:r>
        <w:rPr>
          <w:rFonts w:ascii="Arial" w:cs="Arial" w:eastAsia="Arial" w:hAnsi="Arial"/>
          <w:sz w:val="17"/>
          <w:szCs w:val="17"/>
          <w:i w:val="1"/>
          <w:iCs w:val="1"/>
          <w:color w:val="auto"/>
        </w:rPr>
        <w:t xml:space="preserve"> </w:t>
      </w:r>
      <w:r>
        <w:rPr>
          <w:rFonts w:ascii="Arial" w:cs="Arial" w:eastAsia="Arial" w:hAnsi="Arial"/>
          <w:sz w:val="17"/>
          <w:szCs w:val="17"/>
          <w:color w:val="auto"/>
        </w:rPr>
        <w:t>purposes. Each unitholder will be required to include in income his share of our income, gain, loss and deduction for our taxable year ending within or with his taxable year. In addition, a unitholder who has a taxable year ending on a date other than December 31 and who disposes of all of his units following the close of our taxable year but before the close of his taxable year must include his share of our income, gain, loss and deduction in income for his taxable year, with the result that he will be required to include in income for his taxable year his share of more than one year of our income, gain, loss and deduction. Please read “—Disposition of Common Units—Allocations Between Transferors and Transferees.”</w:t>
      </w:r>
    </w:p>
    <w:p>
      <w:pPr>
        <w:spacing w:after="0" w:line="74" w:lineRule="exact"/>
        <w:rPr>
          <w:sz w:val="20"/>
          <w:szCs w:val="20"/>
          <w:color w:val="auto"/>
        </w:rPr>
      </w:pPr>
    </w:p>
    <w:p>
      <w:pPr>
        <w:ind w:right="80" w:firstLine="222"/>
        <w:spacing w:after="0" w:line="255" w:lineRule="auto"/>
        <w:rPr>
          <w:sz w:val="20"/>
          <w:szCs w:val="20"/>
          <w:color w:val="auto"/>
        </w:rPr>
      </w:pPr>
      <w:r>
        <w:rPr>
          <w:rFonts w:ascii="Arial" w:cs="Arial" w:eastAsia="Arial" w:hAnsi="Arial"/>
          <w:sz w:val="18"/>
          <w:szCs w:val="18"/>
          <w:i w:val="1"/>
          <w:iCs w:val="1"/>
          <w:color w:val="auto"/>
        </w:rPr>
        <w:t xml:space="preserve">Initial Tax Basis, Depreciation and Amortization. </w:t>
      </w:r>
      <w:r>
        <w:rPr>
          <w:rFonts w:ascii="Arial" w:cs="Arial" w:eastAsia="Arial" w:hAnsi="Arial"/>
          <w:sz w:val="18"/>
          <w:szCs w:val="18"/>
          <w:color w:val="auto"/>
        </w:rPr>
        <w:t>The tax basis of our assets will be used for purposes of computing depreciation and cost recovery</w:t>
      </w:r>
      <w:r>
        <w:rPr>
          <w:rFonts w:ascii="Arial" w:cs="Arial" w:eastAsia="Arial" w:hAnsi="Arial"/>
          <w:sz w:val="18"/>
          <w:szCs w:val="18"/>
          <w:i w:val="1"/>
          <w:iCs w:val="1"/>
          <w:color w:val="auto"/>
        </w:rPr>
        <w:t xml:space="preserve"> </w:t>
      </w:r>
      <w:r>
        <w:rPr>
          <w:rFonts w:ascii="Arial" w:cs="Arial" w:eastAsia="Arial" w:hAnsi="Arial"/>
          <w:sz w:val="18"/>
          <w:szCs w:val="18"/>
          <w:color w:val="auto"/>
        </w:rPr>
        <w:t>deductions and, ultimately, gain or loss on the disposition of these assets. The federal income tax burden associated with the difference between the fair market value of our assets and their tax basis immediately prior to this offering will be borne by partners holding interests in us prior to this offering. Please read “— Tax Consequences of Unit Ownership—Allocation of Income, Gain, Loss and Deduction.”</w:t>
      </w:r>
    </w:p>
    <w:p>
      <w:pPr>
        <w:spacing w:after="0" w:line="82" w:lineRule="exact"/>
        <w:rPr>
          <w:sz w:val="20"/>
          <w:szCs w:val="20"/>
          <w:color w:val="auto"/>
        </w:rPr>
      </w:pPr>
    </w:p>
    <w:p>
      <w:pPr>
        <w:ind w:right="160" w:firstLine="219"/>
        <w:spacing w:after="0" w:line="281" w:lineRule="auto"/>
        <w:rPr>
          <w:sz w:val="20"/>
          <w:szCs w:val="20"/>
          <w:color w:val="auto"/>
        </w:rPr>
      </w:pPr>
      <w:r>
        <w:rPr>
          <w:rFonts w:ascii="Arial" w:cs="Arial" w:eastAsia="Arial" w:hAnsi="Arial"/>
          <w:sz w:val="17"/>
          <w:szCs w:val="17"/>
          <w:color w:val="auto"/>
        </w:rPr>
        <w:t>To the extent allowable, we may elect to use the depreciation and cost recovery methods that will result in the largest deductions being taken in the early years after assets are placed in service. We are not entitled to any amortization deductions with respect to any goodwill conveyed to us on formation. Property we subsequently acquire or construct may be depreciated using accelerated methods permitted by the Internal Revenue Code.</w:t>
      </w:r>
    </w:p>
    <w:p>
      <w:pPr>
        <w:spacing w:after="0" w:line="61" w:lineRule="exact"/>
        <w:rPr>
          <w:sz w:val="20"/>
          <w:szCs w:val="20"/>
          <w:color w:val="auto"/>
        </w:rPr>
      </w:pPr>
    </w:p>
    <w:p>
      <w:pPr>
        <w:ind w:right="160" w:firstLine="222"/>
        <w:spacing w:after="0" w:line="271" w:lineRule="auto"/>
        <w:rPr>
          <w:sz w:val="20"/>
          <w:szCs w:val="20"/>
          <w:color w:val="auto"/>
        </w:rPr>
      </w:pPr>
      <w:r>
        <w:rPr>
          <w:rFonts w:ascii="Arial" w:cs="Arial" w:eastAsia="Arial" w:hAnsi="Arial"/>
          <w:sz w:val="17"/>
          <w:szCs w:val="17"/>
          <w:color w:val="auto"/>
        </w:rPr>
        <w:t>If we dispose of depreciable property by sale, foreclosure, or otherwise, all or a portion of any gain, determined by reference to the amount of depreciation previously deducted and the nature of the property, may be subject to the recapture rules and taxed as ordinary income rather than capital gain. Similarly, a unitholder who has taken cost recovery or depreciation deductions with respect to property we own will likely be required to recapture some or all of those deductions as ordinary income upon a sale of his interest in us. Please read “—Tax Consequences of Unit Ownership—Allocation of Income, Gain, Loss and Deduction” and “—Disposition of Common Units—Recognition of Gain or Loss.”</w:t>
      </w:r>
    </w:p>
    <w:p>
      <w:pPr>
        <w:spacing w:after="0" w:line="71" w:lineRule="exact"/>
        <w:rPr>
          <w:sz w:val="20"/>
          <w:szCs w:val="20"/>
          <w:color w:val="auto"/>
        </w:rPr>
      </w:pPr>
    </w:p>
    <w:p>
      <w:pPr>
        <w:ind w:firstLine="219"/>
        <w:spacing w:after="0" w:line="281" w:lineRule="auto"/>
        <w:rPr>
          <w:sz w:val="20"/>
          <w:szCs w:val="20"/>
          <w:color w:val="auto"/>
        </w:rPr>
      </w:pPr>
      <w:r>
        <w:rPr>
          <w:rFonts w:ascii="Arial" w:cs="Arial" w:eastAsia="Arial" w:hAnsi="Arial"/>
          <w:sz w:val="17"/>
          <w:szCs w:val="17"/>
          <w:color w:val="auto"/>
        </w:rPr>
        <w:t>The costs incurred in selling our units (called “syndication expenses”) must be capitalized and cannot be deducted currently, ratably or upon our termination. There are uncertainties regarding the classification of costs as organization expenses, which may be amortized by us, and as syndication expenses, which may not be amortized by us. The underwriting discounts and commissions we incur will be treated as syndication expenses.</w:t>
      </w:r>
    </w:p>
    <w:p>
      <w:pPr>
        <w:spacing w:after="0" w:line="61" w:lineRule="exact"/>
        <w:rPr>
          <w:sz w:val="20"/>
          <w:szCs w:val="20"/>
          <w:color w:val="auto"/>
        </w:rPr>
      </w:pPr>
    </w:p>
    <w:p>
      <w:pPr>
        <w:ind w:right="380" w:firstLine="222"/>
        <w:spacing w:after="0" w:line="306" w:lineRule="auto"/>
        <w:rPr>
          <w:sz w:val="20"/>
          <w:szCs w:val="20"/>
          <w:color w:val="auto"/>
        </w:rPr>
      </w:pPr>
      <w:r>
        <w:rPr>
          <w:rFonts w:ascii="Arial" w:cs="Arial" w:eastAsia="Arial" w:hAnsi="Arial"/>
          <w:sz w:val="16"/>
          <w:szCs w:val="16"/>
          <w:i w:val="1"/>
          <w:iCs w:val="1"/>
          <w:color w:val="auto"/>
        </w:rPr>
        <w:t xml:space="preserve">Valuation and Tax Basis of Our Properties. </w:t>
      </w:r>
      <w:r>
        <w:rPr>
          <w:rFonts w:ascii="Arial" w:cs="Arial" w:eastAsia="Arial" w:hAnsi="Arial"/>
          <w:sz w:val="16"/>
          <w:szCs w:val="16"/>
          <w:color w:val="auto"/>
        </w:rPr>
        <w:t>The federal income tax consequences of the ownership and disposition of units will depend in part on our</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estimates of the relative fair market values, and the initial tax bases, of our assets. Although we may from time to time consult with professional appraisers regarding valuation matters, we will make many of the relative fair market value estimates ourselves. These estimates and determinations of basis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are subject to challenge and will not be binding on the IRS or the courts. If the estimates of fair market value or basis are later found to be incorrect, the character and amount of items of income, gain, loss or deductions previously reported by unitholders might change, and unitholders might be required to adjust their tax liability for prior years and may incur interest and penalties with respect to those adjustments.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Disposition of Common Units</w:t>
      </w:r>
    </w:p>
    <w:p>
      <w:pPr>
        <w:spacing w:after="0" w:line="117" w:lineRule="exact"/>
        <w:rPr>
          <w:sz w:val="20"/>
          <w:szCs w:val="20"/>
          <w:color w:val="auto"/>
        </w:rPr>
      </w:pPr>
    </w:p>
    <w:p>
      <w:pPr>
        <w:jc w:val="both"/>
        <w:ind w:right="40" w:firstLine="222"/>
        <w:spacing w:after="0" w:line="255" w:lineRule="auto"/>
        <w:rPr>
          <w:sz w:val="20"/>
          <w:szCs w:val="20"/>
          <w:color w:val="auto"/>
        </w:rPr>
      </w:pPr>
      <w:r>
        <w:rPr>
          <w:rFonts w:ascii="Arial" w:cs="Arial" w:eastAsia="Arial" w:hAnsi="Arial"/>
          <w:sz w:val="18"/>
          <w:szCs w:val="18"/>
          <w:i w:val="1"/>
          <w:iCs w:val="1"/>
          <w:color w:val="auto"/>
        </w:rPr>
        <w:t xml:space="preserve">Recognition of Gain or Loss. </w:t>
      </w:r>
      <w:r>
        <w:rPr>
          <w:rFonts w:ascii="Arial" w:cs="Arial" w:eastAsia="Arial" w:hAnsi="Arial"/>
          <w:sz w:val="18"/>
          <w:szCs w:val="18"/>
          <w:color w:val="auto"/>
        </w:rPr>
        <w:t>Gain or loss will be recognized on a sale of units equal to the difference between the amount realized and the unitholder’s tax</w:t>
      </w:r>
      <w:r>
        <w:rPr>
          <w:rFonts w:ascii="Arial" w:cs="Arial" w:eastAsia="Arial" w:hAnsi="Arial"/>
          <w:sz w:val="18"/>
          <w:szCs w:val="18"/>
          <w:i w:val="1"/>
          <w:iCs w:val="1"/>
          <w:color w:val="auto"/>
        </w:rPr>
        <w:t xml:space="preserve"> </w:t>
      </w:r>
      <w:r>
        <w:rPr>
          <w:rFonts w:ascii="Arial" w:cs="Arial" w:eastAsia="Arial" w:hAnsi="Arial"/>
          <w:sz w:val="18"/>
          <w:szCs w:val="18"/>
          <w:color w:val="auto"/>
        </w:rPr>
        <w:t>basis for the units sold. A unitholder’s amount realized will be measured by the sum of the cash or the fair market value of other property received by him plus his share of our nonrecourse liabilities. Because the amount realized includes a unitholder’s share of our nonrecourse liabilities, the gain recognized on the sale of units could result in a tax liability in excess of any cash received from the sale.</w:t>
      </w:r>
    </w:p>
    <w:p>
      <w:pPr>
        <w:spacing w:after="0" w:line="82" w:lineRule="exact"/>
        <w:rPr>
          <w:sz w:val="20"/>
          <w:szCs w:val="20"/>
          <w:color w:val="auto"/>
        </w:rPr>
      </w:pPr>
    </w:p>
    <w:p>
      <w:pPr>
        <w:jc w:val="both"/>
        <w:ind w:firstLine="222"/>
        <w:spacing w:after="0" w:line="259" w:lineRule="auto"/>
        <w:rPr>
          <w:sz w:val="20"/>
          <w:szCs w:val="20"/>
          <w:color w:val="auto"/>
        </w:rPr>
      </w:pPr>
      <w:r>
        <w:rPr>
          <w:rFonts w:ascii="Arial" w:cs="Arial" w:eastAsia="Arial" w:hAnsi="Arial"/>
          <w:sz w:val="18"/>
          <w:szCs w:val="18"/>
          <w:color w:val="auto"/>
        </w:rPr>
        <w:t>Prior distributions from us in excess of cumulative net taxable income for a common unit that decreased a unitholder’s tax basis in that common unit will, in effect, become taxable income if the common unit is sold at a price greater than the unitholder’s tax basis in that common unit, even if the price received is less than his original cost.</w:t>
      </w:r>
    </w:p>
    <w:p>
      <w:pPr>
        <w:spacing w:after="0" w:line="77" w:lineRule="exact"/>
        <w:rPr>
          <w:sz w:val="20"/>
          <w:szCs w:val="20"/>
          <w:color w:val="auto"/>
        </w:rPr>
      </w:pPr>
    </w:p>
    <w:p>
      <w:pPr>
        <w:ind w:right="80" w:firstLine="222"/>
        <w:spacing w:after="0" w:line="267" w:lineRule="auto"/>
        <w:rPr>
          <w:sz w:val="20"/>
          <w:szCs w:val="20"/>
          <w:color w:val="auto"/>
        </w:rPr>
      </w:pPr>
      <w:r>
        <w:rPr>
          <w:rFonts w:ascii="Arial" w:cs="Arial" w:eastAsia="Arial" w:hAnsi="Arial"/>
          <w:sz w:val="17"/>
          <w:szCs w:val="17"/>
          <w:color w:val="auto"/>
        </w:rPr>
        <w:t>Except as noted below, gain or loss recognized by a unitholder, other than a “dealer” in units, on the sale or exchange of a unit held for more than one year will generally be taxable as capital gain or loss. Capital gain recognized by an individual on the sale of units held more than twelve months will generally be taxed at a maximum rate of 15%. A portion of this gain or loss, which will likely be substantial, however, will be separately computed and taxed as ordinary income or loss under Section 751 of the Internal Revenue Code to the extent attributable to assets giving rise to depreciation recapture or other “unrealized receivables” or to “inventory items” we own. The term “unrealized receivables” includes potential recapture items, including depreciation recapture. Ordinary income attributable to unrealized receivables, inventory items and depreciation recapture may exceed net taxable gain realized upon the sale of a unit and may be recognized even if there is a net taxable loss realized on the sale of a unit. Thus, a unitholder may recognize both ordinary income and a capital loss upon a sale of units. Net capital losses may offset capital gains and no more than $3,000 of ordinary income in the case of individuals, and may only be used to offset capital gains in the case of corporations.</w:t>
      </w:r>
    </w:p>
    <w:p>
      <w:pPr>
        <w:spacing w:after="0" w:line="72" w:lineRule="exact"/>
        <w:rPr>
          <w:sz w:val="20"/>
          <w:szCs w:val="20"/>
          <w:color w:val="auto"/>
        </w:rPr>
      </w:pPr>
    </w:p>
    <w:p>
      <w:pPr>
        <w:ind w:right="20" w:firstLine="219"/>
        <w:spacing w:after="0" w:line="266" w:lineRule="auto"/>
        <w:rPr>
          <w:sz w:val="20"/>
          <w:szCs w:val="20"/>
          <w:color w:val="auto"/>
        </w:rPr>
      </w:pPr>
      <w:r>
        <w:rPr>
          <w:rFonts w:ascii="Arial" w:cs="Arial" w:eastAsia="Arial" w:hAnsi="Arial"/>
          <w:sz w:val="17"/>
          <w:szCs w:val="17"/>
          <w:color w:val="auto"/>
        </w:rPr>
        <w:t>The IRS has ruled that a partner who acquires interests in a partnership in separate transactions must combine those interests and maintain a single adjusted tax basis for all those interests. Upon a sale or other disposition of less than all of those interests, a portion of that tax basis must be allocated to the interests sold using an “equitable apportionment” method, which generally means that the tax basis allocated to the interest sold equals an amount that bears the same relation to the partner’s tax basis in his entire interest in the partnership as the value of the interest sold bears to the value of the partner’s entire interest in the partnership. Treasury Regulations under Section 1223 of the Internal Revenue Code allow a selling unitholder who can identify common units transferred with an ascertainable holding period to elect to use the actual holding period of the common units transferred. Thus, according to the ruling, a common unitholder will be unable to select high or low basis common units to sell as would be the case with corporate stock, but, according to the regulations, may designate specific common units sold for purposes of determining the holding period of units transferred. A unitholder electing to use the actual holding period of common units transferred must consistently use that identification method for all subsequent sales or exchanges of common units. A unitholder considering the purchase of additional units or a sale of common units purchased in separate transactions is urged to consult his tax advisor as to the possible consequences of this ruling and application of the regulations.</w:t>
      </w:r>
    </w:p>
    <w:p>
      <w:pPr>
        <w:spacing w:after="0" w:line="73" w:lineRule="exact"/>
        <w:rPr>
          <w:sz w:val="20"/>
          <w:szCs w:val="20"/>
          <w:color w:val="auto"/>
        </w:rPr>
      </w:pPr>
    </w:p>
    <w:p>
      <w:pPr>
        <w:jc w:val="both"/>
        <w:ind w:right="120" w:firstLine="222"/>
        <w:spacing w:after="0" w:line="259" w:lineRule="auto"/>
        <w:rPr>
          <w:sz w:val="20"/>
          <w:szCs w:val="20"/>
          <w:color w:val="auto"/>
        </w:rPr>
      </w:pPr>
      <w:r>
        <w:rPr>
          <w:rFonts w:ascii="Arial" w:cs="Arial" w:eastAsia="Arial" w:hAnsi="Arial"/>
          <w:sz w:val="18"/>
          <w:szCs w:val="18"/>
          <w:color w:val="auto"/>
        </w:rPr>
        <w:t>Specific provisions of the Internal Revenue Code affect the taxation of some financial products and securities, including partnership interests, by treating a taxpayer as having sold an “appreciated” partnership interest, one in which gain would be recognized if it were sold, assigned or terminated at its fair market value, if the taxpayer or related persons enter(s) into:</w:t>
      </w:r>
    </w:p>
    <w:p>
      <w:pPr>
        <w:spacing w:after="0" w:line="77" w:lineRule="exact"/>
        <w:rPr>
          <w:sz w:val="20"/>
          <w:szCs w:val="20"/>
          <w:color w:val="auto"/>
        </w:rPr>
      </w:pPr>
    </w:p>
    <w:p>
      <w:pPr>
        <w:ind w:left="560" w:hanging="326"/>
        <w:spacing w:after="0"/>
        <w:tabs>
          <w:tab w:leader="none" w:pos="5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a short sale;</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an offsetting notional principal contract; or</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a futures or forward contract with respect to the partnership interest or substantially identical property.</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60"/>
          </w:cols>
          <w:pgMar w:left="240" w:top="415"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right="160" w:firstLine="222"/>
        <w:spacing w:after="0" w:line="297" w:lineRule="auto"/>
        <w:rPr>
          <w:sz w:val="20"/>
          <w:szCs w:val="20"/>
          <w:color w:val="auto"/>
        </w:rPr>
      </w:pPr>
      <w:r>
        <w:rPr>
          <w:rFonts w:ascii="Arial" w:cs="Arial" w:eastAsia="Arial" w:hAnsi="Arial"/>
          <w:sz w:val="16"/>
          <w:szCs w:val="16"/>
          <w:color w:val="auto"/>
        </w:rPr>
        <w:t>Moreover, if a taxpayer has previously entered into a short sale, an offsetting notional principal contract or a futures or forward contract with respect to the partnership interest, the taxpayer will be treated as having sold that position if the taxpayer or a related person then acquires the partnership interest or substantially identical property. The Secretary of the Treasury is also authorized to issue regulations that treat a taxpayer that enters into transactions or positions that have substantially the same effect as the preceding transactions as having constructively sold the financial position.</w:t>
      </w:r>
    </w:p>
    <w:p>
      <w:pPr>
        <w:spacing w:after="0" w:line="50" w:lineRule="exact"/>
        <w:rPr>
          <w:sz w:val="20"/>
          <w:szCs w:val="20"/>
          <w:color w:val="auto"/>
        </w:rPr>
      </w:pPr>
    </w:p>
    <w:p>
      <w:pPr>
        <w:ind w:firstLine="222"/>
        <w:spacing w:after="0" w:line="271" w:lineRule="auto"/>
        <w:rPr>
          <w:sz w:val="20"/>
          <w:szCs w:val="20"/>
          <w:color w:val="auto"/>
        </w:rPr>
      </w:pPr>
      <w:r>
        <w:rPr>
          <w:rFonts w:ascii="Arial" w:cs="Arial" w:eastAsia="Arial" w:hAnsi="Arial"/>
          <w:sz w:val="17"/>
          <w:szCs w:val="17"/>
          <w:i w:val="1"/>
          <w:iCs w:val="1"/>
          <w:color w:val="auto"/>
        </w:rPr>
        <w:t xml:space="preserve">Allocations Between Transferors and Transferees. </w:t>
      </w:r>
      <w:r>
        <w:rPr>
          <w:rFonts w:ascii="Arial" w:cs="Arial" w:eastAsia="Arial" w:hAnsi="Arial"/>
          <w:sz w:val="17"/>
          <w:szCs w:val="17"/>
          <w:color w:val="auto"/>
        </w:rPr>
        <w:t>In general, our taxable income and losses will be determined annually, will be prorated on a monthly basis</w:t>
      </w:r>
      <w:r>
        <w:rPr>
          <w:rFonts w:ascii="Arial" w:cs="Arial" w:eastAsia="Arial" w:hAnsi="Arial"/>
          <w:sz w:val="17"/>
          <w:szCs w:val="17"/>
          <w:i w:val="1"/>
          <w:iCs w:val="1"/>
          <w:color w:val="auto"/>
        </w:rPr>
        <w:t xml:space="preserve"> </w:t>
      </w:r>
      <w:r>
        <w:rPr>
          <w:rFonts w:ascii="Arial" w:cs="Arial" w:eastAsia="Arial" w:hAnsi="Arial"/>
          <w:sz w:val="17"/>
          <w:szCs w:val="17"/>
          <w:color w:val="auto"/>
        </w:rPr>
        <w:t>and will be subsequently apportioned among the unitholders in proportion to the number of units owned by each of them as of the opening of the NYSE on the first business day of the month (the “Allocation Date”). However, gain or loss realized on a sale or other disposition of our assets other than in the ordinary course of business will be allocated among the unitholders on the Allocation Date in the month in which that gain or loss is recognized. As a result, a unitholder transferring units may be allocated income, gain, loss and deduction realized after the date of transfer.</w:t>
      </w:r>
    </w:p>
    <w:p>
      <w:pPr>
        <w:spacing w:after="0" w:line="71" w:lineRule="exact"/>
        <w:rPr>
          <w:sz w:val="20"/>
          <w:szCs w:val="20"/>
          <w:color w:val="auto"/>
        </w:rPr>
      </w:pPr>
    </w:p>
    <w:p>
      <w:pPr>
        <w:ind w:right="20" w:firstLine="219"/>
        <w:spacing w:after="0" w:line="253" w:lineRule="auto"/>
        <w:rPr>
          <w:sz w:val="20"/>
          <w:szCs w:val="20"/>
          <w:color w:val="auto"/>
        </w:rPr>
      </w:pPr>
      <w:r>
        <w:rPr>
          <w:rFonts w:ascii="Arial" w:cs="Arial" w:eastAsia="Arial" w:hAnsi="Arial"/>
          <w:sz w:val="18"/>
          <w:szCs w:val="18"/>
          <w:color w:val="auto"/>
        </w:rPr>
        <w:t>The use of this method may not be permitted under existing Treasury Regulations. Accordingly, Vinson &amp; Elkins L.L.P. is unable to opine on the validity of this method of allocating income and deductions between transferee and transferor unitholders. If this method is not allowed under the Treasury Regulations, or only applies to transfers of less than all of the unitholder’s interest, our taxable income or losses might be reallocated among the transferee and transferor unitholders as well as unitholders whose interests vary during a taxable year. We are authorized to revise our method of allocation between unitholders to conform to a method permitted under future Treasury Regulations.</w:t>
      </w:r>
    </w:p>
    <w:p>
      <w:pPr>
        <w:spacing w:after="0" w:line="84" w:lineRule="exact"/>
        <w:rPr>
          <w:sz w:val="20"/>
          <w:szCs w:val="20"/>
          <w:color w:val="auto"/>
        </w:rPr>
      </w:pPr>
    </w:p>
    <w:p>
      <w:pPr>
        <w:ind w:right="40" w:firstLine="213"/>
        <w:spacing w:after="0" w:line="300" w:lineRule="auto"/>
        <w:rPr>
          <w:sz w:val="20"/>
          <w:szCs w:val="20"/>
          <w:color w:val="auto"/>
        </w:rPr>
      </w:pPr>
      <w:r>
        <w:rPr>
          <w:rFonts w:ascii="Arial" w:cs="Arial" w:eastAsia="Arial" w:hAnsi="Arial"/>
          <w:sz w:val="17"/>
          <w:szCs w:val="17"/>
          <w:color w:val="auto"/>
        </w:rPr>
        <w:t>A unitholder who owns units at any time during a quarter and who disposes of them prior to the record date set for a cash distribution for that quarter will be allocated items of our income, gain, loss and deductions attributable to that quarter but will not be entitled to receive that cash distribution.</w:t>
      </w:r>
    </w:p>
    <w:p>
      <w:pPr>
        <w:spacing w:after="0" w:line="45" w:lineRule="exact"/>
        <w:rPr>
          <w:sz w:val="20"/>
          <w:szCs w:val="20"/>
          <w:color w:val="auto"/>
        </w:rPr>
      </w:pPr>
    </w:p>
    <w:p>
      <w:pPr>
        <w:ind w:firstLine="222"/>
        <w:spacing w:after="0" w:line="252" w:lineRule="auto"/>
        <w:rPr>
          <w:sz w:val="20"/>
          <w:szCs w:val="20"/>
          <w:color w:val="auto"/>
        </w:rPr>
      </w:pPr>
      <w:r>
        <w:rPr>
          <w:rFonts w:ascii="Arial" w:cs="Arial" w:eastAsia="Arial" w:hAnsi="Arial"/>
          <w:sz w:val="18"/>
          <w:szCs w:val="18"/>
          <w:i w:val="1"/>
          <w:iCs w:val="1"/>
          <w:color w:val="auto"/>
        </w:rPr>
        <w:t xml:space="preserve">Notification Requirements. </w:t>
      </w:r>
      <w:r>
        <w:rPr>
          <w:rFonts w:ascii="Arial" w:cs="Arial" w:eastAsia="Arial" w:hAnsi="Arial"/>
          <w:sz w:val="18"/>
          <w:szCs w:val="18"/>
          <w:color w:val="auto"/>
        </w:rPr>
        <w:t>A unitholder who sells any of his units is generally required to notify us in writing of that sale within 30 days after the sale (or, if</w:t>
      </w:r>
      <w:r>
        <w:rPr>
          <w:rFonts w:ascii="Arial" w:cs="Arial" w:eastAsia="Arial" w:hAnsi="Arial"/>
          <w:sz w:val="18"/>
          <w:szCs w:val="18"/>
          <w:i w:val="1"/>
          <w:iCs w:val="1"/>
          <w:color w:val="auto"/>
        </w:rPr>
        <w:t xml:space="preserve"> </w:t>
      </w:r>
      <w:r>
        <w:rPr>
          <w:rFonts w:ascii="Arial" w:cs="Arial" w:eastAsia="Arial" w:hAnsi="Arial"/>
          <w:sz w:val="18"/>
          <w:szCs w:val="18"/>
          <w:color w:val="auto"/>
        </w:rPr>
        <w:t>earlier, January 15 of the year following the sale). A purchaser of units who purchases units from another unitholder is also generally required to notify us in writing of that purchase within 30 days after the purchase. Upon receiving such notifications, we are required to notify the IRS of that transaction and to furnish specified information to the transferor and transferee. Failure to notify us of a purchase may, in some cases, lead to the imposition of penalties. However, these reporting requirements do not apply to a sale by an individual who is a citizen of the United States and who effects the sale or exchange through a broker who will satisfy such requirements.</w:t>
      </w:r>
    </w:p>
    <w:p>
      <w:pPr>
        <w:spacing w:after="0" w:line="84" w:lineRule="exact"/>
        <w:rPr>
          <w:sz w:val="20"/>
          <w:szCs w:val="20"/>
          <w:color w:val="auto"/>
        </w:rPr>
      </w:pPr>
    </w:p>
    <w:p>
      <w:pPr>
        <w:ind w:right="60" w:firstLine="222"/>
        <w:spacing w:after="0" w:line="268" w:lineRule="auto"/>
        <w:rPr>
          <w:sz w:val="20"/>
          <w:szCs w:val="20"/>
          <w:color w:val="auto"/>
        </w:rPr>
      </w:pPr>
      <w:r>
        <w:rPr>
          <w:rFonts w:ascii="Arial" w:cs="Arial" w:eastAsia="Arial" w:hAnsi="Arial"/>
          <w:sz w:val="17"/>
          <w:szCs w:val="17"/>
          <w:i w:val="1"/>
          <w:iCs w:val="1"/>
          <w:color w:val="auto"/>
        </w:rPr>
        <w:t xml:space="preserve">Constructive Termination. </w:t>
      </w:r>
      <w:r>
        <w:rPr>
          <w:rFonts w:ascii="Arial" w:cs="Arial" w:eastAsia="Arial" w:hAnsi="Arial"/>
          <w:sz w:val="17"/>
          <w:szCs w:val="17"/>
          <w:color w:val="auto"/>
        </w:rPr>
        <w:t>We will be considered to have been terminated for tax purposes if there is a sale or exchange of 50% or more of the total interests</w:t>
      </w:r>
      <w:r>
        <w:rPr>
          <w:rFonts w:ascii="Arial" w:cs="Arial" w:eastAsia="Arial" w:hAnsi="Arial"/>
          <w:sz w:val="17"/>
          <w:szCs w:val="17"/>
          <w:i w:val="1"/>
          <w:iCs w:val="1"/>
          <w:color w:val="auto"/>
        </w:rPr>
        <w:t xml:space="preserve"> </w:t>
      </w:r>
      <w:r>
        <w:rPr>
          <w:rFonts w:ascii="Arial" w:cs="Arial" w:eastAsia="Arial" w:hAnsi="Arial"/>
          <w:sz w:val="17"/>
          <w:szCs w:val="17"/>
          <w:color w:val="auto"/>
        </w:rPr>
        <w:t>in our capital and profits within a twelve-month period. A constructive termination results in the closing of our taxable year for all unitholders. In the case of a unitholder reporting on a taxable year other than a fiscal year ending December 31, the closing of our taxable year may result in more than twelve months of our taxable income or loss being includable in his taxable income for the year of termination. We would be required to make new tax elections after a termination, including a new election under Section 754 of the Internal Revenue Code, and a termination would result in a deferral of our deductions for depreciation. A termination could also result in penalties if we were unable to determine that the termination had occurred. Moreover, a termination might either accelerate the application of, or subject us to, any tax legislation enacted before the termination.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Uniformity of Units</w:t>
      </w:r>
    </w:p>
    <w:p>
      <w:pPr>
        <w:spacing w:after="0" w:line="117" w:lineRule="exact"/>
        <w:rPr>
          <w:sz w:val="20"/>
          <w:szCs w:val="20"/>
          <w:color w:val="auto"/>
        </w:rPr>
      </w:pPr>
    </w:p>
    <w:p>
      <w:pPr>
        <w:ind w:right="180" w:firstLine="222"/>
        <w:spacing w:after="0" w:line="274" w:lineRule="auto"/>
        <w:rPr>
          <w:sz w:val="20"/>
          <w:szCs w:val="20"/>
          <w:color w:val="auto"/>
        </w:rPr>
      </w:pPr>
      <w:r>
        <w:rPr>
          <w:rFonts w:ascii="Arial" w:cs="Arial" w:eastAsia="Arial" w:hAnsi="Arial"/>
          <w:sz w:val="17"/>
          <w:szCs w:val="17"/>
          <w:color w:val="auto"/>
        </w:rPr>
        <w:t>Because we cannot match transferors and transferees of units, we must maintain uniformity of the economic and tax characteristics of the units to a purchaser of these units. In the absence of uniformity, we may be unable to completely comply with a number of federal income tax requirements, both statutory and regulatory. A lack of uniformity can result from a literal application of Treasury Regulation Section 1.167(c)-1(a)(6). Any non-uniformity could have a negative impact on the value of the units. Please read “—Tax Consequences of Unit Ownership—Section 754 Election.”</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right="40" w:firstLine="219"/>
        <w:spacing w:after="0" w:line="264" w:lineRule="auto"/>
        <w:rPr>
          <w:sz w:val="20"/>
          <w:szCs w:val="20"/>
          <w:color w:val="auto"/>
        </w:rPr>
      </w:pPr>
      <w:r>
        <w:rPr>
          <w:rFonts w:ascii="Arial" w:cs="Arial" w:eastAsia="Arial" w:hAnsi="Arial"/>
          <w:sz w:val="17"/>
          <w:szCs w:val="17"/>
          <w:color w:val="auto"/>
        </w:rPr>
        <w:t>We intend to depreciate the portion of a Section 743(b) adjustment attributable to unrealized appreciation in the value of Contributed Property, to the extent of any unamortized Book-Tax Disparity, using a rate of depreciation or amortization derived from the depreciation or amortization method and useful life applied to the common basis of that property, or treat that portion as nonamortizable, to the extent attributable to property the common basis of which is not amortizable, consistent with the regulations under Section 743 of the Internal Revenue Code even though that position may arguably be inconsistent with Treasury Regulation Section 1.167(c)-1(a)(6), which is not expected to directly apply to a material portion of our assets. Please read “—Tax Consequences of Unit Ownership—Section 754 Election.” To the extent that the Section 743(b) adjustment is attributable to appreciation in value in excess of the unamortized Book-Tax Disparity, we will apply the rules described in the Treasury Regulations and legislative history. If we determine that this position cannot reasonably be taken, we may adopt a depreciation and amortization position under which all purchasers acquiring units in the same month would receive depreciation and amortization deductions, whether attributable to a common basis or Section 743(b) adjustment, based upon the same applicable rate as if they had purchased a direct interest in our property. If this position is adopted, it may result in lower annual depreciation and amortization deductions than would otherwise be allowable to some unitholders and risk the loss of depreciation and amortization deductions not taken in the year that these deductions are otherwise allowable. This position will not be adopted if we determine that the loss of depreciation and amortization deductions will have a material adverse effect on the unitholders. If we choose not to utilize this aggregate method, we may use any other reasonable depreciation and amortization method to preserve the uniformity of the intrinsic tax characteristics of any units that would not have a material adverse effect on the unitholders. The IRS may challenge any method of depreciating the Section 743(b) adjustment described in this paragraph. If this challenge were sustained, the uniformity of units might be affected, and the gain from the sale of units might be increased without the benefit of additional deductions. Please read “—Disposition of Common Units—Recognition of Gain or Loss.”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Tax-Exempt Organizations and Other Investors</w:t>
      </w:r>
    </w:p>
    <w:p>
      <w:pPr>
        <w:spacing w:after="0" w:line="117" w:lineRule="exact"/>
        <w:rPr>
          <w:sz w:val="20"/>
          <w:szCs w:val="20"/>
          <w:color w:val="auto"/>
        </w:rPr>
      </w:pPr>
    </w:p>
    <w:p>
      <w:pPr>
        <w:ind w:right="20" w:firstLine="222"/>
        <w:spacing w:after="0" w:line="253" w:lineRule="auto"/>
        <w:rPr>
          <w:sz w:val="20"/>
          <w:szCs w:val="20"/>
          <w:color w:val="auto"/>
        </w:rPr>
      </w:pPr>
      <w:r>
        <w:rPr>
          <w:rFonts w:ascii="Arial" w:cs="Arial" w:eastAsia="Arial" w:hAnsi="Arial"/>
          <w:sz w:val="18"/>
          <w:szCs w:val="18"/>
          <w:color w:val="auto"/>
        </w:rPr>
        <w:t>Ownership of units by employee benefit plans, other tax-exempt organizations, non-resident aliens, foreign corporations, other foreign persons and regulated investment companies raises issues unique to those investors and, as described below, may have substantially adverse tax consequences to them. Employee benefit plans and most other organizations exempt from federal income tax, including individual retirement accounts and other retirement plans, are subject to federal income tax on unrelated business taxable income. Virtually all of our income allocated to a unitholder that is a tax-exempt organization will be unrelated business taxable income and will be taxable to them.</w:t>
      </w:r>
    </w:p>
    <w:p>
      <w:pPr>
        <w:spacing w:after="0" w:line="84" w:lineRule="exact"/>
        <w:rPr>
          <w:sz w:val="20"/>
          <w:szCs w:val="20"/>
          <w:color w:val="auto"/>
        </w:rPr>
      </w:pPr>
    </w:p>
    <w:p>
      <w:pPr>
        <w:ind w:firstLine="222"/>
        <w:spacing w:after="0" w:line="269" w:lineRule="auto"/>
        <w:rPr>
          <w:sz w:val="20"/>
          <w:szCs w:val="20"/>
          <w:color w:val="auto"/>
        </w:rPr>
      </w:pPr>
      <w:r>
        <w:rPr>
          <w:rFonts w:ascii="Arial" w:cs="Arial" w:eastAsia="Arial" w:hAnsi="Arial"/>
          <w:sz w:val="17"/>
          <w:szCs w:val="17"/>
          <w:color w:val="auto"/>
        </w:rPr>
        <w:t>Non-resident aliens and foreign corporations, trusts or estates that own units will be considered to be engaged in business in the United States because of the ownership of units. As a consequence, they will be required to file federal tax returns to report their share of our net income, gain, loss or deduction and pay federal income tax at regular rates on their share of our income or gain. Moreover, under rules applicable to publicly traded partnerships, we will withhold at the highest applicable effective tax rate from cash distributions made quarterly to foreign unitholders. Each foreign unitholder must obtain a taxpayer identification number from the IRS and submit that number to our transfer agent on a Form W-8 BEN or applicable substitute form in order to obtain credit for these withholding taxes. A change in applicable law may require us to change these procedures.</w:t>
      </w:r>
    </w:p>
    <w:p>
      <w:pPr>
        <w:spacing w:after="0" w:line="74" w:lineRule="exact"/>
        <w:rPr>
          <w:sz w:val="20"/>
          <w:szCs w:val="20"/>
          <w:color w:val="auto"/>
        </w:rPr>
      </w:pPr>
    </w:p>
    <w:p>
      <w:pPr>
        <w:ind w:right="140" w:firstLine="222"/>
        <w:spacing w:after="0" w:line="292" w:lineRule="auto"/>
        <w:rPr>
          <w:sz w:val="20"/>
          <w:szCs w:val="20"/>
          <w:color w:val="auto"/>
        </w:rPr>
      </w:pPr>
      <w:r>
        <w:rPr>
          <w:rFonts w:ascii="Arial" w:cs="Arial" w:eastAsia="Arial" w:hAnsi="Arial"/>
          <w:sz w:val="16"/>
          <w:szCs w:val="16"/>
          <w:color w:val="auto"/>
        </w:rPr>
        <w:t>In addition, because a foreign corporation that owns units will be treated as engaged in a United States trade or business, that corporation may be subject to the United States branch profits tax at a rate of 30%, in addition to regular federal income tax, on its share of our income and gain, as adjusted for changes in the foreign corporation’s “U.S. net equity,” which is effectively connected with the conduct of a United States trade or business. 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Internal Revenue Code.</w:t>
      </w:r>
    </w:p>
    <w:p>
      <w:pPr>
        <w:spacing w:after="0" w:line="56" w:lineRule="exact"/>
        <w:rPr>
          <w:sz w:val="20"/>
          <w:szCs w:val="20"/>
          <w:color w:val="auto"/>
        </w:rPr>
      </w:pPr>
    </w:p>
    <w:p>
      <w:pPr>
        <w:ind w:right="20" w:firstLine="222"/>
        <w:spacing w:after="0" w:line="281" w:lineRule="auto"/>
        <w:rPr>
          <w:sz w:val="20"/>
          <w:szCs w:val="20"/>
          <w:color w:val="auto"/>
        </w:rPr>
      </w:pPr>
      <w:r>
        <w:rPr>
          <w:rFonts w:ascii="Arial" w:cs="Arial" w:eastAsia="Arial" w:hAnsi="Arial"/>
          <w:sz w:val="17"/>
          <w:szCs w:val="17"/>
          <w:color w:val="auto"/>
        </w:rPr>
        <w:t>Under a ruling of the IRS, a foreign unitholder who sells or otherwise disposes of a unit will be subject to federal income tax on gain realized on the sale or disposition of that unit to the extent that this gain is effectively connected with a United States trade or business of the foreign unitholder. Apart from the ruling, a foreign unitholder will not be taxed or subject to withholding upon the sale or disposition of a unit if he has owned less than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right="60"/>
        <w:spacing w:after="0" w:line="270" w:lineRule="auto"/>
        <w:rPr>
          <w:sz w:val="20"/>
          <w:szCs w:val="20"/>
          <w:color w:val="auto"/>
        </w:rPr>
      </w:pPr>
      <w:r>
        <w:rPr>
          <w:rFonts w:ascii="Arial" w:cs="Arial" w:eastAsia="Arial" w:hAnsi="Arial"/>
          <w:sz w:val="18"/>
          <w:szCs w:val="18"/>
          <w:color w:val="auto"/>
        </w:rPr>
        <w:t>5% in value of the units during the five-year period ending on the date of the disposition and if the units are regularly traded on an established securities market at the time of the sale or disposition.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Matters</w:t>
      </w:r>
    </w:p>
    <w:p>
      <w:pPr>
        <w:spacing w:after="0" w:line="117" w:lineRule="exact"/>
        <w:rPr>
          <w:sz w:val="20"/>
          <w:szCs w:val="20"/>
          <w:color w:val="auto"/>
        </w:rPr>
      </w:pPr>
    </w:p>
    <w:p>
      <w:pPr>
        <w:ind w:right="280" w:firstLine="222"/>
        <w:spacing w:after="0" w:line="251" w:lineRule="auto"/>
        <w:rPr>
          <w:sz w:val="20"/>
          <w:szCs w:val="20"/>
          <w:color w:val="auto"/>
        </w:rPr>
      </w:pPr>
      <w:r>
        <w:rPr>
          <w:rFonts w:ascii="Arial" w:cs="Arial" w:eastAsia="Arial" w:hAnsi="Arial"/>
          <w:sz w:val="18"/>
          <w:szCs w:val="18"/>
          <w:i w:val="1"/>
          <w:iCs w:val="1"/>
          <w:color w:val="auto"/>
        </w:rPr>
        <w:t xml:space="preserve">Information Returns and Audit Procedures. </w:t>
      </w:r>
      <w:r>
        <w:rPr>
          <w:rFonts w:ascii="Arial" w:cs="Arial" w:eastAsia="Arial" w:hAnsi="Arial"/>
          <w:sz w:val="18"/>
          <w:szCs w:val="18"/>
          <w:color w:val="auto"/>
        </w:rPr>
        <w:t>We intend to furnish to each unitholder, within 90 days after the close of each calendar year, specific tax</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including a Schedule K-1, which describes his share of our income, gain, loss and deduction for our preceding taxable year. In preparing this information, which will not be reviewed by counsel, we will take various accounting and reporting positions, some of which have been mentioned earlier, to determine each unitholder’s share of income, gain, loss and deduction. We cannot assure you that those positions will yield a result that conforms to the requirements of the Internal Revenue Code, Treasury Regulations or administrative interpretations of the IRS. Neither we nor Vinson &amp; Elkins L.L.P. can assure prospective unitholders that the IRS will not successfully contend in court that those positions are impermissible. Any challenge by the IRS could negatively affect the value of the units.</w:t>
      </w:r>
    </w:p>
    <w:p>
      <w:pPr>
        <w:spacing w:after="0" w:line="87" w:lineRule="exact"/>
        <w:rPr>
          <w:sz w:val="20"/>
          <w:szCs w:val="20"/>
          <w:color w:val="auto"/>
        </w:rPr>
      </w:pPr>
    </w:p>
    <w:p>
      <w:pPr>
        <w:jc w:val="both"/>
        <w:ind w:right="100" w:firstLine="219"/>
        <w:spacing w:after="0" w:line="259" w:lineRule="auto"/>
        <w:rPr>
          <w:sz w:val="20"/>
          <w:szCs w:val="20"/>
          <w:color w:val="auto"/>
        </w:rPr>
      </w:pPr>
      <w:r>
        <w:rPr>
          <w:rFonts w:ascii="Arial" w:cs="Arial" w:eastAsia="Arial" w:hAnsi="Arial"/>
          <w:sz w:val="18"/>
          <w:szCs w:val="18"/>
          <w:color w:val="auto"/>
        </w:rPr>
        <w:t>The IRS may audit our federal income tax information returns. Adjustments resulting from an IRS audit may require each unitholder to adjust a prior year’s tax liability, and possibly may result in an audit of that unitholder’s own return. Any audit of a unitholder’s return could result in adjustments not related to our returns as well as those related to our returns.</w:t>
      </w:r>
    </w:p>
    <w:p>
      <w:pPr>
        <w:spacing w:after="0" w:line="77" w:lineRule="exact"/>
        <w:rPr>
          <w:sz w:val="20"/>
          <w:szCs w:val="20"/>
          <w:color w:val="auto"/>
        </w:rPr>
      </w:pPr>
    </w:p>
    <w:p>
      <w:pPr>
        <w:ind w:right="60" w:firstLine="222"/>
        <w:spacing w:after="0" w:line="274" w:lineRule="auto"/>
        <w:rPr>
          <w:sz w:val="20"/>
          <w:szCs w:val="20"/>
          <w:color w:val="auto"/>
        </w:rPr>
      </w:pPr>
      <w:r>
        <w:rPr>
          <w:rFonts w:ascii="Arial" w:cs="Arial" w:eastAsia="Arial" w:hAnsi="Arial"/>
          <w:sz w:val="17"/>
          <w:szCs w:val="17"/>
          <w:color w:val="auto"/>
        </w:rPr>
        <w:t>Partnerships generally are treated as separate entities for purposes of federal tax audits, judicial review of administrative adjustments by the IRS and tax settlement proceedings. The tax treatment of partnership items of income, gain, loss and deduction are determined in a partnership proceeding rather than in separate proceedings with the partners. The Internal Revenue Code requires that one partner be designated as the “Tax Matters Partner” for these purposes. Our partnership agreement appoints the general partner as our Tax Matters Partner.</w:t>
      </w:r>
    </w:p>
    <w:p>
      <w:pPr>
        <w:spacing w:after="0" w:line="69" w:lineRule="exact"/>
        <w:rPr>
          <w:sz w:val="20"/>
          <w:szCs w:val="20"/>
          <w:color w:val="auto"/>
        </w:rPr>
      </w:pPr>
    </w:p>
    <w:p>
      <w:pPr>
        <w:ind w:firstLine="219"/>
        <w:spacing w:after="0" w:line="267" w:lineRule="auto"/>
        <w:rPr>
          <w:sz w:val="20"/>
          <w:szCs w:val="20"/>
          <w:color w:val="auto"/>
        </w:rPr>
      </w:pPr>
      <w:r>
        <w:rPr>
          <w:rFonts w:ascii="Arial" w:cs="Arial" w:eastAsia="Arial" w:hAnsi="Arial"/>
          <w:sz w:val="17"/>
          <w:szCs w:val="17"/>
          <w:color w:val="auto"/>
        </w:rPr>
        <w:t>The Tax Matters Partner has made and will make some elections on our behalf and on behalf of unitholders. In addition, the Tax Matters Partner can extend the statute of limitations for assessment of tax deficiencies against unitholders for items in our returns. The Tax Matters Partner may bind a unitholder with less than a 1% profits interest in us to a settlement with the IRS unless that unitholder elects, by filing a statement with the IRS, not to give that authority to the Tax Matters Partner. The Tax Matters Partner may seek judicial review, by which all the unitholders are bound, of a final partnership administrative adjustment and, if the Tax Matters Partner fails to seek judicial review, judicial review may be sought by any unitholder having at least a 1% interest in profits or by any group of unitholders having in the aggregate at least a 5% interest in profits. However, only one action for judicial review will go forward, and each unitholder with an interest in the outcome may participate. If we elect to be treated as a large partnership, a unitholder will not have the right to participate in settlement conferences with the IRS or to seek a refund.</w:t>
      </w:r>
    </w:p>
    <w:p>
      <w:pPr>
        <w:spacing w:after="0" w:line="76" w:lineRule="exact"/>
        <w:rPr>
          <w:sz w:val="20"/>
          <w:szCs w:val="20"/>
          <w:color w:val="auto"/>
        </w:rPr>
      </w:pPr>
    </w:p>
    <w:p>
      <w:pPr>
        <w:ind w:right="20" w:firstLine="213"/>
        <w:spacing w:after="0" w:line="281" w:lineRule="auto"/>
        <w:rPr>
          <w:sz w:val="20"/>
          <w:szCs w:val="20"/>
          <w:color w:val="auto"/>
        </w:rPr>
      </w:pPr>
      <w:r>
        <w:rPr>
          <w:rFonts w:ascii="Arial" w:cs="Arial" w:eastAsia="Arial" w:hAnsi="Arial"/>
          <w:sz w:val="17"/>
          <w:szCs w:val="17"/>
          <w:color w:val="auto"/>
        </w:rPr>
        <w:t>A unitholder must file a statement with the IRS identifying the treatment of any item on his federal income tax return that is not consistent with the treatment of the item on our return. Intentional or negligent disregard of this consistency requirement may subject a unitholder to substantial penalties. If we elect to be treated as a large partnership, the unitholders would be required to treat all partnership items in a manner consistent with our return.</w:t>
      </w:r>
    </w:p>
    <w:p>
      <w:pPr>
        <w:spacing w:after="0" w:line="6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 xml:space="preserve">Nominee Reporting. </w:t>
      </w:r>
      <w:r>
        <w:rPr>
          <w:rFonts w:ascii="Arial" w:cs="Arial" w:eastAsia="Arial" w:hAnsi="Arial"/>
          <w:sz w:val="18"/>
          <w:szCs w:val="18"/>
          <w:color w:val="auto"/>
        </w:rPr>
        <w:t>Persons who hold an interest in us as a nominee for another person are required to furnish to us:</w:t>
      </w:r>
    </w:p>
    <w:p>
      <w:pPr>
        <w:spacing w:after="0" w:line="113" w:lineRule="exact"/>
        <w:rPr>
          <w:sz w:val="20"/>
          <w:szCs w:val="20"/>
          <w:color w:val="auto"/>
        </w:rPr>
      </w:pPr>
    </w:p>
    <w:p>
      <w:pPr>
        <w:ind w:left="560" w:hanging="326"/>
        <w:spacing w:after="0"/>
        <w:tabs>
          <w:tab w:leader="none" w:pos="5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the name, address and taxpayer identification number of the beneficial owner and the nominee;</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whether the beneficial owner is a person that is not a United States person,</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a foreign government, an international organization or any wholly owned agency or instrumentality of either of the foregoing, or</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a tax-exempt entity;</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the amount and description of units held, acquired or transferred for the beneficial owner; and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560" w:right="120" w:hanging="326"/>
        <w:spacing w:after="0" w:line="270" w:lineRule="auto"/>
        <w:tabs>
          <w:tab w:leader="none" w:pos="5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specific information including the dates of acquisitions and transfers, means of acquisitions and transfers, and acquisition cost for purchases, as well as the amount of net proceeds from sales.</w:t>
      </w:r>
    </w:p>
    <w:p>
      <w:pPr>
        <w:spacing w:after="0" w:line="68" w:lineRule="exact"/>
        <w:rPr>
          <w:sz w:val="20"/>
          <w:szCs w:val="20"/>
          <w:color w:val="auto"/>
        </w:rPr>
      </w:pPr>
    </w:p>
    <w:p>
      <w:pPr>
        <w:ind w:right="200" w:firstLine="222"/>
        <w:spacing w:after="0" w:line="255" w:lineRule="auto"/>
        <w:rPr>
          <w:sz w:val="20"/>
          <w:szCs w:val="20"/>
          <w:color w:val="auto"/>
        </w:rPr>
      </w:pPr>
      <w:r>
        <w:rPr>
          <w:rFonts w:ascii="Arial" w:cs="Arial" w:eastAsia="Arial" w:hAnsi="Arial"/>
          <w:sz w:val="18"/>
          <w:szCs w:val="18"/>
          <w:color w:val="auto"/>
        </w:rPr>
        <w:t>Brokers and financial institutions are required to furnish additional information, including whether they are United States persons and specific information on units they acquire, hold or transfer for their own account. A penalty of $50 per failure, up to a maximum of $100,000 per calendar year, is imposed by the Internal Revenue Code for failure to report that information to us. The nominee is required to supply the beneficial owner of the units with the information furnished to us.</w:t>
      </w:r>
    </w:p>
    <w:p>
      <w:pPr>
        <w:spacing w:after="0" w:line="82" w:lineRule="exact"/>
        <w:rPr>
          <w:sz w:val="20"/>
          <w:szCs w:val="20"/>
          <w:color w:val="auto"/>
        </w:rPr>
      </w:pPr>
    </w:p>
    <w:p>
      <w:pPr>
        <w:ind w:right="20" w:firstLine="222"/>
        <w:spacing w:after="0" w:line="255" w:lineRule="auto"/>
        <w:rPr>
          <w:sz w:val="20"/>
          <w:szCs w:val="20"/>
          <w:color w:val="auto"/>
        </w:rPr>
      </w:pPr>
      <w:r>
        <w:rPr>
          <w:rFonts w:ascii="Arial" w:cs="Arial" w:eastAsia="Arial" w:hAnsi="Arial"/>
          <w:sz w:val="18"/>
          <w:szCs w:val="18"/>
          <w:i w:val="1"/>
          <w:iCs w:val="1"/>
          <w:color w:val="auto"/>
        </w:rPr>
        <w:t xml:space="preserve">Accuracy-Related Penalties. </w:t>
      </w:r>
      <w:r>
        <w:rPr>
          <w:rFonts w:ascii="Arial" w:cs="Arial" w:eastAsia="Arial" w:hAnsi="Arial"/>
          <w:sz w:val="18"/>
          <w:szCs w:val="18"/>
          <w:color w:val="auto"/>
        </w:rPr>
        <w:t>An additional tax equal to 20% of the amount of any portion of an underpayment of tax that is attributable to one or more</w:t>
      </w:r>
      <w:r>
        <w:rPr>
          <w:rFonts w:ascii="Arial" w:cs="Arial" w:eastAsia="Arial" w:hAnsi="Arial"/>
          <w:sz w:val="18"/>
          <w:szCs w:val="18"/>
          <w:i w:val="1"/>
          <w:iCs w:val="1"/>
          <w:color w:val="auto"/>
        </w:rPr>
        <w:t xml:space="preserve"> </w:t>
      </w:r>
      <w:r>
        <w:rPr>
          <w:rFonts w:ascii="Arial" w:cs="Arial" w:eastAsia="Arial" w:hAnsi="Arial"/>
          <w:sz w:val="18"/>
          <w:szCs w:val="18"/>
          <w:color w:val="auto"/>
        </w:rPr>
        <w:t>specified causes, including negligence or disregard of rules or regulations, substantial understatements of income tax and substantial valuation misstatements, is imposed by the Internal Revenue Code. No penalty will be imposed, however, for any portion of an underpayment if it is shown that there was a reasonable cause for that portion and that the taxpayer acted in good faith regarding that portion.</w:t>
      </w:r>
    </w:p>
    <w:p>
      <w:pPr>
        <w:spacing w:after="0" w:line="82" w:lineRule="exact"/>
        <w:rPr>
          <w:sz w:val="20"/>
          <w:szCs w:val="20"/>
          <w:color w:val="auto"/>
        </w:rPr>
      </w:pPr>
    </w:p>
    <w:p>
      <w:pPr>
        <w:ind w:right="20" w:firstLine="222"/>
        <w:spacing w:after="0" w:line="259" w:lineRule="auto"/>
        <w:rPr>
          <w:sz w:val="20"/>
          <w:szCs w:val="20"/>
          <w:color w:val="auto"/>
        </w:rPr>
      </w:pPr>
      <w:r>
        <w:rPr>
          <w:rFonts w:ascii="Arial" w:cs="Arial" w:eastAsia="Arial" w:hAnsi="Arial"/>
          <w:sz w:val="18"/>
          <w:szCs w:val="18"/>
          <w:color w:val="auto"/>
        </w:rPr>
        <w:t>For individuals, a substantial understatement of income tax in any taxable year exists if the amount of the understatement exceeds the greater of 10% of the tax required to be shown on the return for the taxable year or $5,000. The amount of any understatement subject to penalty generally is reduced if any portion is attributable to a position adopted on the return:</w:t>
      </w:r>
    </w:p>
    <w:p>
      <w:pPr>
        <w:spacing w:after="0" w:line="77" w:lineRule="exact"/>
        <w:rPr>
          <w:sz w:val="20"/>
          <w:szCs w:val="20"/>
          <w:color w:val="auto"/>
        </w:rPr>
      </w:pPr>
    </w:p>
    <w:p>
      <w:pPr>
        <w:ind w:left="560" w:hanging="326"/>
        <w:spacing w:after="0"/>
        <w:tabs>
          <w:tab w:leader="none" w:pos="5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for which there is, or was, “substantial authority,” or</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as to which there is a reasonable basis and the pertinent facts of that position are disclosed on the return.</w:t>
      </w:r>
    </w:p>
    <w:p>
      <w:pPr>
        <w:spacing w:after="0" w:line="113"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If any item of income, gain, loss or deduction included in the distributive shares of unitholders might result in that kind of an “understatement” of income for which no “substantial authority” exists, we must disclose the pertinent facts on our return. In addition, we will make a reasonable effort to furnish sufficient information for unitholders to make adequate disclosure on their returns and take other actions as may be appropriate to permit unitholders to avoid liability for this penalty. More stringent rules apply to “tax shelters,” which we do not believe includes us.</w:t>
      </w:r>
    </w:p>
    <w:p>
      <w:pPr>
        <w:spacing w:after="0" w:line="82" w:lineRule="exact"/>
        <w:rPr>
          <w:sz w:val="20"/>
          <w:szCs w:val="20"/>
          <w:color w:val="auto"/>
        </w:rPr>
      </w:pPr>
    </w:p>
    <w:p>
      <w:pPr>
        <w:ind w:right="80" w:firstLine="213"/>
        <w:spacing w:after="0" w:line="255" w:lineRule="auto"/>
        <w:rPr>
          <w:sz w:val="20"/>
          <w:szCs w:val="20"/>
          <w:color w:val="auto"/>
        </w:rPr>
      </w:pPr>
      <w:r>
        <w:rPr>
          <w:rFonts w:ascii="Arial" w:cs="Arial" w:eastAsia="Arial" w:hAnsi="Arial"/>
          <w:sz w:val="18"/>
          <w:szCs w:val="18"/>
          <w:color w:val="auto"/>
        </w:rPr>
        <w:t>A substantial valuation misstatement exists if the value of any property, or the adjusted basis of any property, claimed on a tax return is 200% or more of the amount determined to be the correct amount of the valuation or adjusted basis. No penalty is imposed unless the portion of the underpayment attributable to a substantial valuation misstatement exceeds $5,000 (10,000 for most corporations). If the valuation claimed on a return is 400% or more than the correct valuation, the penalty imposed increases to 40%.</w:t>
      </w:r>
    </w:p>
    <w:p>
      <w:pPr>
        <w:spacing w:after="0" w:line="82" w:lineRule="exact"/>
        <w:rPr>
          <w:sz w:val="20"/>
          <w:szCs w:val="20"/>
          <w:color w:val="auto"/>
        </w:rPr>
      </w:pPr>
    </w:p>
    <w:p>
      <w:pPr>
        <w:ind w:right="40" w:firstLine="222"/>
        <w:spacing w:after="0" w:line="253" w:lineRule="auto"/>
        <w:rPr>
          <w:sz w:val="20"/>
          <w:szCs w:val="20"/>
          <w:color w:val="auto"/>
        </w:rPr>
      </w:pPr>
      <w:r>
        <w:rPr>
          <w:rFonts w:ascii="Arial" w:cs="Arial" w:eastAsia="Arial" w:hAnsi="Arial"/>
          <w:sz w:val="18"/>
          <w:szCs w:val="18"/>
          <w:i w:val="1"/>
          <w:iCs w:val="1"/>
          <w:color w:val="auto"/>
        </w:rPr>
        <w:t xml:space="preserve">Reportable Transactions. </w:t>
      </w:r>
      <w:r>
        <w:rPr>
          <w:rFonts w:ascii="Arial" w:cs="Arial" w:eastAsia="Arial" w:hAnsi="Arial"/>
          <w:sz w:val="18"/>
          <w:szCs w:val="18"/>
          <w:color w:val="auto"/>
        </w:rPr>
        <w:t>If we were to engage in a “reportable transaction,” we (and possibly you and others) would be required to make a detailed</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 of the transaction to the IRS. A transaction may be a reportable transaction based upon any of several factors, including the fact that it is a type of tax avoidance transaction publicly identified by the IRS as a “listed transaction” or that it produces certain kinds of losses in excess of $2 million. Our participation in a reportable transaction could increase the likelihood that our federal income tax information return (and possibly your tax return) would be audited by the IRS. Please read “—Information Returns and Audit Procedures” above.</w:t>
      </w:r>
    </w:p>
    <w:p>
      <w:pPr>
        <w:spacing w:after="0" w:line="84" w:lineRule="exact"/>
        <w:rPr>
          <w:sz w:val="20"/>
          <w:szCs w:val="20"/>
          <w:color w:val="auto"/>
        </w:rPr>
      </w:pPr>
    </w:p>
    <w:p>
      <w:pPr>
        <w:ind w:right="460" w:firstLine="222"/>
        <w:spacing w:after="0" w:line="270" w:lineRule="auto"/>
        <w:rPr>
          <w:sz w:val="20"/>
          <w:szCs w:val="20"/>
          <w:color w:val="auto"/>
        </w:rPr>
      </w:pPr>
      <w:r>
        <w:rPr>
          <w:rFonts w:ascii="Arial" w:cs="Arial" w:eastAsia="Arial" w:hAnsi="Arial"/>
          <w:sz w:val="18"/>
          <w:szCs w:val="18"/>
          <w:color w:val="auto"/>
        </w:rPr>
        <w:t>Moreover, if we were to participate in a reportable transaction with a significant purpose to avoid or evade tax, or in any listed transaction, you may be subject to the following provisions of the American Jobs Creation Act of 2004:</w:t>
      </w:r>
    </w:p>
    <w:p>
      <w:pPr>
        <w:spacing w:after="0" w:line="68" w:lineRule="exact"/>
        <w:rPr>
          <w:sz w:val="20"/>
          <w:szCs w:val="20"/>
          <w:color w:val="auto"/>
        </w:rPr>
      </w:pPr>
    </w:p>
    <w:p>
      <w:pPr>
        <w:ind w:left="560" w:right="660" w:hanging="326"/>
        <w:spacing w:after="0" w:line="270" w:lineRule="auto"/>
        <w:tabs>
          <w:tab w:leader="none" w:pos="56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accuracy-related penalties with a broader scope, significantly narrower exceptions, and potentially greater amounts than described above at “— Accuracy-related Penalties,”</w:t>
      </w:r>
    </w:p>
    <w:p>
      <w:pPr>
        <w:spacing w:after="0" w:line="81" w:lineRule="exact"/>
        <w:rPr>
          <w:rFonts w:ascii="Arial" w:cs="Arial" w:eastAsia="Arial" w:hAnsi="Arial"/>
          <w:sz w:val="18"/>
          <w:szCs w:val="18"/>
          <w:b w:val="1"/>
          <w:bCs w:val="1"/>
          <w:color w:val="auto"/>
        </w:rPr>
      </w:pPr>
    </w:p>
    <w:p>
      <w:pPr>
        <w:ind w:left="560" w:hanging="326"/>
        <w:spacing w:after="0"/>
        <w:tabs>
          <w:tab w:leader="none" w:pos="560" w:val="left"/>
        </w:tabs>
        <w:numPr>
          <w:ilvl w:val="0"/>
          <w:numId w:val="24"/>
        </w:numPr>
        <w:rPr>
          <w:rFonts w:ascii="Arial" w:cs="Arial" w:eastAsia="Arial" w:hAnsi="Arial"/>
          <w:sz w:val="17"/>
          <w:szCs w:val="17"/>
          <w:b w:val="1"/>
          <w:bCs w:val="1"/>
          <w:color w:val="auto"/>
        </w:rPr>
      </w:pPr>
      <w:r>
        <w:rPr>
          <w:rFonts w:ascii="Arial" w:cs="Arial" w:eastAsia="Arial" w:hAnsi="Arial"/>
          <w:sz w:val="17"/>
          <w:szCs w:val="17"/>
          <w:color w:val="auto"/>
        </w:rPr>
        <w:t>for those persons otherwise entitled to deduct interest on federal tax deficiencies, nondeductibility of interest on any resulting tax liability and</w:t>
      </w:r>
    </w:p>
    <w:p>
      <w:pPr>
        <w:spacing w:after="0" w:line="138" w:lineRule="exact"/>
        <w:rPr>
          <w:rFonts w:ascii="Arial" w:cs="Arial" w:eastAsia="Arial" w:hAnsi="Arial"/>
          <w:sz w:val="17"/>
          <w:szCs w:val="17"/>
          <w:b w:val="1"/>
          <w:bCs w:val="1"/>
          <w:color w:val="auto"/>
        </w:rPr>
      </w:pPr>
    </w:p>
    <w:p>
      <w:pPr>
        <w:ind w:left="560" w:hanging="326"/>
        <w:spacing w:after="0"/>
        <w:tabs>
          <w:tab w:leader="none" w:pos="56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in the case of a listed transaction, an extended statute of limitations.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do not expect to engage in any “reportable transactions.”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Local, Foreign and Other Tax Considerations</w:t>
      </w:r>
    </w:p>
    <w:p>
      <w:pPr>
        <w:spacing w:after="0" w:line="117" w:lineRule="exact"/>
        <w:rPr>
          <w:sz w:val="20"/>
          <w:szCs w:val="20"/>
          <w:color w:val="auto"/>
        </w:rPr>
      </w:pPr>
    </w:p>
    <w:p>
      <w:pPr>
        <w:ind w:firstLine="222"/>
        <w:spacing w:after="0" w:line="265" w:lineRule="auto"/>
        <w:rPr>
          <w:sz w:val="20"/>
          <w:szCs w:val="20"/>
          <w:color w:val="auto"/>
        </w:rPr>
      </w:pPr>
      <w:r>
        <w:rPr>
          <w:rFonts w:ascii="Arial" w:cs="Arial" w:eastAsia="Arial" w:hAnsi="Arial"/>
          <w:sz w:val="17"/>
          <w:szCs w:val="17"/>
          <w:color w:val="auto"/>
        </w:rPr>
        <w:t>In addition to federal income taxes, you likely will be subject to other taxes, such as state and local and Canadian federal and provincial taxes, unincorporated business taxes, and estate, inheritance or intangible taxes that may be imposed by the various jurisdictions in which we do business or own property or in which you are a resident. Although an analysis of those various taxes is not presented herein, each prospective unitholder should consider their potential impact on his investment in us. We currently own property or conduct business in Canada and in most states of the United States. A unitholder may be required to file Canadian federal income tax returns and to pay Canadian federal and provincial income taxes and to file state income tax returns and to pay taxes in various states and may be subject to penalties for failure to comply with such requirements. In some jurisdictions, tax losses may not produce a tax benefit in the year incurred (if, for example, we have no income from sources within that state) and also may not be available to offset income in subsequent taxable years. Some of the jurisdictions may require us, or we may elect, to withhold a percentage of income from amounts to be distributed to a unitholder who is not a resident of the jurisdiction. Withholding, the amount of which may be greater or less than a particular unitholder’s income tax liability to the jurisdiction, generally does not relieve the non-resident unitholder from the obligation to file an income tax return. Amounts withheld may be treated as if distributed to unitholders for purposes of determining the amount distributed by us. Please read “—Tax Consequences of Unit Ownership.” We may also own additional property or do business in other states in the future.</w:t>
      </w:r>
    </w:p>
    <w:p>
      <w:pPr>
        <w:spacing w:after="0" w:line="76" w:lineRule="exact"/>
        <w:rPr>
          <w:sz w:val="20"/>
          <w:szCs w:val="20"/>
          <w:color w:val="auto"/>
        </w:rPr>
      </w:pPr>
    </w:p>
    <w:p>
      <w:pPr>
        <w:ind w:right="40" w:firstLine="222"/>
        <w:spacing w:after="0" w:line="273" w:lineRule="auto"/>
        <w:rPr>
          <w:sz w:val="20"/>
          <w:szCs w:val="20"/>
          <w:color w:val="auto"/>
        </w:rPr>
      </w:pPr>
      <w:r>
        <w:rPr>
          <w:rFonts w:ascii="Arial" w:cs="Arial" w:eastAsia="Arial" w:hAnsi="Arial"/>
          <w:sz w:val="17"/>
          <w:szCs w:val="17"/>
          <w:b w:val="1"/>
          <w:bCs w:val="1"/>
          <w:color w:val="auto"/>
        </w:rPr>
        <w:t>It is the responsibility of each unitholder to investigate the legal and tax consequences, under the laws of pertinent states and localities, including the Canadian provinces and Canada, of his investment in us. Accordingly, each prospective unitholder should consult, and must depend upon, his own tax counsel or other advisor with regard to those matters. Further, it is the responsibility of each unitholder to file all Canadian, Canadian province, state and local, as well as federal tax returns that may be required of him. Vinson &amp; Elkins L.L.P. has not rendered an opinion on the Canadian federal, Canadian provincial, state or local tax consequences of an investment in us.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UNITHOLDERS</w:t>
      </w:r>
    </w:p>
    <w:p>
      <w:pPr>
        <w:spacing w:after="0" w:line="117" w:lineRule="exact"/>
        <w:rPr>
          <w:sz w:val="20"/>
          <w:szCs w:val="20"/>
          <w:color w:val="auto"/>
        </w:rPr>
      </w:pPr>
    </w:p>
    <w:p>
      <w:pPr>
        <w:ind w:right="140" w:firstLine="219"/>
        <w:spacing w:after="0" w:line="270" w:lineRule="auto"/>
        <w:rPr>
          <w:sz w:val="20"/>
          <w:szCs w:val="20"/>
          <w:color w:val="auto"/>
        </w:rPr>
      </w:pPr>
      <w:r>
        <w:rPr>
          <w:rFonts w:ascii="Arial" w:cs="Arial" w:eastAsia="Arial" w:hAnsi="Arial"/>
          <w:sz w:val="18"/>
          <w:szCs w:val="18"/>
          <w:color w:val="auto"/>
        </w:rPr>
        <w:t>This prospectus covers the offering for resale of up to 5,120,517 common units by the selling unitholders identified below. The selling unitholders acquired the common units offered for resale as follows:</w:t>
      </w:r>
    </w:p>
    <w:p>
      <w:pPr>
        <w:spacing w:after="0" w:line="68" w:lineRule="exact"/>
        <w:rPr>
          <w:sz w:val="20"/>
          <w:szCs w:val="20"/>
          <w:color w:val="auto"/>
        </w:rPr>
      </w:pPr>
    </w:p>
    <w:p>
      <w:pPr>
        <w:ind w:left="640" w:right="60" w:hanging="411"/>
        <w:spacing w:after="0" w:line="270" w:lineRule="auto"/>
        <w:tabs>
          <w:tab w:leader="none" w:pos="64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a total of 3,775,517 common units were acquired by the selling unitholders from us in privately negotiated direct placements between September 2005 and December 2006 pursuant to an effective registration statement (SEC File No. 333-126477) on Form S-3;</w:t>
      </w:r>
    </w:p>
    <w:p>
      <w:pPr>
        <w:spacing w:after="0" w:line="68" w:lineRule="exact"/>
        <w:rPr>
          <w:rFonts w:ascii="Arial" w:cs="Arial" w:eastAsia="Arial" w:hAnsi="Arial"/>
          <w:sz w:val="18"/>
          <w:szCs w:val="18"/>
          <w:b w:val="1"/>
          <w:bCs w:val="1"/>
          <w:color w:val="auto"/>
        </w:rPr>
      </w:pPr>
    </w:p>
    <w:p>
      <w:pPr>
        <w:ind w:left="640" w:right="520" w:hanging="411"/>
        <w:spacing w:after="0" w:line="270" w:lineRule="auto"/>
        <w:tabs>
          <w:tab w:leader="none" w:pos="64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575,000 common units were acquired by Kayne Anderson MLP Investment Company from a selling unitholder in February 2005 pursuant to an effective registration statement (SEC File No. 333-68446) on Form S-3; and</w:t>
      </w:r>
    </w:p>
    <w:p>
      <w:pPr>
        <w:spacing w:after="0" w:line="68" w:lineRule="exact"/>
        <w:rPr>
          <w:rFonts w:ascii="Arial" w:cs="Arial" w:eastAsia="Arial" w:hAnsi="Arial"/>
          <w:sz w:val="18"/>
          <w:szCs w:val="18"/>
          <w:b w:val="1"/>
          <w:bCs w:val="1"/>
          <w:color w:val="auto"/>
        </w:rPr>
      </w:pPr>
    </w:p>
    <w:p>
      <w:pPr>
        <w:ind w:left="640" w:right="480" w:hanging="411"/>
        <w:spacing w:after="0" w:line="334" w:lineRule="auto"/>
        <w:tabs>
          <w:tab w:leader="none" w:pos="640" w:val="left"/>
        </w:tabs>
        <w:numPr>
          <w:ilvl w:val="0"/>
          <w:numId w:val="25"/>
        </w:numPr>
        <w:rPr>
          <w:rFonts w:ascii="Arial" w:cs="Arial" w:eastAsia="Arial" w:hAnsi="Arial"/>
          <w:sz w:val="16"/>
          <w:szCs w:val="16"/>
          <w:b w:val="1"/>
          <w:bCs w:val="1"/>
          <w:color w:val="auto"/>
        </w:rPr>
      </w:pPr>
      <w:r>
        <w:rPr>
          <w:rFonts w:ascii="Arial" w:cs="Arial" w:eastAsia="Arial" w:hAnsi="Arial"/>
          <w:sz w:val="16"/>
          <w:szCs w:val="16"/>
          <w:color w:val="auto"/>
        </w:rPr>
        <w:t>770,000 common units were issued to Kayne Anderson Energy Total Return Fund, Inc. in exchange for units it previously held in Pacific Energy Partners, L.P. in connection with the Pacific Merger pursuant to an effective registration statement (SEC File No. 135712) on Form S-4.</w:t>
      </w:r>
    </w:p>
    <w:p>
      <w:pPr>
        <w:spacing w:after="0" w:line="22" w:lineRule="exact"/>
        <w:rPr>
          <w:sz w:val="20"/>
          <w:szCs w:val="20"/>
          <w:color w:val="auto"/>
        </w:rPr>
      </w:pPr>
    </w:p>
    <w:p>
      <w:pPr>
        <w:ind w:right="20" w:firstLine="222"/>
        <w:spacing w:after="0" w:line="334" w:lineRule="auto"/>
        <w:rPr>
          <w:sz w:val="20"/>
          <w:szCs w:val="20"/>
          <w:color w:val="auto"/>
        </w:rPr>
      </w:pPr>
      <w:r>
        <w:rPr>
          <w:rFonts w:ascii="Arial" w:cs="Arial" w:eastAsia="Arial" w:hAnsi="Arial"/>
          <w:sz w:val="16"/>
          <w:szCs w:val="16"/>
          <w:color w:val="auto"/>
        </w:rPr>
        <w:t>No offer or sale may occur unless this prospectus has been declared effective by the SEC, and remains effective at the time such selling unitholder offers or sells such common units. We are required to update this prospectus to reflect material developments in our business, financial position and results of operations.</w:t>
      </w:r>
    </w:p>
    <w:p>
      <w:pPr>
        <w:spacing w:after="0" w:line="2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sets forth information relating to the selling unitholders’ beneficial ownership of our common units.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3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3"/>
              </w:rPr>
              <w:t>Common Units Owned</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Common Units</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40" w:type="dxa"/>
            <w:vAlign w:val="bottom"/>
            <w:tcBorders>
              <w:bottom w:val="single" w:sz="8" w:color="auto"/>
            </w:tcBorders>
            <w:gridSpan w:val="2"/>
          </w:tcPr>
          <w:p>
            <w:pPr>
              <w:jc w:val="center"/>
              <w:ind w:left="579"/>
              <w:spacing w:after="0"/>
              <w:rPr>
                <w:sz w:val="20"/>
                <w:szCs w:val="20"/>
                <w:color w:val="auto"/>
              </w:rPr>
            </w:pPr>
            <w:r>
              <w:rPr>
                <w:rFonts w:ascii="Arial" w:cs="Arial" w:eastAsia="Arial" w:hAnsi="Arial"/>
                <w:sz w:val="14"/>
                <w:szCs w:val="14"/>
                <w:b w:val="1"/>
                <w:bCs w:val="1"/>
                <w:color w:val="auto"/>
                <w:w w:val="96"/>
              </w:rPr>
              <w:t>After Offering</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460" w:type="dxa"/>
            <w:vAlign w:val="bottom"/>
            <w:vMerge w:val="restart"/>
          </w:tcPr>
          <w:p>
            <w:pPr>
              <w:ind w:left="1900"/>
              <w:spacing w:after="0"/>
              <w:rPr>
                <w:sz w:val="20"/>
                <w:szCs w:val="20"/>
                <w:color w:val="auto"/>
              </w:rPr>
            </w:pPr>
            <w:r>
              <w:rPr>
                <w:rFonts w:ascii="Arial" w:cs="Arial" w:eastAsia="Arial" w:hAnsi="Arial"/>
                <w:sz w:val="14"/>
                <w:szCs w:val="14"/>
                <w:b w:val="1"/>
                <w:bCs w:val="1"/>
                <w:color w:val="auto"/>
              </w:rPr>
              <w:t>Name of Selling Unitholder</w:t>
            </w:r>
          </w:p>
        </w:tc>
        <w:tc>
          <w:tcPr>
            <w:tcW w:w="520" w:type="dxa"/>
            <w:vAlign w:val="bottom"/>
          </w:tcPr>
          <w:p>
            <w:pPr>
              <w:spacing w:after="0"/>
              <w:rPr>
                <w:sz w:val="10"/>
                <w:szCs w:val="10"/>
                <w:color w:val="auto"/>
              </w:rPr>
            </w:pPr>
          </w:p>
        </w:tc>
        <w:tc>
          <w:tcPr>
            <w:tcW w:w="1280" w:type="dxa"/>
            <w:vAlign w:val="bottom"/>
            <w:gridSpan w:val="2"/>
          </w:tcPr>
          <w:p>
            <w:pPr>
              <w:jc w:val="center"/>
              <w:ind w:right="320"/>
              <w:spacing w:after="0" w:line="118" w:lineRule="exact"/>
              <w:rPr>
                <w:sz w:val="20"/>
                <w:szCs w:val="20"/>
                <w:color w:val="auto"/>
              </w:rPr>
            </w:pPr>
            <w:r>
              <w:rPr>
                <w:rFonts w:ascii="Arial" w:cs="Arial" w:eastAsia="Arial" w:hAnsi="Arial"/>
                <w:sz w:val="13"/>
                <w:szCs w:val="13"/>
                <w:b w:val="1"/>
                <w:bCs w:val="1"/>
                <w:color w:val="auto"/>
              </w:rPr>
              <w:t>Owned Prior to</w:t>
            </w:r>
          </w:p>
        </w:tc>
        <w:tc>
          <w:tcPr>
            <w:tcW w:w="1840" w:type="dxa"/>
            <w:vAlign w:val="bottom"/>
            <w:gridSpan w:val="3"/>
          </w:tcPr>
          <w:p>
            <w:pPr>
              <w:ind w:left="300"/>
              <w:spacing w:after="0" w:line="118" w:lineRule="exact"/>
              <w:rPr>
                <w:sz w:val="20"/>
                <w:szCs w:val="20"/>
                <w:color w:val="auto"/>
              </w:rPr>
            </w:pPr>
            <w:r>
              <w:rPr>
                <w:rFonts w:ascii="Arial" w:cs="Arial" w:eastAsia="Arial" w:hAnsi="Arial"/>
                <w:sz w:val="13"/>
                <w:szCs w:val="13"/>
                <w:b w:val="1"/>
                <w:bCs w:val="1"/>
                <w:color w:val="auto"/>
              </w:rPr>
              <w:t>Common Units</w:t>
            </w:r>
          </w:p>
        </w:tc>
        <w:tc>
          <w:tcPr>
            <w:tcW w:w="1540" w:type="dxa"/>
            <w:vAlign w:val="bottom"/>
            <w:gridSpan w:val="2"/>
          </w:tcPr>
          <w:p>
            <w:pPr>
              <w:ind w:left="200"/>
              <w:spacing w:after="0" w:line="118" w:lineRule="exact"/>
              <w:rPr>
                <w:sz w:val="20"/>
                <w:szCs w:val="20"/>
                <w:color w:val="auto"/>
              </w:rPr>
            </w:pPr>
            <w:r>
              <w:rPr>
                <w:rFonts w:ascii="Arial" w:cs="Arial" w:eastAsia="Arial" w:hAnsi="Arial"/>
                <w:sz w:val="13"/>
                <w:szCs w:val="13"/>
                <w:b w:val="1"/>
                <w:bCs w:val="1"/>
                <w:color w:val="auto"/>
              </w:rPr>
              <w:t>Number</w:t>
            </w:r>
          </w:p>
        </w:tc>
        <w:tc>
          <w:tcPr>
            <w:tcW w:w="66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Percent</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460" w:type="dxa"/>
            <w:vAlign w:val="bottom"/>
            <w:tcBorders>
              <w:bottom w:val="single" w:sz="8" w:color="auto"/>
            </w:tcBorders>
            <w:vMerge w:val="continue"/>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Offering</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Being Offered</w:t>
            </w:r>
          </w:p>
        </w:tc>
        <w:tc>
          <w:tcPr>
            <w:tcW w:w="620" w:type="dxa"/>
            <w:vAlign w:val="bottom"/>
          </w:tcPr>
          <w:p>
            <w:pPr>
              <w:spacing w:after="0"/>
              <w:rPr>
                <w:sz w:val="14"/>
                <w:szCs w:val="14"/>
                <w:color w:val="auto"/>
              </w:rPr>
            </w:pP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of Units</w:t>
            </w:r>
          </w:p>
        </w:tc>
        <w:tc>
          <w:tcPr>
            <w:tcW w:w="620" w:type="dxa"/>
            <w:vAlign w:val="bottom"/>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Vulcan Capital Private Equity I LLC (1)</w:t>
            </w:r>
          </w:p>
        </w:tc>
        <w:tc>
          <w:tcPr>
            <w:tcW w:w="18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14,386,074</w:t>
            </w:r>
          </w:p>
        </w:tc>
        <w:tc>
          <w:tcPr>
            <w:tcW w:w="18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697,674</w:t>
            </w: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w w:val="99"/>
              </w:rPr>
              <w:t>13,688,400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Kayne Anderson MLP Investment Company (2)</w:t>
            </w:r>
          </w:p>
        </w:tc>
        <w:tc>
          <w:tcPr>
            <w:tcW w:w="1480" w:type="dxa"/>
            <w:vAlign w:val="bottom"/>
            <w:gridSpan w:val="2"/>
          </w:tcPr>
          <w:p>
            <w:pPr>
              <w:jc w:val="right"/>
              <w:spacing w:after="0"/>
              <w:rPr>
                <w:sz w:val="20"/>
                <w:szCs w:val="20"/>
                <w:color w:val="auto"/>
              </w:rPr>
            </w:pPr>
            <w:r>
              <w:rPr>
                <w:rFonts w:ascii="Arial" w:cs="Arial" w:eastAsia="Arial" w:hAnsi="Arial"/>
                <w:sz w:val="18"/>
                <w:szCs w:val="18"/>
                <w:b w:val="1"/>
                <w:bCs w:val="1"/>
                <w:color w:val="auto"/>
              </w:rPr>
              <w:t>9,525,217</w:t>
            </w:r>
          </w:p>
        </w:tc>
        <w:tc>
          <w:tcPr>
            <w:tcW w:w="320" w:type="dxa"/>
            <w:vAlign w:val="bottom"/>
          </w:tcPr>
          <w:p>
            <w:pPr>
              <w:spacing w:after="0"/>
              <w:rPr>
                <w:sz w:val="18"/>
                <w:szCs w:val="18"/>
                <w:color w:val="auto"/>
              </w:rPr>
            </w:pPr>
          </w:p>
        </w:tc>
        <w:tc>
          <w:tcPr>
            <w:tcW w:w="184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rPr>
              <w:t>2,386,450</w:t>
            </w:r>
          </w:p>
        </w:tc>
        <w:tc>
          <w:tcPr>
            <w:tcW w:w="15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5,718,770</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Kayne Anderson Energy Total Return Fund, Inc. (2)</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9,525,217</w:t>
            </w:r>
          </w:p>
        </w:tc>
        <w:tc>
          <w:tcPr>
            <w:tcW w:w="32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1,368,631</w:t>
            </w: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5,718,770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Kayne Anderson Energy Development Company(2)</w:t>
            </w:r>
          </w:p>
        </w:tc>
        <w:tc>
          <w:tcPr>
            <w:tcW w:w="1480" w:type="dxa"/>
            <w:vAlign w:val="bottom"/>
            <w:gridSpan w:val="2"/>
          </w:tcPr>
          <w:p>
            <w:pPr>
              <w:jc w:val="right"/>
              <w:spacing w:after="0"/>
              <w:rPr>
                <w:sz w:val="20"/>
                <w:szCs w:val="20"/>
                <w:color w:val="auto"/>
              </w:rPr>
            </w:pPr>
            <w:r>
              <w:rPr>
                <w:rFonts w:ascii="Arial" w:cs="Arial" w:eastAsia="Arial" w:hAnsi="Arial"/>
                <w:sz w:val="18"/>
                <w:szCs w:val="18"/>
                <w:b w:val="1"/>
                <w:bCs w:val="1"/>
                <w:color w:val="auto"/>
              </w:rPr>
              <w:t>9,525,217</w:t>
            </w:r>
          </w:p>
        </w:tc>
        <w:tc>
          <w:tcPr>
            <w:tcW w:w="320" w:type="dxa"/>
            <w:vAlign w:val="bottom"/>
          </w:tcPr>
          <w:p>
            <w:pPr>
              <w:spacing w:after="0"/>
              <w:rPr>
                <w:sz w:val="18"/>
                <w:szCs w:val="18"/>
                <w:color w:val="auto"/>
              </w:rPr>
            </w:pPr>
          </w:p>
        </w:tc>
        <w:tc>
          <w:tcPr>
            <w:tcW w:w="184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rPr>
              <w:t>51,366</w:t>
            </w:r>
          </w:p>
        </w:tc>
        <w:tc>
          <w:tcPr>
            <w:tcW w:w="15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5,718,770</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E - Holdings III, L.P. (3)</w:t>
            </w:r>
          </w:p>
        </w:tc>
        <w:tc>
          <w:tcPr>
            <w:tcW w:w="18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618,896</w:t>
            </w:r>
          </w:p>
        </w:tc>
        <w:tc>
          <w:tcPr>
            <w:tcW w:w="18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499,281</w:t>
            </w: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2,500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E - Holdings V, L.P. (3)</w:t>
            </w:r>
          </w:p>
        </w:tc>
        <w:tc>
          <w:tcPr>
            <w:tcW w:w="180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618,896</w:t>
            </w:r>
          </w:p>
        </w:tc>
        <w:tc>
          <w:tcPr>
            <w:tcW w:w="184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rPr>
              <w:t>117,115</w:t>
            </w:r>
          </w:p>
        </w:tc>
        <w:tc>
          <w:tcPr>
            <w:tcW w:w="15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2,500</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175895</wp:posOffset>
            </wp:positionV>
            <wp:extent cx="13055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05560" cy="8255"/>
                    </a:xfrm>
                    <a:prstGeom prst="rect">
                      <a:avLst/>
                    </a:prstGeom>
                    <a:noFill/>
                  </pic:spPr>
                </pic:pic>
              </a:graphicData>
            </a:graphic>
          </wp:anchor>
        </w:drawing>
      </w:r>
    </w:p>
    <w:p>
      <w:pPr>
        <w:spacing w:after="0" w:line="322" w:lineRule="exact"/>
        <w:rPr>
          <w:sz w:val="20"/>
          <w:szCs w:val="20"/>
          <w:color w:val="auto"/>
        </w:rPr>
      </w:pPr>
    </w:p>
    <w:p>
      <w:pPr>
        <w:ind w:left="440" w:hanging="433"/>
        <w:spacing w:after="0"/>
        <w:tabs>
          <w:tab w:leader="none" w:pos="4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73" w:lineRule="exact"/>
        <w:rPr>
          <w:sz w:val="20"/>
          <w:szCs w:val="20"/>
          <w:color w:val="auto"/>
        </w:rPr>
      </w:pPr>
    </w:p>
    <w:p>
      <w:pPr>
        <w:ind w:left="440" w:right="60" w:hanging="433"/>
        <w:spacing w:after="0" w:line="253" w:lineRule="auto"/>
        <w:tabs>
          <w:tab w:leader="none" w:pos="4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Mr. Paul Allen controls Vulcan Capital Private Equity I LLC, which is the record holder of 1,995,954 common units. In addition, Mr. Allen owns approximately 80.1% of the outstanding shares of common stock of Vulcan Energy Corporation. Vulcan Energy Corporation is the sole stockholder of Vulcan Energy GP Holdings LLC, which owns 54.3% of the equity of our general partner. Mr. Allen disclaims any deemed beneficial ownership, beyond his pecuniary interest, in any of our partner interests held by Vulcan Capital Private Equity I LLC, Vulcan Energy Corporation or Vulcan Energy GP Holdings LLC.</w:t>
      </w:r>
    </w:p>
    <w:p>
      <w:pPr>
        <w:spacing w:after="0" w:line="43" w:lineRule="exact"/>
        <w:rPr>
          <w:rFonts w:ascii="Arial" w:cs="Arial" w:eastAsia="Arial" w:hAnsi="Arial"/>
          <w:sz w:val="18"/>
          <w:szCs w:val="18"/>
          <w:color w:val="auto"/>
        </w:rPr>
      </w:pPr>
    </w:p>
    <w:p>
      <w:pPr>
        <w:ind w:left="440" w:right="100" w:hanging="433"/>
        <w:spacing w:after="0" w:line="285" w:lineRule="auto"/>
        <w:tabs>
          <w:tab w:leader="none" w:pos="4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Various accounts (including those of the selling unitholders and KAFU Holdings, L.P., which owns a portion of our general partner) under the management and control of Kayne Anderson Capital Advisors, L.P., the general partner of which is Kayne Anderson Investment Management, Inc., own common units. Robert Sinnott, the President of Kayne Anderson Investment Management, Inc., has been designated as one of our directors by KAFU Holdings, L.P. Mr. Sinnott disclaims any deemed beneficial ownership of any units held by Kayne Anderson Investment Management, Inc. or its affiliates, other than through his 4.5% limited partner interest in KAFU Holdings, L.P. KA Associates, Inc., an affiliate of the selling unitholder, is a broker-dealer registered pursuant to Section 15(b) of the Exchange Act and is a member of the NASD. The selling unitholder (i) purchased the securities for the selling unitholder’s own account, not as a nominee or agent, in the ordinary course of business and with no intention of selling or otherwise distributing securities in any transaction in violation of securities laws and (ii) at the time of purchase, the selling unitholder did not have any agreement or understanding, direct or indirect, with any other person to sell or otherwise distribute the purchased securities.</w:t>
      </w:r>
    </w:p>
    <w:p>
      <w:pPr>
        <w:spacing w:after="0" w:line="22" w:lineRule="exact"/>
        <w:rPr>
          <w:rFonts w:ascii="Arial" w:cs="Arial" w:eastAsia="Arial" w:hAnsi="Arial"/>
          <w:sz w:val="16"/>
          <w:szCs w:val="16"/>
          <w:color w:val="auto"/>
        </w:rPr>
      </w:pPr>
    </w:p>
    <w:p>
      <w:pPr>
        <w:ind w:left="440" w:right="500" w:hanging="433"/>
        <w:spacing w:after="0" w:line="306" w:lineRule="auto"/>
        <w:tabs>
          <w:tab w:leader="none" w:pos="4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E-Holdings III, L.P. and E-Holdings V, L.P. are affiliates of EnCap Investments L.L.C. and EnCap Investments L.P., respectively, of which Gary R. Petersen is Senior Managing Director. Mr. Petersen has been designated as one of our directors by E-Holdings III, L.P. Mr. Petersen disclaims any deemed beneficial ownership of units owned by E-Holdings III, L.P. or E-Holdings V, L.P. in excess of his pecuniary interest in such units.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Any prospectus supplement reflecting a sale of common units hereunder will set forth, with respect to the selling unitholders:</w:t>
      </w:r>
    </w:p>
    <w:p>
      <w:pPr>
        <w:spacing w:after="0" w:line="113" w:lineRule="exact"/>
        <w:rPr>
          <w:sz w:val="20"/>
          <w:szCs w:val="20"/>
          <w:color w:val="auto"/>
        </w:rPr>
      </w:pPr>
    </w:p>
    <w:p>
      <w:pPr>
        <w:ind w:left="560" w:hanging="326"/>
        <w:spacing w:after="0"/>
        <w:tabs>
          <w:tab w:leader="none" w:pos="56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the name of the selling unitholders;</w:t>
      </w:r>
    </w:p>
    <w:p>
      <w:pPr>
        <w:spacing w:after="0" w:line="126" w:lineRule="exact"/>
        <w:rPr>
          <w:rFonts w:ascii="Arial" w:cs="Arial" w:eastAsia="Arial" w:hAnsi="Arial"/>
          <w:sz w:val="18"/>
          <w:szCs w:val="18"/>
          <w:b w:val="1"/>
          <w:bCs w:val="1"/>
          <w:color w:val="auto"/>
        </w:rPr>
      </w:pPr>
    </w:p>
    <w:p>
      <w:pPr>
        <w:ind w:left="560" w:right="120" w:hanging="326"/>
        <w:spacing w:after="0" w:line="270" w:lineRule="auto"/>
        <w:tabs>
          <w:tab w:leader="none" w:pos="56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the nature of the position, office or other material relationship which the selling unitholders will have had within the prior three years with us or any of our affiliates;</w:t>
      </w:r>
    </w:p>
    <w:p>
      <w:pPr>
        <w:spacing w:after="0" w:line="81" w:lineRule="exact"/>
        <w:rPr>
          <w:rFonts w:ascii="Arial" w:cs="Arial" w:eastAsia="Arial" w:hAnsi="Arial"/>
          <w:sz w:val="18"/>
          <w:szCs w:val="18"/>
          <w:b w:val="1"/>
          <w:bCs w:val="1"/>
          <w:color w:val="auto"/>
        </w:rPr>
      </w:pPr>
    </w:p>
    <w:p>
      <w:pPr>
        <w:ind w:left="560" w:hanging="326"/>
        <w:spacing w:after="0"/>
        <w:tabs>
          <w:tab w:leader="none" w:pos="56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the number of common units owned by the selling unitholders prior to the offering;</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the amount or number of common units to be offered for the selling unitholders’ account; and</w:t>
      </w:r>
    </w:p>
    <w:p>
      <w:pPr>
        <w:spacing w:after="0" w:line="126" w:lineRule="exact"/>
        <w:rPr>
          <w:rFonts w:ascii="Arial" w:cs="Arial" w:eastAsia="Arial" w:hAnsi="Arial"/>
          <w:sz w:val="18"/>
          <w:szCs w:val="18"/>
          <w:b w:val="1"/>
          <w:bCs w:val="1"/>
          <w:color w:val="auto"/>
        </w:rPr>
      </w:pPr>
    </w:p>
    <w:p>
      <w:pPr>
        <w:ind w:left="220" w:right="340" w:firstLine="14"/>
        <w:spacing w:after="0" w:line="394" w:lineRule="auto"/>
        <w:tabs>
          <w:tab w:leader="none" w:pos="568"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the amount and (if one percent or more) the percentage of common units to be owned by the selling unitholders after the completion of the offering. All expenses incurred with the registration of the common units owned by the selling unitholders will be borne by us.</w:t>
      </w:r>
    </w:p>
    <w:p>
      <w:pPr>
        <w:sectPr>
          <w:pgSz w:w="11900" w:h="16838" w:orient="portrait"/>
          <w:cols w:equalWidth="0" w:num="1">
            <w:col w:w="11420"/>
          </w:cols>
          <w:pgMar w:left="240" w:top="415" w:right="239" w:bottom="1440" w:gutter="0" w:footer="0" w:header="0"/>
        </w:sectPr>
      </w:pP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161290</wp:posOffset>
            </wp:positionV>
            <wp:extent cx="725233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17" w:lineRule="exact"/>
        <w:rPr>
          <w:sz w:val="20"/>
          <w:szCs w:val="20"/>
          <w:color w:val="auto"/>
        </w:rPr>
      </w:pPr>
    </w:p>
    <w:p>
      <w:pPr>
        <w:ind w:right="380" w:firstLine="219"/>
        <w:spacing w:after="0" w:line="270" w:lineRule="auto"/>
        <w:rPr>
          <w:sz w:val="20"/>
          <w:szCs w:val="20"/>
          <w:color w:val="auto"/>
        </w:rPr>
      </w:pPr>
      <w:r>
        <w:rPr>
          <w:rFonts w:ascii="Arial" w:cs="Arial" w:eastAsia="Arial" w:hAnsi="Arial"/>
          <w:sz w:val="18"/>
          <w:szCs w:val="18"/>
          <w:color w:val="auto"/>
        </w:rPr>
        <w:t>We are registering the common units on behalf of the selling unitholders. As used in this prospectus, “selling unitholders” includes donees and pledgees selling common units received from a named selling unitholder after the date of this prospectus.</w:t>
      </w:r>
    </w:p>
    <w:p>
      <w:pPr>
        <w:spacing w:after="0" w:line="6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Under this prospectus, the selling unitholders intend to offer our securities to the public:</w:t>
      </w:r>
    </w:p>
    <w:p>
      <w:pPr>
        <w:spacing w:after="0" w:line="113" w:lineRule="exact"/>
        <w:rPr>
          <w:sz w:val="20"/>
          <w:szCs w:val="20"/>
          <w:color w:val="auto"/>
        </w:rPr>
      </w:pPr>
    </w:p>
    <w:p>
      <w:pPr>
        <w:ind w:left="560" w:hanging="326"/>
        <w:spacing w:after="0"/>
        <w:tabs>
          <w:tab w:leader="none" w:pos="56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through one or more broker-dealers;</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through underwriters; and</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directly to investors.</w:t>
      </w:r>
    </w:p>
    <w:p>
      <w:pPr>
        <w:spacing w:after="0" w:line="11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selling unitholders may price the common units offered from time to time:</w:t>
      </w:r>
    </w:p>
    <w:p>
      <w:pPr>
        <w:spacing w:after="0" w:line="113" w:lineRule="exact"/>
        <w:rPr>
          <w:sz w:val="20"/>
          <w:szCs w:val="20"/>
          <w:color w:val="auto"/>
        </w:rPr>
      </w:pPr>
    </w:p>
    <w:p>
      <w:pPr>
        <w:ind w:left="560" w:hanging="326"/>
        <w:spacing w:after="0"/>
        <w:tabs>
          <w:tab w:leader="none" w:pos="56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at market prices prevailing at the time of any sale under this registration statement;</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at prices related to market prices; or</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at negotiated prices.</w:t>
      </w:r>
    </w:p>
    <w:p>
      <w:pPr>
        <w:spacing w:after="0" w:line="113" w:lineRule="exact"/>
        <w:rPr>
          <w:sz w:val="20"/>
          <w:szCs w:val="20"/>
          <w:color w:val="auto"/>
        </w:rPr>
      </w:pPr>
    </w:p>
    <w:p>
      <w:pPr>
        <w:ind w:firstLine="219"/>
        <w:spacing w:after="0" w:line="281" w:lineRule="auto"/>
        <w:rPr>
          <w:sz w:val="20"/>
          <w:szCs w:val="20"/>
          <w:color w:val="auto"/>
        </w:rPr>
      </w:pPr>
      <w:r>
        <w:rPr>
          <w:rFonts w:ascii="Arial" w:cs="Arial" w:eastAsia="Arial" w:hAnsi="Arial"/>
          <w:sz w:val="17"/>
          <w:szCs w:val="17"/>
          <w:color w:val="auto"/>
        </w:rPr>
        <w:t>We will pay the costs and expenses of the registration and offering of the common units offered hereby. We will not pay any underwriting fees, discounts and selling commissions allocable to each selling unitholder’s sale of its respective or common units, which will be paid by the selling unitholders. Broker-dealers may act as agent or may purchase securities as principal and thereafter resell the securities from time to time:</w:t>
      </w:r>
    </w:p>
    <w:p>
      <w:pPr>
        <w:spacing w:after="0" w:line="61" w:lineRule="exact"/>
        <w:rPr>
          <w:sz w:val="20"/>
          <w:szCs w:val="20"/>
          <w:color w:val="auto"/>
        </w:rPr>
      </w:pPr>
    </w:p>
    <w:p>
      <w:pPr>
        <w:ind w:left="560" w:hanging="326"/>
        <w:spacing w:after="0"/>
        <w:tabs>
          <w:tab w:leader="none" w:pos="56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in or through one or more transactions (which may involve crosses and block transactions) or distributions;</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on the New York Stock Exchange;</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in the over-the-counter market; or</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in private transactions.</w:t>
      </w:r>
    </w:p>
    <w:p>
      <w:pPr>
        <w:spacing w:after="0" w:line="113" w:lineRule="exact"/>
        <w:rPr>
          <w:sz w:val="20"/>
          <w:szCs w:val="20"/>
          <w:color w:val="auto"/>
        </w:rPr>
      </w:pPr>
    </w:p>
    <w:p>
      <w:pPr>
        <w:ind w:right="200" w:firstLine="222"/>
        <w:spacing w:after="0" w:line="255" w:lineRule="auto"/>
        <w:rPr>
          <w:sz w:val="20"/>
          <w:szCs w:val="20"/>
          <w:color w:val="auto"/>
        </w:rPr>
      </w:pPr>
      <w:r>
        <w:rPr>
          <w:rFonts w:ascii="Arial" w:cs="Arial" w:eastAsia="Arial" w:hAnsi="Arial"/>
          <w:sz w:val="18"/>
          <w:szCs w:val="18"/>
          <w:color w:val="auto"/>
        </w:rPr>
        <w:t>Broker-dealers or underwriters may receive compensation in the form of underwriting discounts or commissions and may receive commissions from purchasers of the securities for whom they may act as agents. If any broker-dealer purchases the securities as principal, it may effect resales of the securities from time to time to or through other broker-dealers, and other broker-dealers may receive compensation in the form of concessions or commissions from the purchasers of securities for whom they may act as agents.</w:t>
      </w:r>
    </w:p>
    <w:p>
      <w:pPr>
        <w:spacing w:after="0" w:line="82" w:lineRule="exact"/>
        <w:rPr>
          <w:sz w:val="20"/>
          <w:szCs w:val="20"/>
          <w:color w:val="auto"/>
        </w:rPr>
      </w:pPr>
    </w:p>
    <w:p>
      <w:pPr>
        <w:ind w:right="60" w:firstLine="219"/>
        <w:spacing w:after="0" w:line="253" w:lineRule="auto"/>
        <w:rPr>
          <w:sz w:val="20"/>
          <w:szCs w:val="20"/>
          <w:color w:val="auto"/>
        </w:rPr>
      </w:pPr>
      <w:r>
        <w:rPr>
          <w:rFonts w:ascii="Arial" w:cs="Arial" w:eastAsia="Arial" w:hAnsi="Arial"/>
          <w:sz w:val="18"/>
          <w:szCs w:val="18"/>
          <w:color w:val="auto"/>
        </w:rPr>
        <w:t>To the extent required, the names of the specific managing underwriter or underwriters, if any, as well as other important information, will be set forth in prospectus supplements. In that event, the discounts and commissions the selling unitholders will allow or pay to the underwriters, if any, and the discounts and commissions the underwriters may allow or pay to dealers or agents, if any, will be set forth in, or may be calculated from, the prospectus supplements. Any underwriters, brokers, dealers and agents who participate in any sale of the securities may also engage in transactions with, or perform services for, us or our affiliates in the ordinary course of their businesses.</w:t>
      </w:r>
    </w:p>
    <w:p>
      <w:pPr>
        <w:spacing w:after="0" w:line="84" w:lineRule="exact"/>
        <w:rPr>
          <w:sz w:val="20"/>
          <w:szCs w:val="20"/>
          <w:color w:val="auto"/>
        </w:rPr>
      </w:pPr>
    </w:p>
    <w:p>
      <w:pPr>
        <w:ind w:right="480" w:firstLine="222"/>
        <w:spacing w:after="0" w:line="300" w:lineRule="auto"/>
        <w:rPr>
          <w:sz w:val="20"/>
          <w:szCs w:val="20"/>
          <w:color w:val="auto"/>
        </w:rPr>
      </w:pPr>
      <w:r>
        <w:rPr>
          <w:rFonts w:ascii="Arial" w:cs="Arial" w:eastAsia="Arial" w:hAnsi="Arial"/>
          <w:sz w:val="17"/>
          <w:szCs w:val="17"/>
          <w:color w:val="auto"/>
        </w:rPr>
        <w:t>In addition, the selling unitholders have advised us that they may sell the common units in compliance with Rule 144, if available, or pursuant to other available exemptions from the registration requirements under the Securities Act, rather than pursuant to this prospectus.</w:t>
      </w:r>
    </w:p>
    <w:p>
      <w:pPr>
        <w:spacing w:after="0" w:line="4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 the extent required, this prospectus may be amended or supplemented from time to time to describe a specific plan of distribution.</w:t>
      </w:r>
    </w:p>
    <w:p>
      <w:pPr>
        <w:spacing w:after="0" w:line="113" w:lineRule="exact"/>
        <w:rPr>
          <w:sz w:val="20"/>
          <w:szCs w:val="20"/>
          <w:color w:val="auto"/>
        </w:rPr>
      </w:pPr>
    </w:p>
    <w:p>
      <w:pPr>
        <w:ind w:right="280" w:firstLine="219"/>
        <w:spacing w:after="0" w:line="270" w:lineRule="auto"/>
        <w:rPr>
          <w:sz w:val="20"/>
          <w:szCs w:val="20"/>
          <w:color w:val="auto"/>
        </w:rPr>
      </w:pPr>
      <w:r>
        <w:rPr>
          <w:rFonts w:ascii="Arial" w:cs="Arial" w:eastAsia="Arial" w:hAnsi="Arial"/>
          <w:sz w:val="18"/>
          <w:szCs w:val="18"/>
          <w:color w:val="auto"/>
        </w:rPr>
        <w:t>We have agreed to indemnify the selling unitholder and each underwriter, selling agent or other securities professional, if any, against certain liabilities to which they may become subject in connection with the sale of the</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common units owned by the selling unitholder and registered under this prospectus, including liabilities arising under the Securities Act of 1933.</w:t>
      </w:r>
    </w:p>
    <w:p>
      <w:pPr>
        <w:spacing w:after="0" w:line="113" w:lineRule="exact"/>
        <w:rPr>
          <w:sz w:val="20"/>
          <w:szCs w:val="20"/>
          <w:color w:val="auto"/>
        </w:rPr>
      </w:pPr>
    </w:p>
    <w:p>
      <w:pPr>
        <w:ind w:firstLine="222"/>
        <w:spacing w:after="0" w:line="286" w:lineRule="auto"/>
        <w:rPr>
          <w:sz w:val="20"/>
          <w:szCs w:val="20"/>
          <w:color w:val="auto"/>
        </w:rPr>
      </w:pPr>
      <w:r>
        <w:rPr>
          <w:rFonts w:ascii="Arial" w:cs="Arial" w:eastAsia="Arial" w:hAnsi="Arial"/>
          <w:sz w:val="16"/>
          <w:szCs w:val="16"/>
          <w:color w:val="auto"/>
        </w:rPr>
        <w:t>In connection with offerings under this shelf registration and in compliance with applicable law, underwriters, brokers or dealers may engage in transactions which stabilize or maintain the market price of the securities at levels above those which might otherwise prevail in the open market. Specifically, underwriters, brokers or dealers may over-allot in connection with offerings, creating a short position in the securities for their own accounts. For the purpose of covering a syndicate short position or stabilizing the price of the securities, the underwriters, brokers or dealers may place bids for the securities or effect purchases of the securities in the open market. Finally, the underwriters may impose a penalty whereby selling concessions allowed to syndicate members or other brokers or dealers for distribution the securities in offerings may be reclaimed by the syndicate if the syndicate repurchases previously distributed securities in transactions to cover short positions, in stabilization transactions or otherwise. These activities may stabilize, maintain or otherwise affect the market price of the securities, which may be higher than the price that might otherwise prevail in the open market, and, if commenced, may be discontinued at any time.</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17" w:lineRule="exact"/>
        <w:rPr>
          <w:sz w:val="20"/>
          <w:szCs w:val="20"/>
          <w:color w:val="auto"/>
        </w:rPr>
      </w:pPr>
    </w:p>
    <w:p>
      <w:pPr>
        <w:ind w:firstLine="219"/>
        <w:spacing w:after="0" w:line="259" w:lineRule="auto"/>
        <w:rPr>
          <w:sz w:val="20"/>
          <w:szCs w:val="20"/>
          <w:color w:val="auto"/>
        </w:rPr>
      </w:pPr>
      <w:r>
        <w:rPr>
          <w:rFonts w:ascii="Arial" w:cs="Arial" w:eastAsia="Arial" w:hAnsi="Arial"/>
          <w:sz w:val="18"/>
          <w:szCs w:val="18"/>
          <w:color w:val="auto"/>
        </w:rPr>
        <w:t>The validity of the common units offered in this prospectus and certain tax matters relating to those common units will be passed upon for us by Vinson &amp; Elkins L.L.P., Houston, Texas. The selling unitholders’ counsel and the underwriter’s own counsel will advise them about other issues relating to any offering in which they participate.</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17" w:lineRule="exact"/>
        <w:rPr>
          <w:sz w:val="20"/>
          <w:szCs w:val="20"/>
          <w:color w:val="auto"/>
        </w:rPr>
      </w:pPr>
    </w:p>
    <w:p>
      <w:pPr>
        <w:ind w:right="80" w:firstLine="219"/>
        <w:spacing w:after="0" w:line="297" w:lineRule="auto"/>
        <w:rPr>
          <w:sz w:val="20"/>
          <w:szCs w:val="20"/>
          <w:color w:val="auto"/>
        </w:rPr>
      </w:pPr>
      <w:r>
        <w:rPr>
          <w:rFonts w:ascii="Arial" w:cs="Arial" w:eastAsia="Arial" w:hAnsi="Arial"/>
          <w:sz w:val="16"/>
          <w:szCs w:val="16"/>
          <w:color w:val="auto"/>
        </w:rPr>
        <w:t>The financial statements of Plains All American Pipeline, L.P. and management’s assessment of the effectiveness of internal control over financial reporting (which is included in Management’s Report on Internal Control over Financial Reporting) incorporated in this prospectus by reference to the Annual Report on Form 10-K of Plains All American Pipeline, L.P. for the year ended December 31, 2005 have been so incorporated in reliance on the report of PricewaterhouseCoopers LLP, an independent registered public accounting firm, given on the authority of said firm as experts in auditing and accounting.</w:t>
      </w:r>
    </w:p>
    <w:p>
      <w:pPr>
        <w:spacing w:after="0" w:line="50" w:lineRule="exact"/>
        <w:rPr>
          <w:sz w:val="20"/>
          <w:szCs w:val="20"/>
          <w:color w:val="auto"/>
        </w:rPr>
      </w:pPr>
    </w:p>
    <w:p>
      <w:pPr>
        <w:jc w:val="both"/>
        <w:ind w:right="100" w:firstLine="219"/>
        <w:spacing w:after="0" w:line="259" w:lineRule="auto"/>
        <w:rPr>
          <w:sz w:val="20"/>
          <w:szCs w:val="20"/>
          <w:color w:val="auto"/>
        </w:rPr>
      </w:pPr>
      <w:r>
        <w:rPr>
          <w:rFonts w:ascii="Arial" w:cs="Arial" w:eastAsia="Arial" w:hAnsi="Arial"/>
          <w:sz w:val="18"/>
          <w:szCs w:val="18"/>
          <w:color w:val="auto"/>
        </w:rPr>
        <w:t>The balance sheet of Plains AAP, L.P. incorporated in this prospectus by reference to Plains All American Pipeline, L.P.’s Current Report on Form 8-K filed March 21, 2006 has been so incorporated in reliance on the report of PricewaterhouseCoopers LLP, an independent registered public accounting firm, given on the authority of said firm as experts in auditing and accounting.</w:t>
      </w:r>
    </w:p>
    <w:p>
      <w:pPr>
        <w:spacing w:after="0" w:line="77" w:lineRule="exact"/>
        <w:rPr>
          <w:sz w:val="20"/>
          <w:szCs w:val="20"/>
          <w:color w:val="auto"/>
        </w:rPr>
      </w:pPr>
    </w:p>
    <w:p>
      <w:pPr>
        <w:jc w:val="both"/>
        <w:ind w:right="140" w:firstLine="219"/>
        <w:spacing w:after="0" w:line="255" w:lineRule="auto"/>
        <w:rPr>
          <w:sz w:val="20"/>
          <w:szCs w:val="20"/>
          <w:color w:val="auto"/>
        </w:rPr>
      </w:pPr>
      <w:r>
        <w:rPr>
          <w:rFonts w:ascii="Arial" w:cs="Arial" w:eastAsia="Arial" w:hAnsi="Arial"/>
          <w:sz w:val="18"/>
          <w:szCs w:val="18"/>
          <w:color w:val="auto"/>
        </w:rPr>
        <w:t>The consolidated financial statements of Pacific Energy Partners, L.P. as of December 31, 2005 and 2004, and for each of the years in the three-year period ended December 31, 2005 and management’s assessment of the effectiveness of internal control over financial reporting as of December 31, 2005, have been incorporated by reference herein in reliance upon the reports of KPMG LLP, an independent registered public accounting firm, and upon the authority of said firm as experts in accounting and auditing.</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17" w:lineRule="exact"/>
        <w:rPr>
          <w:sz w:val="20"/>
          <w:szCs w:val="20"/>
          <w:color w:val="auto"/>
        </w:rPr>
      </w:pPr>
    </w:p>
    <w:p>
      <w:pPr>
        <w:ind w:firstLine="219"/>
        <w:spacing w:after="0" w:line="271" w:lineRule="auto"/>
        <w:rPr>
          <w:sz w:val="20"/>
          <w:szCs w:val="20"/>
          <w:color w:val="auto"/>
        </w:rPr>
      </w:pPr>
      <w:r>
        <w:rPr>
          <w:rFonts w:ascii="Arial" w:cs="Arial" w:eastAsia="Arial" w:hAnsi="Arial"/>
          <w:sz w:val="17"/>
          <w:szCs w:val="17"/>
          <w:color w:val="auto"/>
        </w:rPr>
        <w:t>We are “incorporating by reference” into this prospectus information we file with the SEC. This procedure means that we can disclose important information to you by referring you to documents filed with the SEC. The information we incorporate by reference is part of this prospectus and later information that we file with the SEC will automatically update and supersede this information. We incorporate by reference the documents listed below and any future filings made by Plains All American Pipeline, L.P. with the SEC under Sections 13(a), 13(c), 14 or 15(d) of the Securities Exchange Act of 1934 (excluding any information furnished and not filed with the SEC) until the offering under this registration statement is completed:</w:t>
      </w:r>
    </w:p>
    <w:p>
      <w:pPr>
        <w:spacing w:after="0" w:line="71" w:lineRule="exact"/>
        <w:rPr>
          <w:sz w:val="20"/>
          <w:szCs w:val="20"/>
          <w:color w:val="auto"/>
        </w:rPr>
      </w:pPr>
    </w:p>
    <w:p>
      <w:pPr>
        <w:ind w:left="560" w:hanging="326"/>
        <w:spacing w:after="0"/>
        <w:tabs>
          <w:tab w:leader="none" w:pos="56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Annual Report on Form 10-K for the year ended December 31, 2005;</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Quarterly Report on Form 10-Q for the quarter ended March 31, 2006;</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Quarterly Report on Form 10-Q for the quarter ended June 30, 2006, as amended;</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Quarterly Report on Form 10-Q for the quarter ended September 30, 2006;</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Current Report on Form 8-K filed with the Commission on March 16, 2006 (announcement of Andrews acquisition);</w:t>
      </w:r>
    </w:p>
    <w:p>
      <w:pPr>
        <w:spacing w:after="0" w:line="126" w:lineRule="exact"/>
        <w:rPr>
          <w:rFonts w:ascii="Arial" w:cs="Arial" w:eastAsia="Arial" w:hAnsi="Arial"/>
          <w:sz w:val="18"/>
          <w:szCs w:val="18"/>
          <w:b w:val="1"/>
          <w:bCs w:val="1"/>
          <w:color w:val="auto"/>
        </w:rPr>
      </w:pPr>
    </w:p>
    <w:p>
      <w:pPr>
        <w:ind w:left="560" w:right="280" w:hanging="326"/>
        <w:spacing w:after="0" w:line="270" w:lineRule="auto"/>
        <w:tabs>
          <w:tab w:leader="none" w:pos="56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Current Report on Form 8-K filed (other than Item 7.01, which was furnished) with the Commission on March 21, 2006 (entry into direct placement unit purchase agreement);</w:t>
      </w:r>
    </w:p>
    <w:p>
      <w:pPr>
        <w:spacing w:after="0" w:line="81" w:lineRule="exact"/>
        <w:rPr>
          <w:rFonts w:ascii="Arial" w:cs="Arial" w:eastAsia="Arial" w:hAnsi="Arial"/>
          <w:sz w:val="18"/>
          <w:szCs w:val="18"/>
          <w:b w:val="1"/>
          <w:bCs w:val="1"/>
          <w:color w:val="auto"/>
        </w:rPr>
      </w:pPr>
    </w:p>
    <w:p>
      <w:pPr>
        <w:ind w:left="560" w:hanging="326"/>
        <w:spacing w:after="0"/>
        <w:tabs>
          <w:tab w:leader="none" w:pos="560" w:val="left"/>
        </w:tabs>
        <w:numPr>
          <w:ilvl w:val="0"/>
          <w:numId w:val="32"/>
        </w:numPr>
        <w:rPr>
          <w:rFonts w:ascii="Arial" w:cs="Arial" w:eastAsia="Arial" w:hAnsi="Arial"/>
          <w:sz w:val="16"/>
          <w:szCs w:val="16"/>
          <w:b w:val="1"/>
          <w:bCs w:val="1"/>
          <w:color w:val="auto"/>
        </w:rPr>
      </w:pPr>
      <w:r>
        <w:rPr>
          <w:rFonts w:ascii="Arial" w:cs="Arial" w:eastAsia="Arial" w:hAnsi="Arial"/>
          <w:sz w:val="16"/>
          <w:szCs w:val="16"/>
          <w:color w:val="auto"/>
        </w:rPr>
        <w:t>Current Report on Form 8-K filed with the Commission on March 21, 2006 (audited balance sheet of Plains AAP, L.P. as of December 31, 2005);</w:t>
      </w:r>
    </w:p>
    <w:p>
      <w:pPr>
        <w:spacing w:after="0" w:line="149" w:lineRule="exact"/>
        <w:rPr>
          <w:rFonts w:ascii="Arial" w:cs="Arial" w:eastAsia="Arial" w:hAnsi="Arial"/>
          <w:sz w:val="16"/>
          <w:szCs w:val="16"/>
          <w:b w:val="1"/>
          <w:bCs w:val="1"/>
          <w:color w:val="auto"/>
        </w:rPr>
      </w:pPr>
    </w:p>
    <w:p>
      <w:pPr>
        <w:ind w:left="560" w:hanging="326"/>
        <w:spacing w:after="0"/>
        <w:tabs>
          <w:tab w:leader="none" w:pos="560" w:val="left"/>
        </w:tabs>
        <w:numPr>
          <w:ilvl w:val="0"/>
          <w:numId w:val="32"/>
        </w:numPr>
        <w:rPr>
          <w:rFonts w:ascii="Arial" w:cs="Arial" w:eastAsia="Arial" w:hAnsi="Arial"/>
          <w:sz w:val="17"/>
          <w:szCs w:val="17"/>
          <w:b w:val="1"/>
          <w:bCs w:val="1"/>
          <w:color w:val="auto"/>
        </w:rPr>
      </w:pPr>
      <w:r>
        <w:rPr>
          <w:rFonts w:ascii="Arial" w:cs="Arial" w:eastAsia="Arial" w:hAnsi="Arial"/>
          <w:sz w:val="17"/>
          <w:szCs w:val="17"/>
          <w:color w:val="auto"/>
        </w:rPr>
        <w:t>Current Report on Form 8-K filed with the Commission on May 9, 2006 (announcement of private placement offering of $250 million notes);</w:t>
      </w:r>
    </w:p>
    <w:p>
      <w:pPr>
        <w:spacing w:after="0" w:line="138" w:lineRule="exact"/>
        <w:rPr>
          <w:rFonts w:ascii="Arial" w:cs="Arial" w:eastAsia="Arial" w:hAnsi="Arial"/>
          <w:sz w:val="17"/>
          <w:szCs w:val="17"/>
          <w:b w:val="1"/>
          <w:bCs w:val="1"/>
          <w:color w:val="auto"/>
        </w:rPr>
      </w:pPr>
    </w:p>
    <w:p>
      <w:pPr>
        <w:ind w:left="560" w:right="620" w:hanging="326"/>
        <w:spacing w:after="0" w:line="270" w:lineRule="auto"/>
        <w:tabs>
          <w:tab w:leader="none" w:pos="56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Current Report on Form 8-K filed (other than Item 7.01, which was furnished) with the Commission on May 12, 2006 (entry into note purchase agreement, registration rights agreement and supplemental indentures);</w:t>
      </w:r>
    </w:p>
    <w:p>
      <w:pPr>
        <w:spacing w:after="0" w:line="81" w:lineRule="exact"/>
        <w:rPr>
          <w:rFonts w:ascii="Arial" w:cs="Arial" w:eastAsia="Arial" w:hAnsi="Arial"/>
          <w:sz w:val="18"/>
          <w:szCs w:val="18"/>
          <w:b w:val="1"/>
          <w:bCs w:val="1"/>
          <w:color w:val="auto"/>
        </w:rPr>
      </w:pPr>
    </w:p>
    <w:p>
      <w:pPr>
        <w:ind w:left="560" w:hanging="326"/>
        <w:spacing w:after="0"/>
        <w:tabs>
          <w:tab w:leader="none" w:pos="560" w:val="left"/>
        </w:tabs>
        <w:numPr>
          <w:ilvl w:val="0"/>
          <w:numId w:val="32"/>
        </w:numPr>
        <w:rPr>
          <w:rFonts w:ascii="Arial" w:cs="Arial" w:eastAsia="Arial" w:hAnsi="Arial"/>
          <w:sz w:val="17"/>
          <w:szCs w:val="17"/>
          <w:b w:val="1"/>
          <w:bCs w:val="1"/>
          <w:color w:val="auto"/>
        </w:rPr>
      </w:pPr>
      <w:r>
        <w:rPr>
          <w:rFonts w:ascii="Arial" w:cs="Arial" w:eastAsia="Arial" w:hAnsi="Arial"/>
          <w:sz w:val="17"/>
          <w:szCs w:val="17"/>
          <w:color w:val="auto"/>
        </w:rPr>
        <w:t>Current Report on Form 8-K filed with the Commission on May 15, 2006 (amendment to PAA/Vulcan limited liability company agreement);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560" w:right="560" w:hanging="326"/>
        <w:spacing w:after="0" w:line="270" w:lineRule="auto"/>
        <w:tabs>
          <w:tab w:leader="none" w:pos="5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Current Report on Form 8-K filed with the Commission on June 12, 2006 (entry into Pacific merger agreement and purchase agreement with LB Pacific);</w:t>
      </w:r>
    </w:p>
    <w:p>
      <w:pPr>
        <w:spacing w:after="0" w:line="81" w:lineRule="exact"/>
        <w:rPr>
          <w:rFonts w:ascii="Arial" w:cs="Arial" w:eastAsia="Arial" w:hAnsi="Arial"/>
          <w:sz w:val="18"/>
          <w:szCs w:val="18"/>
          <w:b w:val="1"/>
          <w:bCs w:val="1"/>
          <w:color w:val="auto"/>
        </w:rPr>
      </w:pPr>
    </w:p>
    <w:p>
      <w:pPr>
        <w:ind w:left="560" w:hanging="326"/>
        <w:spacing w:after="0"/>
        <w:tabs>
          <w:tab w:leader="none" w:pos="560" w:val="left"/>
        </w:tabs>
        <w:numPr>
          <w:ilvl w:val="0"/>
          <w:numId w:val="33"/>
        </w:numPr>
        <w:rPr>
          <w:rFonts w:ascii="Arial" w:cs="Arial" w:eastAsia="Arial" w:hAnsi="Arial"/>
          <w:sz w:val="17"/>
          <w:szCs w:val="17"/>
          <w:b w:val="1"/>
          <w:bCs w:val="1"/>
          <w:color w:val="auto"/>
        </w:rPr>
      </w:pPr>
      <w:r>
        <w:rPr>
          <w:rFonts w:ascii="Arial" w:cs="Arial" w:eastAsia="Arial" w:hAnsi="Arial"/>
          <w:sz w:val="17"/>
          <w:szCs w:val="17"/>
          <w:color w:val="auto"/>
        </w:rPr>
        <w:t>Current Report on Form 8-K filed with the Commission on June 30, 2006 (unaudited balance sheet of Plains AAP, L.P. as of March 31, 2006);</w:t>
      </w:r>
    </w:p>
    <w:p>
      <w:pPr>
        <w:spacing w:after="0" w:line="138" w:lineRule="exact"/>
        <w:rPr>
          <w:rFonts w:ascii="Arial" w:cs="Arial" w:eastAsia="Arial" w:hAnsi="Arial"/>
          <w:sz w:val="17"/>
          <w:szCs w:val="17"/>
          <w:b w:val="1"/>
          <w:bCs w:val="1"/>
          <w:color w:val="auto"/>
        </w:rPr>
      </w:pPr>
    </w:p>
    <w:p>
      <w:pPr>
        <w:ind w:left="560" w:hanging="326"/>
        <w:spacing w:after="0"/>
        <w:tabs>
          <w:tab w:leader="none" w:pos="5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Current Report on Form 8-K filed with the Commission on July 14, 2006 (pro forma financial statements);</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Current Report on Form 8-K filed with the Commission on July 20, 2006 (amendment to Pacific merger agreement);</w:t>
      </w:r>
    </w:p>
    <w:p>
      <w:pPr>
        <w:spacing w:after="0" w:line="126" w:lineRule="exact"/>
        <w:rPr>
          <w:rFonts w:ascii="Arial" w:cs="Arial" w:eastAsia="Arial" w:hAnsi="Arial"/>
          <w:sz w:val="18"/>
          <w:szCs w:val="18"/>
          <w:b w:val="1"/>
          <w:bCs w:val="1"/>
          <w:color w:val="auto"/>
        </w:rPr>
      </w:pPr>
    </w:p>
    <w:p>
      <w:pPr>
        <w:ind w:left="560" w:right="140" w:hanging="326"/>
        <w:spacing w:after="0" w:line="270" w:lineRule="auto"/>
        <w:tabs>
          <w:tab w:leader="none" w:pos="5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Current Report on Form 8-K filed (other than Item 7.01, which was furnished) with the Commission on July 25, 2006 (entry into direct placement unit purchase agreement);</w:t>
      </w:r>
    </w:p>
    <w:p>
      <w:pPr>
        <w:spacing w:after="0" w:line="81" w:lineRule="exact"/>
        <w:rPr>
          <w:rFonts w:ascii="Arial" w:cs="Arial" w:eastAsia="Arial" w:hAnsi="Arial"/>
          <w:sz w:val="18"/>
          <w:szCs w:val="18"/>
          <w:b w:val="1"/>
          <w:bCs w:val="1"/>
          <w:color w:val="auto"/>
        </w:rPr>
      </w:pPr>
    </w:p>
    <w:p>
      <w:pPr>
        <w:ind w:left="560" w:right="740" w:hanging="326"/>
        <w:spacing w:after="0" w:line="270" w:lineRule="auto"/>
        <w:tabs>
          <w:tab w:leader="none" w:pos="5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Current Report on Form 8-K filed with the Commission on August 4, 2006 (entry into amended and restated credit agreement and bridge loan agreement);</w:t>
      </w:r>
    </w:p>
    <w:p>
      <w:pPr>
        <w:spacing w:after="0" w:line="81" w:lineRule="exact"/>
        <w:rPr>
          <w:rFonts w:ascii="Arial" w:cs="Arial" w:eastAsia="Arial" w:hAnsi="Arial"/>
          <w:sz w:val="18"/>
          <w:szCs w:val="18"/>
          <w:b w:val="1"/>
          <w:bCs w:val="1"/>
          <w:color w:val="auto"/>
        </w:rPr>
      </w:pPr>
    </w:p>
    <w:p>
      <w:pPr>
        <w:ind w:left="560" w:hanging="326"/>
        <w:spacing w:after="0"/>
        <w:tabs>
          <w:tab w:leader="none" w:pos="5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Current Report on Form 8-K filed with the Commission on August 23, 2006 (LTIP grants to audit committee members);</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Current Report on Form 8-K filed with the Commission on August 24, 2006 (pro forma financial statements);</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Current Report on Form 8-K filed with the Commission on August 25, 2006 (execution of eighth supplemental indenture);</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3"/>
        </w:numPr>
        <w:rPr>
          <w:rFonts w:ascii="Arial" w:cs="Arial" w:eastAsia="Arial" w:hAnsi="Arial"/>
          <w:sz w:val="17"/>
          <w:szCs w:val="17"/>
          <w:b w:val="1"/>
          <w:bCs w:val="1"/>
          <w:color w:val="auto"/>
        </w:rPr>
      </w:pPr>
      <w:r>
        <w:rPr>
          <w:rFonts w:ascii="Arial" w:cs="Arial" w:eastAsia="Arial" w:hAnsi="Arial"/>
          <w:sz w:val="17"/>
          <w:szCs w:val="17"/>
          <w:color w:val="auto"/>
        </w:rPr>
        <w:t>Current Report on Form 8-K filed with the Commission on August 28, 2006 (unaudited balance sheet of Plains AAP, L.P. as of June 30, 2006);</w:t>
      </w:r>
    </w:p>
    <w:p>
      <w:pPr>
        <w:spacing w:after="0" w:line="138" w:lineRule="exact"/>
        <w:rPr>
          <w:rFonts w:ascii="Arial" w:cs="Arial" w:eastAsia="Arial" w:hAnsi="Arial"/>
          <w:sz w:val="17"/>
          <w:szCs w:val="17"/>
          <w:b w:val="1"/>
          <w:bCs w:val="1"/>
          <w:color w:val="auto"/>
        </w:rPr>
      </w:pPr>
    </w:p>
    <w:p>
      <w:pPr>
        <w:ind w:left="560" w:right="360" w:hanging="326"/>
        <w:spacing w:after="0" w:line="270" w:lineRule="auto"/>
        <w:tabs>
          <w:tab w:leader="none" w:pos="5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Current Report on Form 8-K filed with the Commission on October 23, 2006 (announcement of private placement offering of $1.0 billion of senior notes);</w:t>
      </w:r>
    </w:p>
    <w:p>
      <w:pPr>
        <w:spacing w:after="0" w:line="81" w:lineRule="exact"/>
        <w:rPr>
          <w:rFonts w:ascii="Arial" w:cs="Arial" w:eastAsia="Arial" w:hAnsi="Arial"/>
          <w:sz w:val="18"/>
          <w:szCs w:val="18"/>
          <w:b w:val="1"/>
          <w:bCs w:val="1"/>
          <w:color w:val="auto"/>
        </w:rPr>
      </w:pPr>
    </w:p>
    <w:p>
      <w:pPr>
        <w:ind w:left="560" w:hanging="326"/>
        <w:spacing w:after="0"/>
        <w:tabs>
          <w:tab w:leader="none" w:pos="5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Current Report on Form 8-K filed with the Commission on October 27, 2006 (entry into note purchase agreement);</w:t>
      </w:r>
    </w:p>
    <w:p>
      <w:pPr>
        <w:spacing w:after="0" w:line="126" w:lineRule="exact"/>
        <w:rPr>
          <w:rFonts w:ascii="Arial" w:cs="Arial" w:eastAsia="Arial" w:hAnsi="Arial"/>
          <w:sz w:val="18"/>
          <w:szCs w:val="18"/>
          <w:b w:val="1"/>
          <w:bCs w:val="1"/>
          <w:color w:val="auto"/>
        </w:rPr>
      </w:pPr>
    </w:p>
    <w:p>
      <w:pPr>
        <w:ind w:left="560" w:hanging="326"/>
        <w:spacing w:after="0" w:line="270" w:lineRule="auto"/>
        <w:tabs>
          <w:tab w:leader="none" w:pos="5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Current Report on Form 8-K filed with the Commission on October 30, 2006 (entry into registration rights agreements and ninth and tenth supplemental indentures);</w:t>
      </w:r>
    </w:p>
    <w:p>
      <w:pPr>
        <w:spacing w:after="0" w:line="81" w:lineRule="exact"/>
        <w:rPr>
          <w:rFonts w:ascii="Arial" w:cs="Arial" w:eastAsia="Arial" w:hAnsi="Arial"/>
          <w:sz w:val="18"/>
          <w:szCs w:val="18"/>
          <w:b w:val="1"/>
          <w:bCs w:val="1"/>
          <w:color w:val="auto"/>
        </w:rPr>
      </w:pPr>
    </w:p>
    <w:p>
      <w:pPr>
        <w:ind w:left="560" w:hanging="326"/>
        <w:spacing w:after="0"/>
        <w:tabs>
          <w:tab w:leader="none" w:pos="5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Current Report on Form 8-K filed with the Commission on November 13, 2006 (announcement of unitholder approval of Pacific merger);</w:t>
      </w:r>
    </w:p>
    <w:p>
      <w:pPr>
        <w:spacing w:after="0" w:line="126" w:lineRule="exact"/>
        <w:rPr>
          <w:rFonts w:ascii="Arial" w:cs="Arial" w:eastAsia="Arial" w:hAnsi="Arial"/>
          <w:sz w:val="18"/>
          <w:szCs w:val="18"/>
          <w:b w:val="1"/>
          <w:bCs w:val="1"/>
          <w:color w:val="auto"/>
        </w:rPr>
      </w:pPr>
    </w:p>
    <w:p>
      <w:pPr>
        <w:ind w:left="560" w:right="380" w:hanging="326"/>
        <w:spacing w:after="0" w:line="300" w:lineRule="auto"/>
        <w:tabs>
          <w:tab w:leader="none" w:pos="560" w:val="left"/>
        </w:tabs>
        <w:numPr>
          <w:ilvl w:val="0"/>
          <w:numId w:val="33"/>
        </w:numPr>
        <w:rPr>
          <w:rFonts w:ascii="Arial" w:cs="Arial" w:eastAsia="Arial" w:hAnsi="Arial"/>
          <w:sz w:val="17"/>
          <w:szCs w:val="17"/>
          <w:b w:val="1"/>
          <w:bCs w:val="1"/>
          <w:color w:val="auto"/>
        </w:rPr>
      </w:pPr>
      <w:r>
        <w:rPr>
          <w:rFonts w:ascii="Arial" w:cs="Arial" w:eastAsia="Arial" w:hAnsi="Arial"/>
          <w:sz w:val="17"/>
          <w:szCs w:val="17"/>
          <w:color w:val="auto"/>
        </w:rPr>
        <w:t>Current Report on Form 8-K filed (other than Item 7.01, which was furnished) with the Commission on November 21, 2006 (completion of Pacific Merger, entry into supplemental indentures, amendment to partnership agreement and pro forma and historical financial statements;</w:t>
      </w:r>
    </w:p>
    <w:p>
      <w:pPr>
        <w:spacing w:after="0" w:line="58" w:lineRule="exact"/>
        <w:rPr>
          <w:rFonts w:ascii="Arial" w:cs="Arial" w:eastAsia="Arial" w:hAnsi="Arial"/>
          <w:sz w:val="17"/>
          <w:szCs w:val="17"/>
          <w:b w:val="1"/>
          <w:bCs w:val="1"/>
          <w:color w:val="auto"/>
        </w:rPr>
      </w:pPr>
    </w:p>
    <w:p>
      <w:pPr>
        <w:ind w:left="560" w:right="500" w:hanging="326"/>
        <w:spacing w:after="0" w:line="270" w:lineRule="auto"/>
        <w:tabs>
          <w:tab w:leader="none" w:pos="5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Current Report on Form 8-K filed with the Commission on November 29, 2006 (unaudited balance sheet of Plains AAP, L.P. as of September 30, 2006);</w:t>
      </w:r>
    </w:p>
    <w:p>
      <w:pPr>
        <w:spacing w:after="0" w:line="81" w:lineRule="exact"/>
        <w:rPr>
          <w:rFonts w:ascii="Arial" w:cs="Arial" w:eastAsia="Arial" w:hAnsi="Arial"/>
          <w:sz w:val="18"/>
          <w:szCs w:val="18"/>
          <w:b w:val="1"/>
          <w:bCs w:val="1"/>
          <w:color w:val="auto"/>
        </w:rPr>
      </w:pPr>
    </w:p>
    <w:p>
      <w:pPr>
        <w:ind w:left="560" w:right="100" w:hanging="326"/>
        <w:spacing w:after="0" w:line="270" w:lineRule="auto"/>
        <w:tabs>
          <w:tab w:leader="none" w:pos="5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Current Report on Form 8-K filed with the Commission on December 11, 2006 (announcement that the U.S. Environmental Protection Agency may be intending to initiate proceedings to assess civil penalties against Pacific Pipeline System, LLC);</w:t>
      </w:r>
    </w:p>
    <w:p>
      <w:pPr>
        <w:spacing w:after="0" w:line="81" w:lineRule="exact"/>
        <w:rPr>
          <w:rFonts w:ascii="Arial" w:cs="Arial" w:eastAsia="Arial" w:hAnsi="Arial"/>
          <w:sz w:val="18"/>
          <w:szCs w:val="18"/>
          <w:b w:val="1"/>
          <w:bCs w:val="1"/>
          <w:color w:val="auto"/>
        </w:rPr>
      </w:pPr>
    </w:p>
    <w:p>
      <w:pPr>
        <w:ind w:left="560" w:hanging="326"/>
        <w:spacing w:after="0"/>
        <w:tabs>
          <w:tab w:leader="none" w:pos="560" w:val="left"/>
        </w:tabs>
        <w:numPr>
          <w:ilvl w:val="0"/>
          <w:numId w:val="33"/>
        </w:numPr>
        <w:rPr>
          <w:rFonts w:ascii="Arial" w:cs="Arial" w:eastAsia="Arial" w:hAnsi="Arial"/>
          <w:sz w:val="16"/>
          <w:szCs w:val="16"/>
          <w:b w:val="1"/>
          <w:bCs w:val="1"/>
          <w:color w:val="auto"/>
        </w:rPr>
      </w:pPr>
      <w:r>
        <w:rPr>
          <w:rFonts w:ascii="Arial" w:cs="Arial" w:eastAsia="Arial" w:hAnsi="Arial"/>
          <w:sz w:val="16"/>
          <w:szCs w:val="16"/>
          <w:color w:val="auto"/>
        </w:rPr>
        <w:t>Current Report on Form 8-K filed with the Commission on December 14, 2006 (extension of exchange offer for 6.70% Senior Notes due 2036); and</w:t>
      </w:r>
    </w:p>
    <w:p>
      <w:pPr>
        <w:spacing w:after="0" w:line="149" w:lineRule="exact"/>
        <w:rPr>
          <w:rFonts w:ascii="Arial" w:cs="Arial" w:eastAsia="Arial" w:hAnsi="Arial"/>
          <w:sz w:val="16"/>
          <w:szCs w:val="16"/>
          <w:b w:val="1"/>
          <w:bCs w:val="1"/>
          <w:color w:val="auto"/>
        </w:rPr>
      </w:pPr>
    </w:p>
    <w:p>
      <w:pPr>
        <w:ind w:left="560" w:hanging="326"/>
        <w:spacing w:after="0"/>
        <w:tabs>
          <w:tab w:leader="none" w:pos="5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Current Report on Form 8-K filed with the Commission on December 19, 2006 (entry into direct unit purchase agreement).</w:t>
      </w:r>
    </w:p>
    <w:p>
      <w:pPr>
        <w:spacing w:after="0" w:line="11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You may request a copy of these filings at no cost by making written or telephone requests for copies to:</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Plains All American Pipeline, L.P.</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333 Clay Street, Suite 1600</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Houston, Texas 77002</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Tim Moore</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Telephone: (713) 646-4100</w:t>
      </w:r>
    </w:p>
    <w:p>
      <w:pPr>
        <w:spacing w:after="0" w:line="100" w:lineRule="exact"/>
        <w:rPr>
          <w:sz w:val="20"/>
          <w:szCs w:val="20"/>
          <w:color w:val="auto"/>
        </w:rPr>
      </w:pPr>
    </w:p>
    <w:p>
      <w:pPr>
        <w:ind w:right="120" w:firstLine="213"/>
        <w:spacing w:after="0" w:line="259" w:lineRule="auto"/>
        <w:rPr>
          <w:sz w:val="20"/>
          <w:szCs w:val="20"/>
          <w:color w:val="auto"/>
        </w:rPr>
      </w:pPr>
      <w:r>
        <w:rPr>
          <w:rFonts w:ascii="Arial" w:cs="Arial" w:eastAsia="Arial" w:hAnsi="Arial"/>
          <w:sz w:val="18"/>
          <w:szCs w:val="18"/>
          <w:color w:val="auto"/>
        </w:rPr>
        <w:t>Additionally, you may read and copy any materials that we have filed with the SEC at the SEC’s Public Reference Room at 100 F Street, N.E., Room 1580, Washington, D.C. 20549. You may obtain information on the operation of the Public Reference Room by calling the SEC at 1-800-SEC-0330. The SEC maintains an internet site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that contains reports, proxy and information statements, and other information regarding us. The SEC’s website address is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13" w:lineRule="exact"/>
        <w:rPr>
          <w:sz w:val="20"/>
          <w:szCs w:val="20"/>
          <w:color w:val="auto"/>
        </w:rPr>
      </w:pPr>
    </w:p>
    <w:p>
      <w:pPr>
        <w:jc w:val="both"/>
        <w:ind w:right="120" w:firstLine="216"/>
        <w:spacing w:after="0" w:line="259" w:lineRule="auto"/>
        <w:rPr>
          <w:sz w:val="20"/>
          <w:szCs w:val="20"/>
          <w:color w:val="auto"/>
        </w:rPr>
      </w:pPr>
      <w:r>
        <w:rPr>
          <w:rFonts w:ascii="Arial" w:cs="Arial" w:eastAsia="Arial" w:hAnsi="Arial"/>
          <w:sz w:val="18"/>
          <w:szCs w:val="18"/>
          <w:color w:val="auto"/>
        </w:rPr>
        <w:t>You should rely only on the information incorporated by reference or provided in this prospectus. We have not authorized anyone else to provide you with any information. You should not assume that the information provided in this prospectus or incorporated by reference is accurate as of any date other than the date on the front cover or the date of the incorporated material, as applicable.</w:t>
      </w:r>
    </w:p>
    <w:p>
      <w:pPr>
        <w:spacing w:after="0" w:line="28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FORWARD-LOOKING STATEMENTS</w:t>
      </w:r>
    </w:p>
    <w:p>
      <w:pPr>
        <w:spacing w:after="0" w:line="117" w:lineRule="exact"/>
        <w:rPr>
          <w:sz w:val="20"/>
          <w:szCs w:val="20"/>
          <w:color w:val="auto"/>
        </w:rPr>
      </w:pPr>
    </w:p>
    <w:p>
      <w:pPr>
        <w:ind w:firstLine="213"/>
        <w:spacing w:after="0" w:line="269" w:lineRule="auto"/>
        <w:rPr>
          <w:sz w:val="20"/>
          <w:szCs w:val="20"/>
          <w:color w:val="auto"/>
        </w:rPr>
      </w:pPr>
      <w:r>
        <w:rPr>
          <w:rFonts w:ascii="Arial" w:cs="Arial" w:eastAsia="Arial" w:hAnsi="Arial"/>
          <w:sz w:val="17"/>
          <w:szCs w:val="17"/>
          <w:color w:val="auto"/>
        </w:rPr>
        <w:t>All statements included or incorporated by reference in this prospectus or any prospectus supplement, other than statements of historical fact, are forward-looking statements, including but not limited to statements identified by the words “anticipate,” “believe,” “estimate,” “expect,” “plan,” “intend” and “forecast,” and similar expressions and statements regarding our business strategy, plans and objectives of our management for future operations. However, the absence of these words does not mean that the statements are not forward looking. These statements reflect our current views with respect to future events, based on what we believe are reasonable assumptions. Certain factors could cause actual results to differ materially from results anticipated in the forward-looking statements. These factors include, but are not limited to:</w:t>
      </w:r>
    </w:p>
    <w:p>
      <w:pPr>
        <w:spacing w:after="0" w:line="74" w:lineRule="exact"/>
        <w:rPr>
          <w:sz w:val="20"/>
          <w:szCs w:val="20"/>
          <w:color w:val="auto"/>
        </w:rPr>
      </w:pPr>
    </w:p>
    <w:p>
      <w:pPr>
        <w:ind w:left="560" w:right="20" w:hanging="326"/>
        <w:spacing w:after="0" w:line="270" w:lineRule="auto"/>
        <w:tabs>
          <w:tab w:leader="none" w:pos="5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our failure to successfully integrate the respective business operations upon completion of the merger with Pacific Energy or our failure to successfully integrate any future acquisitions;</w:t>
      </w:r>
    </w:p>
    <w:p>
      <w:pPr>
        <w:spacing w:after="0" w:line="81" w:lineRule="exact"/>
        <w:rPr>
          <w:rFonts w:ascii="Arial" w:cs="Arial" w:eastAsia="Arial" w:hAnsi="Arial"/>
          <w:sz w:val="18"/>
          <w:szCs w:val="18"/>
          <w:b w:val="1"/>
          <w:bCs w:val="1"/>
          <w:color w:val="auto"/>
        </w:rPr>
      </w:pPr>
    </w:p>
    <w:p>
      <w:pPr>
        <w:ind w:left="560" w:hanging="326"/>
        <w:spacing w:after="0"/>
        <w:tabs>
          <w:tab w:leader="none" w:pos="5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the failure to realize the anticipated cost savings, synergies and other benefits of the merger with Pacific Energy;</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the success of our risk management activities;</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4"/>
        </w:numPr>
        <w:rPr>
          <w:rFonts w:ascii="Arial" w:cs="Arial" w:eastAsia="Arial" w:hAnsi="Arial"/>
          <w:sz w:val="16"/>
          <w:szCs w:val="16"/>
          <w:b w:val="1"/>
          <w:bCs w:val="1"/>
          <w:color w:val="auto"/>
        </w:rPr>
      </w:pPr>
      <w:r>
        <w:rPr>
          <w:rFonts w:ascii="Arial" w:cs="Arial" w:eastAsia="Arial" w:hAnsi="Arial"/>
          <w:sz w:val="16"/>
          <w:szCs w:val="16"/>
          <w:color w:val="auto"/>
        </w:rPr>
        <w:t>abrupt or severe declines or interruptions in outer continental shelf production located offshore California and transported on our pipeline system;</w:t>
      </w:r>
    </w:p>
    <w:p>
      <w:pPr>
        <w:spacing w:after="0" w:line="149" w:lineRule="exact"/>
        <w:rPr>
          <w:rFonts w:ascii="Arial" w:cs="Arial" w:eastAsia="Arial" w:hAnsi="Arial"/>
          <w:sz w:val="16"/>
          <w:szCs w:val="16"/>
          <w:b w:val="1"/>
          <w:bCs w:val="1"/>
          <w:color w:val="auto"/>
        </w:rPr>
      </w:pPr>
    </w:p>
    <w:p>
      <w:pPr>
        <w:ind w:left="560" w:hanging="326"/>
        <w:spacing w:after="0"/>
        <w:tabs>
          <w:tab w:leader="none" w:pos="5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declines in volumes shipped on the Basin Pipeline, Capline Pipeline and our other pipelines by us and third party shippers;</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the availability of adequate third party production volumes for transportation and marketing in the areas in which we operate;</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4"/>
        </w:numPr>
        <w:rPr>
          <w:rFonts w:ascii="Arial" w:cs="Arial" w:eastAsia="Arial" w:hAnsi="Arial"/>
          <w:sz w:val="17"/>
          <w:szCs w:val="17"/>
          <w:b w:val="1"/>
          <w:bCs w:val="1"/>
          <w:color w:val="auto"/>
        </w:rPr>
      </w:pPr>
      <w:r>
        <w:rPr>
          <w:rFonts w:ascii="Arial" w:cs="Arial" w:eastAsia="Arial" w:hAnsi="Arial"/>
          <w:sz w:val="17"/>
          <w:szCs w:val="17"/>
          <w:color w:val="auto"/>
        </w:rPr>
        <w:t>demand for natural gas or various grades of crude oil and resulting changes in pricing conditions or transmission throughput requirements;</w:t>
      </w:r>
    </w:p>
    <w:p>
      <w:pPr>
        <w:spacing w:after="0" w:line="138" w:lineRule="exact"/>
        <w:rPr>
          <w:rFonts w:ascii="Arial" w:cs="Arial" w:eastAsia="Arial" w:hAnsi="Arial"/>
          <w:sz w:val="17"/>
          <w:szCs w:val="17"/>
          <w:b w:val="1"/>
          <w:bCs w:val="1"/>
          <w:color w:val="auto"/>
        </w:rPr>
      </w:pPr>
    </w:p>
    <w:p>
      <w:pPr>
        <w:ind w:left="560" w:hanging="326"/>
        <w:spacing w:after="0"/>
        <w:tabs>
          <w:tab w:leader="none" w:pos="5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fluctuations in refinery capacity in areas supplied by our main lines;</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the availability of, and our ability to consummate, acquisition or combination opportunities;</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our access to capital to fund additional acquisitions and our ability to obtain debt or equity financing on satisfactory terms;</w:t>
      </w:r>
    </w:p>
    <w:p>
      <w:pPr>
        <w:spacing w:after="0" w:line="126" w:lineRule="exact"/>
        <w:rPr>
          <w:rFonts w:ascii="Arial" w:cs="Arial" w:eastAsia="Arial" w:hAnsi="Arial"/>
          <w:sz w:val="18"/>
          <w:szCs w:val="18"/>
          <w:b w:val="1"/>
          <w:bCs w:val="1"/>
          <w:color w:val="auto"/>
        </w:rPr>
      </w:pPr>
    </w:p>
    <w:p>
      <w:pPr>
        <w:ind w:left="560" w:right="440" w:hanging="326"/>
        <w:spacing w:after="0" w:line="270" w:lineRule="auto"/>
        <w:tabs>
          <w:tab w:leader="none" w:pos="5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successful integration and future performance of acquired assets or businesses and the risks associated with operating in lines of business that are distinct and separate from our historical operations;</w:t>
      </w:r>
    </w:p>
    <w:p>
      <w:pPr>
        <w:spacing w:after="0" w:line="81" w:lineRule="exact"/>
        <w:rPr>
          <w:rFonts w:ascii="Arial" w:cs="Arial" w:eastAsia="Arial" w:hAnsi="Arial"/>
          <w:sz w:val="18"/>
          <w:szCs w:val="18"/>
          <w:b w:val="1"/>
          <w:bCs w:val="1"/>
          <w:color w:val="auto"/>
        </w:rPr>
      </w:pPr>
    </w:p>
    <w:p>
      <w:pPr>
        <w:ind w:left="560" w:hanging="326"/>
        <w:spacing w:after="0"/>
        <w:tabs>
          <w:tab w:leader="none" w:pos="5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unanticipated changes in crude oil market structure and volatility (or lack thereof);</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the impact of current and future laws, rulings and governmental regulations;</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40"/>
          </w:cols>
          <w:pgMar w:left="240" w:top="415" w:right="3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560" w:hanging="326"/>
        <w:spacing w:after="0"/>
        <w:tabs>
          <w:tab w:leader="none" w:pos="56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the effects of competition;</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continued creditworthiness of, and performance by, our counterparties;</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interruptions in service and fluctuations in tariffs or volumes on third party pipelines;</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increased costs or lack of availability of insurance;</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fluctuations in the debt and equity markets, including the price of our units at the time of vesting under our Long-Term Incentive Plans;</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the currency exchange rate of the Canadian dollar;</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shortages or cost increases of power supplies, materials or labor;</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weather interference with business operations or project construction;</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general economic, market or business conditions;</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risks related to the development and operation of natural gas storage facilities; and</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5"/>
        </w:numPr>
        <w:rPr>
          <w:rFonts w:ascii="Arial" w:cs="Arial" w:eastAsia="Arial" w:hAnsi="Arial"/>
          <w:sz w:val="16"/>
          <w:szCs w:val="16"/>
          <w:b w:val="1"/>
          <w:bCs w:val="1"/>
          <w:color w:val="auto"/>
        </w:rPr>
      </w:pPr>
      <w:r>
        <w:rPr>
          <w:rFonts w:ascii="Arial" w:cs="Arial" w:eastAsia="Arial" w:hAnsi="Arial"/>
          <w:sz w:val="16"/>
          <w:szCs w:val="16"/>
          <w:color w:val="auto"/>
        </w:rPr>
        <w:t>other factors and uncertainties inherent in the marketing, transportation, terminalling, gathering and storage of crude oil and liquefied petroleum gas.</w:t>
      </w:r>
    </w:p>
    <w:p>
      <w:pPr>
        <w:spacing w:after="0" w:line="136" w:lineRule="exact"/>
        <w:rPr>
          <w:sz w:val="20"/>
          <w:szCs w:val="20"/>
          <w:color w:val="auto"/>
        </w:rPr>
      </w:pPr>
    </w:p>
    <w:p>
      <w:pPr>
        <w:ind w:firstLine="222"/>
        <w:spacing w:after="0" w:line="253" w:lineRule="auto"/>
        <w:rPr>
          <w:sz w:val="20"/>
          <w:szCs w:val="20"/>
          <w:color w:val="auto"/>
        </w:rPr>
      </w:pPr>
      <w:r>
        <w:rPr>
          <w:rFonts w:ascii="Arial" w:cs="Arial" w:eastAsia="Arial" w:hAnsi="Arial"/>
          <w:sz w:val="18"/>
          <w:szCs w:val="18"/>
          <w:color w:val="auto"/>
        </w:rPr>
        <w:t>Other factors described herein or incorporated by reference, or factors that are unknown or unpredictable, could also have a material adverse effect on future results. Please read “Risk Factors” beginning on page 1 of this prospectus, in Item 1A. “Risk Factors” in our annual report on Form 10-K for the year ended December 31, 2005 and in Item 1A. “Risk Factors” in our quarterly reports on Form 10-Q for the quarters ended June 30, 2006 and September 30, 2006, as amended. Except as required by securities laws applicable to the documents incorporated by reference, we do not intend to update these forward-looking statements and information.</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60"/>
          </w:cols>
          <w:pgMar w:left="240" w:top="415" w:right="2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117" w:lineRule="exact"/>
        <w:rPr>
          <w:sz w:val="20"/>
          <w:szCs w:val="20"/>
          <w:color w:val="auto"/>
        </w:rPr>
      </w:pPr>
    </w:p>
    <w:p>
      <w:pPr>
        <w:ind w:right="180" w:firstLine="222"/>
        <w:spacing w:after="0" w:line="259" w:lineRule="auto"/>
        <w:rPr>
          <w:sz w:val="20"/>
          <w:szCs w:val="20"/>
          <w:color w:val="auto"/>
        </w:rPr>
      </w:pPr>
      <w:r>
        <w:rPr>
          <w:rFonts w:ascii="Arial" w:cs="Arial" w:eastAsia="Arial" w:hAnsi="Arial"/>
          <w:sz w:val="18"/>
          <w:szCs w:val="18"/>
          <w:color w:val="auto"/>
        </w:rPr>
        <w:t>Set forth below are the expenses (other than underwriting discounts and commissions) expected to be incurred in connection with the issuance and distribution of the securities registered hereby. With the exception of the Securities and Exchange Commission, or SEC, registration fee, the amounts set forth below are estimates: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0620" w:type="dxa"/>
            <w:vAlign w:val="bottom"/>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28,633</w:t>
            </w:r>
          </w:p>
        </w:tc>
      </w:tr>
      <w:tr>
        <w:trPr>
          <w:trHeight w:val="214"/>
        </w:trPr>
        <w:tc>
          <w:tcPr>
            <w:tcW w:w="1062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10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85,000</w:t>
            </w:r>
          </w:p>
        </w:tc>
      </w:tr>
      <w:tr>
        <w:trPr>
          <w:trHeight w:val="214"/>
        </w:trPr>
        <w:tc>
          <w:tcPr>
            <w:tcW w:w="1062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r>
      <w:tr>
        <w:trPr>
          <w:trHeight w:val="214"/>
        </w:trPr>
        <w:tc>
          <w:tcPr>
            <w:tcW w:w="10620" w:type="dxa"/>
            <w:vAlign w:val="bottom"/>
          </w:tcPr>
          <w:p>
            <w:pPr>
              <w:spacing w:after="0"/>
              <w:rPr>
                <w:sz w:val="20"/>
                <w:szCs w:val="20"/>
                <w:color w:val="auto"/>
              </w:rPr>
            </w:pPr>
            <w:r>
              <w:rPr>
                <w:rFonts w:ascii="Arial" w:cs="Arial" w:eastAsia="Arial" w:hAnsi="Arial"/>
                <w:sz w:val="18"/>
                <w:szCs w:val="18"/>
                <w:color w:val="auto"/>
              </w:rPr>
              <w:t>Printing Expenses</w:t>
            </w:r>
          </w:p>
        </w:tc>
        <w:tc>
          <w:tcPr>
            <w:tcW w:w="10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30,000</w:t>
            </w:r>
          </w:p>
        </w:tc>
      </w:tr>
      <w:tr>
        <w:trPr>
          <w:trHeight w:val="214"/>
        </w:trPr>
        <w:tc>
          <w:tcPr>
            <w:tcW w:w="1062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20,000</w:t>
            </w:r>
          </w:p>
        </w:tc>
      </w:tr>
      <w:tr>
        <w:trPr>
          <w:trHeight w:val="220"/>
        </w:trPr>
        <w:tc>
          <w:tcPr>
            <w:tcW w:w="10620" w:type="dxa"/>
            <w:vAlign w:val="bottom"/>
          </w:tcPr>
          <w:p>
            <w:pPr>
              <w:ind w:left="20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213,633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117" w:lineRule="exact"/>
        <w:rPr>
          <w:sz w:val="20"/>
          <w:szCs w:val="20"/>
          <w:color w:val="auto"/>
        </w:rPr>
      </w:pPr>
    </w:p>
    <w:p>
      <w:pPr>
        <w:ind w:right="60" w:firstLine="222"/>
        <w:spacing w:after="0" w:line="282" w:lineRule="auto"/>
        <w:rPr>
          <w:sz w:val="20"/>
          <w:szCs w:val="20"/>
          <w:color w:val="auto"/>
        </w:rPr>
      </w:pPr>
      <w:r>
        <w:rPr>
          <w:rFonts w:ascii="Arial" w:cs="Arial" w:eastAsia="Arial" w:hAnsi="Arial"/>
          <w:sz w:val="16"/>
          <w:szCs w:val="16"/>
          <w:color w:val="auto"/>
        </w:rPr>
        <w:t>Section 17-108 of the Delaware Revised Limited Partnership Act empowers a Delaware limited partnership to indemnify and hold harmless any partner or other person from and against all claims and demands whatsoever. The partnership agreement of Plains All American Pipeline provides that Plains All American Pipeline will indemnify the general partner, any departing partner, any person who is or was an affiliate of the general partner or any departing partner, and any person who is or was a member, partner, officer, director, employee, agent or trustee of the general partner or any departing partner or any affiliate of the general partner or any departing partner, or any person who is or was serving at the request of the general partner or any departing partner or any affiliate of the general partner or any departing partner as an officer, director, employee, member, partner, agent, fiduciary or trustee of another person (each, an “Indemnitee”), to the fullest extent permitted by law, from and against any and all losses, claims, damages, liabilities (joint and several), expenses (including, without limitation, legal fees and expenses), judgments, fines, penalties, interest, settlements and other amounts arising from any and all claims, demands, actions, suits or proceedings, whether civil, criminal, administrative or investigative, in which any Indemnitee may be involved, or is threatened to be involved, as a party or otherwise, by reason of its status as any of the foregoing; provided that in each case the Indemnitee acted in good faith and in a manner that such Indemnitee reasonably believed to be in or not opposed to the best interests of Plains All American Pipeline and, with respect to any criminal proceeding, had no reasonable cause to believe his, her or its conduct was unlawful. Any indemnification under these provisions will be only out of the assets of Plains All American Pipeline, and the general partner shall not be personally liable for, or have any obligation to contribute or loan funds or assets to Plains All American Pipeline to enable it to effectuate, such indemnification. Plains All American Pipeline is authorized to purchase (or to reimburse the general partner or its affiliates for the cost of) insurance against liabilities asserted against and expenses incurred by such persons in connection with Plains All American Pipeline’s activities, regardless of whether Plains All American Pipeline would have the power to indemnify such person against such liabilities under the provisions described above.</w:t>
      </w:r>
    </w:p>
    <w:p>
      <w:pPr>
        <w:spacing w:after="0" w:line="279" w:lineRule="exact"/>
        <w:rPr>
          <w:sz w:val="20"/>
          <w:szCs w:val="20"/>
          <w:color w:val="auto"/>
        </w:rPr>
      </w:pPr>
    </w:p>
    <w:p>
      <w:pPr>
        <w:ind w:right="40" w:firstLine="222"/>
        <w:spacing w:after="0" w:line="266" w:lineRule="auto"/>
        <w:rPr>
          <w:sz w:val="20"/>
          <w:szCs w:val="20"/>
          <w:color w:val="auto"/>
        </w:rPr>
      </w:pPr>
      <w:r>
        <w:rPr>
          <w:rFonts w:ascii="Arial" w:cs="Arial" w:eastAsia="Arial" w:hAnsi="Arial"/>
          <w:sz w:val="17"/>
          <w:szCs w:val="17"/>
          <w:color w:val="auto"/>
        </w:rPr>
        <w:t>Section 18-108 of the Delaware Limited Liability Company Act provides that, subject to such standards and restrictions, if any, as are set forth in its limited liability company agreement, a Delaware limited liability company may, and has the power to, indemnify and hold harmless any member or manager or other person from and against any and all claims and demands whatsoever. The limited liability company agreement of Plains All American GP LLC provides for the indemnification of (i) its members, (ii) members of its Board of Directors, and (iii) its officers (each, a “Company Affiliate”), from and against any and all losses, claims, demands, costs, damages, liabilities, expenses of any nature (including reasonable attorneys’ fees and disbursements), judgments, fines, settlements and other amounts arising from any and all claims, demands, actions, suits or proceedings, civil, criminal, administrative or investigative, in which such person may be involved, or threatened to be involved, as a party or otherwise, by reason of his, her or its status as a Company Affiliate, regardless of whether a Company Affiliate continues to be a Company Affiliate at the time any such liability or expense is paid or incurred, if such Company Affiliate acted in good faith and in a manner he, she or it reasonably believed to be in, or not opposed to, the interests of the Plains All American GP LLC and with respect to any criminal proceeding, had no reason to believe his, her or its conduct was unlawful. Expenses incurred by a Company Affiliate in defending any such claim, demand, action, suit or</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proceeding will, from time to time, be advanced by the Plains All American GP LLC prior to the final disposition of such claim, demand, action, suit or proceeding upon receipt by the Plains All American GP LLC of an undertaking by or on behalf of the Company Affiliate to repay such amounts if it is ultimately determined that the Company Affiliate is not entitled to be indemnified. Plains All American GP LLC is authorized to purchase and maintain insurance, on behalf of the members of its Board of Directors, its officers and such other persons as the Board of Directors may determine, against any liability that may be asserted against or expense that may be incurred by such person in connection with the activities of Plains All American GP LLC.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Exhibits</w:t>
      </w:r>
      <w:r>
        <w:rPr>
          <w:rFonts w:ascii="Arial" w:cs="Arial" w:eastAsia="Arial" w:hAnsi="Arial"/>
          <w:sz w:val="18"/>
          <w:szCs w:val="18"/>
          <w:color w:val="auto"/>
        </w:rPr>
        <w:t>. The following documents are filed as exhibits to this Registration Statement:</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227"/>
        </w:trPr>
        <w:tc>
          <w:tcPr>
            <w:tcW w:w="600" w:type="dxa"/>
            <w:vAlign w:val="bottom"/>
          </w:tcPr>
          <w:p>
            <w:pPr>
              <w:jc w:val="right"/>
              <w:ind w:right="111"/>
              <w:spacing w:after="0"/>
              <w:rPr>
                <w:sz w:val="20"/>
                <w:szCs w:val="20"/>
                <w:color w:val="auto"/>
              </w:rPr>
            </w:pPr>
            <w:r>
              <w:rPr>
                <w:rFonts w:ascii="Arial" w:cs="Arial" w:eastAsia="Arial" w:hAnsi="Arial"/>
                <w:sz w:val="18"/>
                <w:szCs w:val="18"/>
                <w:color w:val="auto"/>
              </w:rPr>
              <w:t>1.1+</w:t>
            </w:r>
          </w:p>
        </w:tc>
        <w:tc>
          <w:tcPr>
            <w:tcW w:w="10740" w:type="dxa"/>
            <w:vAlign w:val="bottom"/>
          </w:tcPr>
          <w:p>
            <w:pPr>
              <w:ind w:left="120"/>
              <w:spacing w:after="0"/>
              <w:rPr>
                <w:sz w:val="20"/>
                <w:szCs w:val="20"/>
                <w:color w:val="auto"/>
              </w:rPr>
            </w:pPr>
            <w:r>
              <w:rPr>
                <w:rFonts w:ascii="Arial" w:cs="Arial" w:eastAsia="Arial" w:hAnsi="Arial"/>
                <w:sz w:val="18"/>
                <w:szCs w:val="18"/>
                <w:color w:val="auto"/>
              </w:rPr>
              <w:t>—   Form of Underwriting Agreement</w:t>
            </w:r>
          </w:p>
        </w:tc>
      </w:tr>
      <w:tr>
        <w:trPr>
          <w:trHeight w:val="414"/>
        </w:trPr>
        <w:tc>
          <w:tcPr>
            <w:tcW w:w="600" w:type="dxa"/>
            <w:vAlign w:val="bottom"/>
          </w:tcPr>
          <w:p>
            <w:pPr>
              <w:jc w:val="right"/>
              <w:ind w:right="191"/>
              <w:spacing w:after="0"/>
              <w:rPr>
                <w:sz w:val="20"/>
                <w:szCs w:val="20"/>
                <w:color w:val="auto"/>
              </w:rPr>
            </w:pPr>
            <w:r>
              <w:rPr>
                <w:rFonts w:ascii="Arial" w:cs="Arial" w:eastAsia="Arial" w:hAnsi="Arial"/>
                <w:sz w:val="18"/>
                <w:szCs w:val="18"/>
                <w:color w:val="auto"/>
              </w:rPr>
              <w:t>4.1</w:t>
            </w:r>
          </w:p>
        </w:tc>
        <w:tc>
          <w:tcPr>
            <w:tcW w:w="10740" w:type="dxa"/>
            <w:vAlign w:val="bottom"/>
          </w:tcPr>
          <w:p>
            <w:pPr>
              <w:ind w:left="120"/>
              <w:spacing w:after="0"/>
              <w:rPr>
                <w:sz w:val="20"/>
                <w:szCs w:val="20"/>
                <w:color w:val="auto"/>
              </w:rPr>
            </w:pPr>
            <w:r>
              <w:rPr>
                <w:rFonts w:ascii="Arial" w:cs="Arial" w:eastAsia="Arial" w:hAnsi="Arial"/>
                <w:sz w:val="18"/>
                <w:szCs w:val="18"/>
                <w:color w:val="auto"/>
                <w:w w:val="91"/>
              </w:rPr>
              <w:t>—   Third Amended and Restated Agreement of Limited Partnership of Plains All American Pipeline, L.P., dated as of June 27, 2001 (incorporated</w:t>
            </w:r>
          </w:p>
        </w:tc>
      </w:tr>
      <w:tr>
        <w:trPr>
          <w:trHeight w:val="214"/>
        </w:trPr>
        <w:tc>
          <w:tcPr>
            <w:tcW w:w="600" w:type="dxa"/>
            <w:vAlign w:val="bottom"/>
          </w:tcPr>
          <w:p>
            <w:pPr>
              <w:spacing w:after="0"/>
              <w:rPr>
                <w:sz w:val="18"/>
                <w:szCs w:val="18"/>
                <w:color w:val="auto"/>
              </w:rPr>
            </w:pPr>
          </w:p>
        </w:tc>
        <w:tc>
          <w:tcPr>
            <w:tcW w:w="10740" w:type="dxa"/>
            <w:vAlign w:val="bottom"/>
          </w:tcPr>
          <w:p>
            <w:pPr>
              <w:ind w:left="540"/>
              <w:spacing w:after="0"/>
              <w:rPr>
                <w:sz w:val="20"/>
                <w:szCs w:val="20"/>
                <w:color w:val="auto"/>
              </w:rPr>
            </w:pPr>
            <w:r>
              <w:rPr>
                <w:rFonts w:ascii="Arial" w:cs="Arial" w:eastAsia="Arial" w:hAnsi="Arial"/>
                <w:sz w:val="18"/>
                <w:szCs w:val="18"/>
                <w:color w:val="auto"/>
                <w:w w:val="95"/>
              </w:rPr>
              <w:t>by reference to Exhibit 3.1 to Form 8-K filed August 27, 2001), as amended by Amendment No. 1 to the Third Amended and Restated</w:t>
            </w:r>
          </w:p>
        </w:tc>
      </w:tr>
      <w:tr>
        <w:trPr>
          <w:trHeight w:val="214"/>
        </w:trPr>
        <w:tc>
          <w:tcPr>
            <w:tcW w:w="600" w:type="dxa"/>
            <w:vAlign w:val="bottom"/>
          </w:tcPr>
          <w:p>
            <w:pPr>
              <w:spacing w:after="0"/>
              <w:rPr>
                <w:sz w:val="18"/>
                <w:szCs w:val="18"/>
                <w:color w:val="auto"/>
              </w:rPr>
            </w:pPr>
          </w:p>
        </w:tc>
        <w:tc>
          <w:tcPr>
            <w:tcW w:w="10740" w:type="dxa"/>
            <w:vAlign w:val="bottom"/>
          </w:tcPr>
          <w:p>
            <w:pPr>
              <w:ind w:left="540"/>
              <w:spacing w:after="0"/>
              <w:rPr>
                <w:sz w:val="20"/>
                <w:szCs w:val="20"/>
                <w:color w:val="auto"/>
              </w:rPr>
            </w:pPr>
            <w:r>
              <w:rPr>
                <w:rFonts w:ascii="Arial" w:cs="Arial" w:eastAsia="Arial" w:hAnsi="Arial"/>
                <w:sz w:val="18"/>
                <w:szCs w:val="18"/>
                <w:color w:val="auto"/>
                <w:w w:val="90"/>
              </w:rPr>
              <w:t>Agreement of Limited Partnership of Plains All American Pipeline, L.P., dated as of April 15, 2004 (incorporated by reference to Exhibit 3.1 to</w:t>
            </w:r>
          </w:p>
        </w:tc>
      </w:tr>
      <w:tr>
        <w:trPr>
          <w:trHeight w:val="227"/>
        </w:trPr>
        <w:tc>
          <w:tcPr>
            <w:tcW w:w="600" w:type="dxa"/>
            <w:vAlign w:val="bottom"/>
          </w:tcPr>
          <w:p>
            <w:pPr>
              <w:spacing w:after="0"/>
              <w:rPr>
                <w:sz w:val="19"/>
                <w:szCs w:val="19"/>
                <w:color w:val="auto"/>
              </w:rPr>
            </w:pPr>
          </w:p>
        </w:tc>
        <w:tc>
          <w:tcPr>
            <w:tcW w:w="10740" w:type="dxa"/>
            <w:vAlign w:val="bottom"/>
          </w:tcPr>
          <w:p>
            <w:pPr>
              <w:ind w:left="540"/>
              <w:spacing w:after="0"/>
              <w:rPr>
                <w:sz w:val="20"/>
                <w:szCs w:val="20"/>
                <w:color w:val="auto"/>
              </w:rPr>
            </w:pPr>
            <w:r>
              <w:rPr>
                <w:rFonts w:ascii="Arial" w:cs="Arial" w:eastAsia="Arial" w:hAnsi="Arial"/>
                <w:sz w:val="18"/>
                <w:szCs w:val="18"/>
                <w:color w:val="auto"/>
              </w:rPr>
              <w:t>Plains’ Quarterly Report on Form 10-Q for the quarter ended March 31, 2004)</w:t>
            </w:r>
          </w:p>
        </w:tc>
      </w:tr>
      <w:tr>
        <w:trPr>
          <w:trHeight w:val="414"/>
        </w:trPr>
        <w:tc>
          <w:tcPr>
            <w:tcW w:w="600" w:type="dxa"/>
            <w:vAlign w:val="bottom"/>
          </w:tcPr>
          <w:p>
            <w:pPr>
              <w:jc w:val="right"/>
              <w:ind w:right="191"/>
              <w:spacing w:after="0"/>
              <w:rPr>
                <w:sz w:val="20"/>
                <w:szCs w:val="20"/>
                <w:color w:val="auto"/>
              </w:rPr>
            </w:pPr>
            <w:r>
              <w:rPr>
                <w:rFonts w:ascii="Arial" w:cs="Arial" w:eastAsia="Arial" w:hAnsi="Arial"/>
                <w:sz w:val="18"/>
                <w:szCs w:val="18"/>
                <w:color w:val="auto"/>
              </w:rPr>
              <w:t>4.2</w:t>
            </w:r>
          </w:p>
        </w:tc>
        <w:tc>
          <w:tcPr>
            <w:tcW w:w="10740" w:type="dxa"/>
            <w:vAlign w:val="bottom"/>
          </w:tcPr>
          <w:p>
            <w:pPr>
              <w:ind w:left="120"/>
              <w:spacing w:after="0"/>
              <w:rPr>
                <w:sz w:val="20"/>
                <w:szCs w:val="20"/>
                <w:color w:val="auto"/>
              </w:rPr>
            </w:pPr>
            <w:r>
              <w:rPr>
                <w:rFonts w:ascii="Arial" w:cs="Arial" w:eastAsia="Arial" w:hAnsi="Arial"/>
                <w:sz w:val="18"/>
                <w:szCs w:val="18"/>
                <w:color w:val="auto"/>
                <w:w w:val="95"/>
              </w:rPr>
              <w:t>—   Amendment No. 2 dated November 15, 2006 to Third Amended and Restated Agreement of Limited Partnership of Plains All American</w:t>
            </w:r>
          </w:p>
        </w:tc>
      </w:tr>
      <w:tr>
        <w:trPr>
          <w:trHeight w:val="227"/>
        </w:trPr>
        <w:tc>
          <w:tcPr>
            <w:tcW w:w="600" w:type="dxa"/>
            <w:vAlign w:val="bottom"/>
          </w:tcPr>
          <w:p>
            <w:pPr>
              <w:spacing w:after="0"/>
              <w:rPr>
                <w:sz w:val="19"/>
                <w:szCs w:val="19"/>
                <w:color w:val="auto"/>
              </w:rPr>
            </w:pPr>
          </w:p>
        </w:tc>
        <w:tc>
          <w:tcPr>
            <w:tcW w:w="10740" w:type="dxa"/>
            <w:vAlign w:val="bottom"/>
          </w:tcPr>
          <w:p>
            <w:pPr>
              <w:ind w:left="540"/>
              <w:spacing w:after="0"/>
              <w:rPr>
                <w:sz w:val="20"/>
                <w:szCs w:val="20"/>
                <w:color w:val="auto"/>
              </w:rPr>
            </w:pPr>
            <w:r>
              <w:rPr>
                <w:rFonts w:ascii="Arial" w:cs="Arial" w:eastAsia="Arial" w:hAnsi="Arial"/>
                <w:sz w:val="18"/>
                <w:szCs w:val="18"/>
                <w:color w:val="auto"/>
              </w:rPr>
              <w:t>Pipeline L.P. (incorporated by reference to Exhibit 3.1 to Plains’ Current Report on Form 8-K filed November 21, 2006.</w:t>
            </w:r>
          </w:p>
        </w:tc>
      </w:tr>
      <w:tr>
        <w:trPr>
          <w:trHeight w:val="414"/>
        </w:trPr>
        <w:tc>
          <w:tcPr>
            <w:tcW w:w="600" w:type="dxa"/>
            <w:vAlign w:val="bottom"/>
          </w:tcPr>
          <w:p>
            <w:pPr>
              <w:jc w:val="right"/>
              <w:ind w:right="191"/>
              <w:spacing w:after="0"/>
              <w:rPr>
                <w:sz w:val="20"/>
                <w:szCs w:val="20"/>
                <w:color w:val="auto"/>
              </w:rPr>
            </w:pPr>
            <w:r>
              <w:rPr>
                <w:rFonts w:ascii="Arial" w:cs="Arial" w:eastAsia="Arial" w:hAnsi="Arial"/>
                <w:sz w:val="18"/>
                <w:szCs w:val="18"/>
                <w:color w:val="auto"/>
              </w:rPr>
              <w:t>4.3</w:t>
            </w:r>
          </w:p>
        </w:tc>
        <w:tc>
          <w:tcPr>
            <w:tcW w:w="10740" w:type="dxa"/>
            <w:vAlign w:val="bottom"/>
          </w:tcPr>
          <w:p>
            <w:pPr>
              <w:ind w:left="120"/>
              <w:spacing w:after="0"/>
              <w:rPr>
                <w:sz w:val="20"/>
                <w:szCs w:val="20"/>
                <w:color w:val="auto"/>
              </w:rPr>
            </w:pPr>
            <w:r>
              <w:rPr>
                <w:rFonts w:ascii="Arial" w:cs="Arial" w:eastAsia="Arial" w:hAnsi="Arial"/>
                <w:sz w:val="18"/>
                <w:szCs w:val="18"/>
                <w:color w:val="auto"/>
                <w:w w:val="99"/>
              </w:rPr>
              <w:t>—   Second Amended and Restated Limited Liability Company Agreement of Plains All American GP LLC, dated September 12, 2005</w:t>
            </w:r>
          </w:p>
        </w:tc>
      </w:tr>
      <w:tr>
        <w:trPr>
          <w:trHeight w:val="227"/>
        </w:trPr>
        <w:tc>
          <w:tcPr>
            <w:tcW w:w="600" w:type="dxa"/>
            <w:vAlign w:val="bottom"/>
          </w:tcPr>
          <w:p>
            <w:pPr>
              <w:spacing w:after="0"/>
              <w:rPr>
                <w:sz w:val="19"/>
                <w:szCs w:val="19"/>
                <w:color w:val="auto"/>
              </w:rPr>
            </w:pPr>
          </w:p>
        </w:tc>
        <w:tc>
          <w:tcPr>
            <w:tcW w:w="10740" w:type="dxa"/>
            <w:vAlign w:val="bottom"/>
          </w:tcPr>
          <w:p>
            <w:pPr>
              <w:ind w:left="540"/>
              <w:spacing w:after="0"/>
              <w:rPr>
                <w:sz w:val="20"/>
                <w:szCs w:val="20"/>
                <w:color w:val="auto"/>
              </w:rPr>
            </w:pPr>
            <w:r>
              <w:rPr>
                <w:rFonts w:ascii="Arial" w:cs="Arial" w:eastAsia="Arial" w:hAnsi="Arial"/>
                <w:sz w:val="18"/>
                <w:szCs w:val="18"/>
                <w:color w:val="auto"/>
              </w:rPr>
              <w:t>(incorporated by reference to Exhibit 3.1 to Plains’ Current Report on Form 8-K filed September 16, 2005)</w:t>
            </w:r>
          </w:p>
        </w:tc>
      </w:tr>
      <w:tr>
        <w:trPr>
          <w:trHeight w:val="414"/>
        </w:trPr>
        <w:tc>
          <w:tcPr>
            <w:tcW w:w="600" w:type="dxa"/>
            <w:vAlign w:val="bottom"/>
          </w:tcPr>
          <w:p>
            <w:pPr>
              <w:jc w:val="right"/>
              <w:ind w:right="191"/>
              <w:spacing w:after="0"/>
              <w:rPr>
                <w:sz w:val="20"/>
                <w:szCs w:val="20"/>
                <w:color w:val="auto"/>
              </w:rPr>
            </w:pPr>
            <w:r>
              <w:rPr>
                <w:rFonts w:ascii="Arial" w:cs="Arial" w:eastAsia="Arial" w:hAnsi="Arial"/>
                <w:sz w:val="18"/>
                <w:szCs w:val="18"/>
                <w:color w:val="auto"/>
              </w:rPr>
              <w:t>4.4</w:t>
            </w:r>
          </w:p>
        </w:tc>
        <w:tc>
          <w:tcPr>
            <w:tcW w:w="10740" w:type="dxa"/>
            <w:vAlign w:val="bottom"/>
          </w:tcPr>
          <w:p>
            <w:pPr>
              <w:ind w:left="120"/>
              <w:spacing w:after="0"/>
              <w:rPr>
                <w:sz w:val="20"/>
                <w:szCs w:val="20"/>
                <w:color w:val="auto"/>
              </w:rPr>
            </w:pPr>
            <w:r>
              <w:rPr>
                <w:rFonts w:ascii="Arial" w:cs="Arial" w:eastAsia="Arial" w:hAnsi="Arial"/>
                <w:sz w:val="18"/>
                <w:szCs w:val="18"/>
                <w:color w:val="auto"/>
                <w:w w:val="91"/>
              </w:rPr>
              <w:t>—   Second Amended and Restated Limited Partnership Agreement of Plains AAP, L.P., dated September 12, 2005 (incorporated by reference to</w:t>
            </w:r>
          </w:p>
        </w:tc>
      </w:tr>
      <w:tr>
        <w:trPr>
          <w:trHeight w:val="227"/>
        </w:trPr>
        <w:tc>
          <w:tcPr>
            <w:tcW w:w="600" w:type="dxa"/>
            <w:vAlign w:val="bottom"/>
          </w:tcPr>
          <w:p>
            <w:pPr>
              <w:spacing w:after="0"/>
              <w:rPr>
                <w:sz w:val="19"/>
                <w:szCs w:val="19"/>
                <w:color w:val="auto"/>
              </w:rPr>
            </w:pPr>
          </w:p>
        </w:tc>
        <w:tc>
          <w:tcPr>
            <w:tcW w:w="10740" w:type="dxa"/>
            <w:vAlign w:val="bottom"/>
          </w:tcPr>
          <w:p>
            <w:pPr>
              <w:ind w:left="540"/>
              <w:spacing w:after="0"/>
              <w:rPr>
                <w:sz w:val="20"/>
                <w:szCs w:val="20"/>
                <w:color w:val="auto"/>
              </w:rPr>
            </w:pPr>
            <w:r>
              <w:rPr>
                <w:rFonts w:ascii="Arial" w:cs="Arial" w:eastAsia="Arial" w:hAnsi="Arial"/>
                <w:sz w:val="18"/>
                <w:szCs w:val="18"/>
                <w:color w:val="auto"/>
              </w:rPr>
              <w:t>Exhibit 3.2 to Plains’ Current Report on Form 8-K filed September 16, 2005)</w:t>
            </w:r>
          </w:p>
        </w:tc>
      </w:tr>
      <w:tr>
        <w:trPr>
          <w:trHeight w:val="414"/>
        </w:trPr>
        <w:tc>
          <w:tcPr>
            <w:tcW w:w="600" w:type="dxa"/>
            <w:vAlign w:val="bottom"/>
          </w:tcPr>
          <w:p>
            <w:pPr>
              <w:jc w:val="right"/>
              <w:ind w:right="191"/>
              <w:spacing w:after="0"/>
              <w:rPr>
                <w:sz w:val="20"/>
                <w:szCs w:val="20"/>
                <w:color w:val="auto"/>
              </w:rPr>
            </w:pPr>
            <w:r>
              <w:rPr>
                <w:rFonts w:ascii="Arial" w:cs="Arial" w:eastAsia="Arial" w:hAnsi="Arial"/>
                <w:sz w:val="18"/>
                <w:szCs w:val="18"/>
                <w:color w:val="auto"/>
              </w:rPr>
              <w:t>4.5</w:t>
            </w:r>
          </w:p>
        </w:tc>
        <w:tc>
          <w:tcPr>
            <w:tcW w:w="10740" w:type="dxa"/>
            <w:vAlign w:val="bottom"/>
          </w:tcPr>
          <w:p>
            <w:pPr>
              <w:ind w:left="120"/>
              <w:spacing w:after="0"/>
              <w:rPr>
                <w:sz w:val="20"/>
                <w:szCs w:val="20"/>
                <w:color w:val="auto"/>
              </w:rPr>
            </w:pPr>
            <w:r>
              <w:rPr>
                <w:rFonts w:ascii="Arial" w:cs="Arial" w:eastAsia="Arial" w:hAnsi="Arial"/>
                <w:sz w:val="18"/>
                <w:szCs w:val="18"/>
                <w:color w:val="auto"/>
                <w:w w:val="94"/>
              </w:rPr>
              <w:t>—   Registration Rights Agreement, dated as of July 26, 2006, among Plains All American Pipeline, L.P., Vulcan Capital Private Equity I LLC,</w:t>
            </w:r>
          </w:p>
        </w:tc>
      </w:tr>
      <w:tr>
        <w:trPr>
          <w:trHeight w:val="214"/>
        </w:trPr>
        <w:tc>
          <w:tcPr>
            <w:tcW w:w="600" w:type="dxa"/>
            <w:vAlign w:val="bottom"/>
          </w:tcPr>
          <w:p>
            <w:pPr>
              <w:spacing w:after="0"/>
              <w:rPr>
                <w:sz w:val="18"/>
                <w:szCs w:val="18"/>
                <w:color w:val="auto"/>
              </w:rPr>
            </w:pPr>
          </w:p>
        </w:tc>
        <w:tc>
          <w:tcPr>
            <w:tcW w:w="10740" w:type="dxa"/>
            <w:vAlign w:val="bottom"/>
          </w:tcPr>
          <w:p>
            <w:pPr>
              <w:ind w:left="540"/>
              <w:spacing w:after="0"/>
              <w:rPr>
                <w:sz w:val="20"/>
                <w:szCs w:val="20"/>
                <w:color w:val="auto"/>
              </w:rPr>
            </w:pPr>
            <w:r>
              <w:rPr>
                <w:rFonts w:ascii="Arial" w:cs="Arial" w:eastAsia="Arial" w:hAnsi="Arial"/>
                <w:sz w:val="18"/>
                <w:szCs w:val="18"/>
                <w:color w:val="auto"/>
                <w:w w:val="90"/>
              </w:rPr>
              <w:t>Kayne Anderson MLP Investment Company and Kayne Anderson Energy Total Return Fund, Inc. (incorporated by reference to Exhibit 4.13 to</w:t>
            </w:r>
          </w:p>
        </w:tc>
      </w:tr>
      <w:tr>
        <w:trPr>
          <w:trHeight w:val="227"/>
        </w:trPr>
        <w:tc>
          <w:tcPr>
            <w:tcW w:w="600" w:type="dxa"/>
            <w:vAlign w:val="bottom"/>
          </w:tcPr>
          <w:p>
            <w:pPr>
              <w:spacing w:after="0"/>
              <w:rPr>
                <w:sz w:val="19"/>
                <w:szCs w:val="19"/>
                <w:color w:val="auto"/>
              </w:rPr>
            </w:pPr>
          </w:p>
        </w:tc>
        <w:tc>
          <w:tcPr>
            <w:tcW w:w="10740" w:type="dxa"/>
            <w:vAlign w:val="bottom"/>
          </w:tcPr>
          <w:p>
            <w:pPr>
              <w:ind w:left="540"/>
              <w:spacing w:after="0"/>
              <w:rPr>
                <w:sz w:val="20"/>
                <w:szCs w:val="20"/>
                <w:color w:val="auto"/>
              </w:rPr>
            </w:pPr>
            <w:r>
              <w:rPr>
                <w:rFonts w:ascii="Arial" w:cs="Arial" w:eastAsia="Arial" w:hAnsi="Arial"/>
                <w:sz w:val="18"/>
                <w:szCs w:val="18"/>
                <w:color w:val="auto"/>
              </w:rPr>
              <w:t>Quarterly Report on Form 10-Q for the Quarter ended September 30, 2006)</w:t>
            </w:r>
          </w:p>
        </w:tc>
      </w:tr>
      <w:tr>
        <w:trPr>
          <w:trHeight w:val="414"/>
        </w:trPr>
        <w:tc>
          <w:tcPr>
            <w:tcW w:w="600" w:type="dxa"/>
            <w:vAlign w:val="bottom"/>
          </w:tcPr>
          <w:p>
            <w:pPr>
              <w:jc w:val="right"/>
              <w:ind w:right="11"/>
              <w:spacing w:after="0"/>
              <w:rPr>
                <w:sz w:val="20"/>
                <w:szCs w:val="20"/>
                <w:color w:val="auto"/>
              </w:rPr>
            </w:pPr>
            <w:r>
              <w:rPr>
                <w:rFonts w:ascii="Arial" w:cs="Arial" w:eastAsia="Arial" w:hAnsi="Arial"/>
                <w:sz w:val="18"/>
                <w:szCs w:val="18"/>
                <w:color w:val="auto"/>
              </w:rPr>
              <w:t>4.6**</w:t>
            </w:r>
          </w:p>
        </w:tc>
        <w:tc>
          <w:tcPr>
            <w:tcW w:w="10740" w:type="dxa"/>
            <w:vAlign w:val="bottom"/>
          </w:tcPr>
          <w:p>
            <w:pPr>
              <w:ind w:left="120"/>
              <w:spacing w:after="0"/>
              <w:rPr>
                <w:sz w:val="20"/>
                <w:szCs w:val="20"/>
                <w:color w:val="auto"/>
              </w:rPr>
            </w:pPr>
            <w:r>
              <w:rPr>
                <w:rFonts w:ascii="Arial" w:cs="Arial" w:eastAsia="Arial" w:hAnsi="Arial"/>
                <w:sz w:val="18"/>
                <w:szCs w:val="18"/>
                <w:color w:val="auto"/>
                <w:w w:val="91"/>
              </w:rPr>
              <w:t>—   Registration Rights Agreement, dated as of December 19, 2006, among Plains All American Pipeline, L.P., Kayne Anderson MLP Investment</w:t>
            </w:r>
          </w:p>
        </w:tc>
      </w:tr>
      <w:tr>
        <w:trPr>
          <w:trHeight w:val="227"/>
        </w:trPr>
        <w:tc>
          <w:tcPr>
            <w:tcW w:w="600" w:type="dxa"/>
            <w:vAlign w:val="bottom"/>
          </w:tcPr>
          <w:p>
            <w:pPr>
              <w:spacing w:after="0"/>
              <w:rPr>
                <w:sz w:val="19"/>
                <w:szCs w:val="19"/>
                <w:color w:val="auto"/>
              </w:rPr>
            </w:pPr>
          </w:p>
        </w:tc>
        <w:tc>
          <w:tcPr>
            <w:tcW w:w="10740" w:type="dxa"/>
            <w:vAlign w:val="bottom"/>
          </w:tcPr>
          <w:p>
            <w:pPr>
              <w:ind w:left="540"/>
              <w:spacing w:after="0"/>
              <w:rPr>
                <w:sz w:val="20"/>
                <w:szCs w:val="20"/>
                <w:color w:val="auto"/>
              </w:rPr>
            </w:pPr>
            <w:r>
              <w:rPr>
                <w:rFonts w:ascii="Arial" w:cs="Arial" w:eastAsia="Arial" w:hAnsi="Arial"/>
                <w:sz w:val="18"/>
                <w:szCs w:val="18"/>
                <w:color w:val="auto"/>
              </w:rPr>
              <w:t>Company, Kayne Anderson Energy Development Company, E-Holdings III, L.P. and E-Holdings V, L.P.</w:t>
            </w:r>
          </w:p>
        </w:tc>
      </w:tr>
      <w:tr>
        <w:trPr>
          <w:trHeight w:val="414"/>
        </w:trPr>
        <w:tc>
          <w:tcPr>
            <w:tcW w:w="600" w:type="dxa"/>
            <w:vAlign w:val="bottom"/>
          </w:tcPr>
          <w:p>
            <w:pPr>
              <w:jc w:val="right"/>
              <w:ind w:right="111"/>
              <w:spacing w:after="0"/>
              <w:rPr>
                <w:sz w:val="20"/>
                <w:szCs w:val="20"/>
                <w:color w:val="auto"/>
              </w:rPr>
            </w:pPr>
            <w:r>
              <w:rPr>
                <w:rFonts w:ascii="Arial" w:cs="Arial" w:eastAsia="Arial" w:hAnsi="Arial"/>
                <w:sz w:val="18"/>
                <w:szCs w:val="18"/>
                <w:color w:val="auto"/>
              </w:rPr>
              <w:t>4.7*</w:t>
            </w:r>
          </w:p>
        </w:tc>
        <w:tc>
          <w:tcPr>
            <w:tcW w:w="10740" w:type="dxa"/>
            <w:vAlign w:val="bottom"/>
          </w:tcPr>
          <w:p>
            <w:pPr>
              <w:ind w:left="120"/>
              <w:spacing w:after="0"/>
              <w:rPr>
                <w:sz w:val="20"/>
                <w:szCs w:val="20"/>
                <w:color w:val="auto"/>
              </w:rPr>
            </w:pPr>
            <w:r>
              <w:rPr>
                <w:rFonts w:ascii="Arial" w:cs="Arial" w:eastAsia="Arial" w:hAnsi="Arial"/>
                <w:sz w:val="18"/>
                <w:szCs w:val="18"/>
                <w:color w:val="auto"/>
                <w:w w:val="94"/>
              </w:rPr>
              <w:t>—   Common Unit Purchase Agreement, dated as of August 8, 2005, among Pacific Energy Partners, L.P. and the Purchasers named therein</w:t>
            </w:r>
          </w:p>
        </w:tc>
      </w:tr>
      <w:tr>
        <w:trPr>
          <w:trHeight w:val="227"/>
        </w:trPr>
        <w:tc>
          <w:tcPr>
            <w:tcW w:w="600" w:type="dxa"/>
            <w:vAlign w:val="bottom"/>
          </w:tcPr>
          <w:p>
            <w:pPr>
              <w:spacing w:after="0"/>
              <w:rPr>
                <w:sz w:val="19"/>
                <w:szCs w:val="19"/>
                <w:color w:val="auto"/>
              </w:rPr>
            </w:pPr>
          </w:p>
        </w:tc>
        <w:tc>
          <w:tcPr>
            <w:tcW w:w="10740" w:type="dxa"/>
            <w:vAlign w:val="bottom"/>
          </w:tcPr>
          <w:p>
            <w:pPr>
              <w:ind w:left="540"/>
              <w:spacing w:after="0"/>
              <w:rPr>
                <w:sz w:val="20"/>
                <w:szCs w:val="20"/>
                <w:color w:val="auto"/>
              </w:rPr>
            </w:pPr>
            <w:r>
              <w:rPr>
                <w:rFonts w:ascii="Arial" w:cs="Arial" w:eastAsia="Arial" w:hAnsi="Arial"/>
                <w:sz w:val="18"/>
                <w:szCs w:val="18"/>
                <w:color w:val="auto"/>
              </w:rPr>
              <w:t>(incorporated by reference to Exhibit 10.1 to Pacific’s Current Report on Form 8-K filed August 12, 2005)</w:t>
            </w:r>
          </w:p>
        </w:tc>
      </w:tr>
      <w:tr>
        <w:trPr>
          <w:trHeight w:val="427"/>
        </w:trPr>
        <w:tc>
          <w:tcPr>
            <w:tcW w:w="600" w:type="dxa"/>
            <w:vAlign w:val="bottom"/>
          </w:tcPr>
          <w:p>
            <w:pPr>
              <w:jc w:val="right"/>
              <w:ind w:right="11"/>
              <w:spacing w:after="0"/>
              <w:rPr>
                <w:sz w:val="20"/>
                <w:szCs w:val="20"/>
                <w:color w:val="auto"/>
              </w:rPr>
            </w:pPr>
            <w:r>
              <w:rPr>
                <w:rFonts w:ascii="Arial" w:cs="Arial" w:eastAsia="Arial" w:hAnsi="Arial"/>
                <w:sz w:val="18"/>
                <w:szCs w:val="18"/>
                <w:color w:val="auto"/>
              </w:rPr>
              <w:t>5.1**</w:t>
            </w:r>
          </w:p>
        </w:tc>
        <w:tc>
          <w:tcPr>
            <w:tcW w:w="10740" w:type="dxa"/>
            <w:vAlign w:val="bottom"/>
          </w:tcPr>
          <w:p>
            <w:pPr>
              <w:ind w:left="120"/>
              <w:spacing w:after="0"/>
              <w:rPr>
                <w:sz w:val="20"/>
                <w:szCs w:val="20"/>
                <w:color w:val="auto"/>
              </w:rPr>
            </w:pPr>
            <w:r>
              <w:rPr>
                <w:rFonts w:ascii="Arial" w:cs="Arial" w:eastAsia="Arial" w:hAnsi="Arial"/>
                <w:sz w:val="18"/>
                <w:szCs w:val="18"/>
                <w:color w:val="auto"/>
              </w:rPr>
              <w:t>—   Opinion of Vinson &amp; Elkins L.L.P. as to the legality of the securities being registered</w:t>
            </w:r>
          </w:p>
        </w:tc>
      </w:tr>
      <w:tr>
        <w:trPr>
          <w:trHeight w:val="427"/>
        </w:trPr>
        <w:tc>
          <w:tcPr>
            <w:tcW w:w="600" w:type="dxa"/>
            <w:vAlign w:val="bottom"/>
          </w:tcPr>
          <w:p>
            <w:pPr>
              <w:jc w:val="right"/>
              <w:ind w:right="11"/>
              <w:spacing w:after="0"/>
              <w:rPr>
                <w:sz w:val="20"/>
                <w:szCs w:val="20"/>
                <w:color w:val="auto"/>
              </w:rPr>
            </w:pPr>
            <w:r>
              <w:rPr>
                <w:rFonts w:ascii="Arial" w:cs="Arial" w:eastAsia="Arial" w:hAnsi="Arial"/>
                <w:sz w:val="18"/>
                <w:szCs w:val="18"/>
                <w:color w:val="auto"/>
              </w:rPr>
              <w:t>8.1**</w:t>
            </w:r>
          </w:p>
        </w:tc>
        <w:tc>
          <w:tcPr>
            <w:tcW w:w="10740" w:type="dxa"/>
            <w:vAlign w:val="bottom"/>
          </w:tcPr>
          <w:p>
            <w:pPr>
              <w:ind w:left="120"/>
              <w:spacing w:after="0"/>
              <w:rPr>
                <w:sz w:val="20"/>
                <w:szCs w:val="20"/>
                <w:color w:val="auto"/>
              </w:rPr>
            </w:pPr>
            <w:r>
              <w:rPr>
                <w:rFonts w:ascii="Arial" w:cs="Arial" w:eastAsia="Arial" w:hAnsi="Arial"/>
                <w:sz w:val="18"/>
                <w:szCs w:val="18"/>
                <w:color w:val="auto"/>
              </w:rPr>
              <w:t>—   Opinion of Vinson &amp; Elkins L.L.P. relating to tax matters</w:t>
            </w:r>
          </w:p>
        </w:tc>
      </w:tr>
      <w:tr>
        <w:trPr>
          <w:trHeight w:val="427"/>
        </w:trPr>
        <w:tc>
          <w:tcPr>
            <w:tcW w:w="600" w:type="dxa"/>
            <w:vAlign w:val="bottom"/>
          </w:tcPr>
          <w:p>
            <w:pPr>
              <w:jc w:val="right"/>
              <w:ind w:right="111"/>
              <w:spacing w:after="0"/>
              <w:rPr>
                <w:sz w:val="20"/>
                <w:szCs w:val="20"/>
                <w:color w:val="auto"/>
              </w:rPr>
            </w:pPr>
            <w:r>
              <w:rPr>
                <w:rFonts w:ascii="Arial" w:cs="Arial" w:eastAsia="Arial" w:hAnsi="Arial"/>
                <w:sz w:val="18"/>
                <w:szCs w:val="18"/>
                <w:color w:val="auto"/>
                <w:w w:val="90"/>
              </w:rPr>
              <w:t>23.1*</w:t>
            </w:r>
          </w:p>
        </w:tc>
        <w:tc>
          <w:tcPr>
            <w:tcW w:w="10740" w:type="dxa"/>
            <w:vAlign w:val="bottom"/>
          </w:tcPr>
          <w:p>
            <w:pPr>
              <w:ind w:left="120"/>
              <w:spacing w:after="0"/>
              <w:rPr>
                <w:sz w:val="20"/>
                <w:szCs w:val="20"/>
                <w:color w:val="auto"/>
              </w:rPr>
            </w:pPr>
            <w:r>
              <w:rPr>
                <w:rFonts w:ascii="Arial" w:cs="Arial" w:eastAsia="Arial" w:hAnsi="Arial"/>
                <w:sz w:val="18"/>
                <w:szCs w:val="18"/>
                <w:color w:val="auto"/>
              </w:rPr>
              <w:t>—   Consent of PricewaterhouseCoopers LLP</w:t>
            </w:r>
          </w:p>
        </w:tc>
      </w:tr>
      <w:tr>
        <w:trPr>
          <w:trHeight w:val="427"/>
        </w:trPr>
        <w:tc>
          <w:tcPr>
            <w:tcW w:w="600" w:type="dxa"/>
            <w:vAlign w:val="bottom"/>
          </w:tcPr>
          <w:p>
            <w:pPr>
              <w:jc w:val="right"/>
              <w:ind w:right="11"/>
              <w:spacing w:after="0"/>
              <w:rPr>
                <w:sz w:val="20"/>
                <w:szCs w:val="20"/>
                <w:color w:val="auto"/>
              </w:rPr>
            </w:pPr>
            <w:r>
              <w:rPr>
                <w:rFonts w:ascii="Arial" w:cs="Arial" w:eastAsia="Arial" w:hAnsi="Arial"/>
                <w:sz w:val="18"/>
                <w:szCs w:val="18"/>
                <w:color w:val="auto"/>
                <w:w w:val="97"/>
              </w:rPr>
              <w:t>23.2**</w:t>
            </w:r>
          </w:p>
        </w:tc>
        <w:tc>
          <w:tcPr>
            <w:tcW w:w="10740" w:type="dxa"/>
            <w:vAlign w:val="bottom"/>
          </w:tcPr>
          <w:p>
            <w:pPr>
              <w:ind w:left="120"/>
              <w:spacing w:after="0"/>
              <w:rPr>
                <w:sz w:val="20"/>
                <w:szCs w:val="20"/>
                <w:color w:val="auto"/>
              </w:rPr>
            </w:pPr>
            <w:r>
              <w:rPr>
                <w:rFonts w:ascii="Arial" w:cs="Arial" w:eastAsia="Arial" w:hAnsi="Arial"/>
                <w:sz w:val="18"/>
                <w:szCs w:val="18"/>
                <w:color w:val="auto"/>
              </w:rPr>
              <w:t>—   Consent of Vinson &amp; Elkins L.L.P. (contained in Exhibits 5.1 and 8.1)</w:t>
            </w:r>
          </w:p>
        </w:tc>
      </w:tr>
      <w:tr>
        <w:trPr>
          <w:trHeight w:val="427"/>
        </w:trPr>
        <w:tc>
          <w:tcPr>
            <w:tcW w:w="600" w:type="dxa"/>
            <w:vAlign w:val="bottom"/>
          </w:tcPr>
          <w:p>
            <w:pPr>
              <w:jc w:val="right"/>
              <w:ind w:right="111"/>
              <w:spacing w:after="0"/>
              <w:rPr>
                <w:sz w:val="20"/>
                <w:szCs w:val="20"/>
                <w:color w:val="auto"/>
              </w:rPr>
            </w:pPr>
            <w:r>
              <w:rPr>
                <w:rFonts w:ascii="Arial" w:cs="Arial" w:eastAsia="Arial" w:hAnsi="Arial"/>
                <w:sz w:val="18"/>
                <w:szCs w:val="18"/>
                <w:color w:val="auto"/>
                <w:w w:val="90"/>
              </w:rPr>
              <w:t>23.3*</w:t>
            </w:r>
          </w:p>
        </w:tc>
        <w:tc>
          <w:tcPr>
            <w:tcW w:w="10740" w:type="dxa"/>
            <w:vAlign w:val="bottom"/>
          </w:tcPr>
          <w:p>
            <w:pPr>
              <w:ind w:left="120"/>
              <w:spacing w:after="0"/>
              <w:rPr>
                <w:sz w:val="20"/>
                <w:szCs w:val="20"/>
                <w:color w:val="auto"/>
              </w:rPr>
            </w:pPr>
            <w:r>
              <w:rPr>
                <w:rFonts w:ascii="Arial" w:cs="Arial" w:eastAsia="Arial" w:hAnsi="Arial"/>
                <w:sz w:val="18"/>
                <w:szCs w:val="18"/>
                <w:color w:val="auto"/>
              </w:rPr>
              <w:t>—   Consent of KPMG LLP</w:t>
            </w:r>
          </w:p>
        </w:tc>
      </w:tr>
      <w:tr>
        <w:trPr>
          <w:trHeight w:val="427"/>
        </w:trPr>
        <w:tc>
          <w:tcPr>
            <w:tcW w:w="600" w:type="dxa"/>
            <w:vAlign w:val="bottom"/>
          </w:tcPr>
          <w:p>
            <w:pPr>
              <w:jc w:val="right"/>
              <w:ind w:right="11"/>
              <w:spacing w:after="0"/>
              <w:rPr>
                <w:sz w:val="20"/>
                <w:szCs w:val="20"/>
                <w:color w:val="auto"/>
              </w:rPr>
            </w:pPr>
            <w:r>
              <w:rPr>
                <w:rFonts w:ascii="Arial" w:cs="Arial" w:eastAsia="Arial" w:hAnsi="Arial"/>
                <w:sz w:val="18"/>
                <w:szCs w:val="18"/>
                <w:color w:val="auto"/>
                <w:w w:val="97"/>
              </w:rPr>
              <w:t>24.1**</w:t>
            </w:r>
          </w:p>
        </w:tc>
        <w:tc>
          <w:tcPr>
            <w:tcW w:w="10740" w:type="dxa"/>
            <w:vAlign w:val="bottom"/>
          </w:tcPr>
          <w:p>
            <w:pPr>
              <w:ind w:left="120"/>
              <w:spacing w:after="0"/>
              <w:rPr>
                <w:sz w:val="20"/>
                <w:szCs w:val="20"/>
                <w:color w:val="auto"/>
              </w:rPr>
            </w:pPr>
            <w:r>
              <w:rPr>
                <w:rFonts w:ascii="Arial" w:cs="Arial" w:eastAsia="Arial" w:hAnsi="Arial"/>
                <w:sz w:val="18"/>
                <w:szCs w:val="18"/>
                <w:color w:val="auto"/>
              </w:rPr>
              <w:t>—   Powers of Attorney (included on the signature page)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187325</wp:posOffset>
            </wp:positionV>
            <wp:extent cx="13055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05560" cy="8255"/>
                    </a:xfrm>
                    <a:prstGeom prst="rect">
                      <a:avLst/>
                    </a:prstGeom>
                    <a:noFill/>
                  </pic:spPr>
                </pic:pic>
              </a:graphicData>
            </a:graphic>
          </wp:anchor>
        </w:drawing>
      </w:r>
    </w:p>
    <w:p>
      <w:pPr>
        <w:spacing w:after="0" w:line="341" w:lineRule="exact"/>
        <w:rPr>
          <w:sz w:val="20"/>
          <w:szCs w:val="20"/>
          <w:color w:val="auto"/>
        </w:rPr>
      </w:pPr>
    </w:p>
    <w:p>
      <w:pPr>
        <w:ind w:right="9740" w:firstLine="7"/>
        <w:spacing w:after="0" w:line="270" w:lineRule="auto"/>
        <w:tabs>
          <w:tab w:leader="none" w:pos="441"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Filed herewith. ** Previously Filed.</w:t>
      </w:r>
    </w:p>
    <w:p>
      <w:pPr>
        <w:spacing w:after="0" w:line="28" w:lineRule="exact"/>
        <w:rPr>
          <w:sz w:val="20"/>
          <w:szCs w:val="20"/>
          <w:color w:val="auto"/>
        </w:rPr>
      </w:pPr>
    </w:p>
    <w:p>
      <w:pPr>
        <w:ind w:left="5580" w:right="2360" w:hanging="5573"/>
        <w:spacing w:after="0" w:line="719" w:lineRule="auto"/>
        <w:tabs>
          <w:tab w:leader="none" w:pos="447"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be filed as an exhibit to a Current Report on Form 8-K or in a post effective amendment to this registration statement. 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-127000</wp:posOffset>
            </wp:positionV>
            <wp:extent cx="725233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 The undersigned registrant hereby undertakes:</w:t>
      </w:r>
    </w:p>
    <w:p>
      <w:pPr>
        <w:spacing w:after="0" w:line="113" w:lineRule="exact"/>
        <w:rPr>
          <w:sz w:val="20"/>
          <w:szCs w:val="20"/>
          <w:color w:val="auto"/>
        </w:rPr>
      </w:pPr>
    </w:p>
    <w:p>
      <w:pPr>
        <w:ind w:left="700" w:hanging="243"/>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3" w:lineRule="exact"/>
        <w:rPr>
          <w:rFonts w:ascii="Arial" w:cs="Arial" w:eastAsia="Arial" w:hAnsi="Arial"/>
          <w:sz w:val="18"/>
          <w:szCs w:val="18"/>
          <w:color w:val="auto"/>
        </w:rPr>
      </w:pPr>
    </w:p>
    <w:p>
      <w:pPr>
        <w:ind w:left="900" w:hanging="214"/>
        <w:spacing w:after="0"/>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13" w:lineRule="exact"/>
        <w:rPr>
          <w:rFonts w:ascii="Arial" w:cs="Arial" w:eastAsia="Arial" w:hAnsi="Arial"/>
          <w:sz w:val="18"/>
          <w:szCs w:val="18"/>
          <w:color w:val="auto"/>
        </w:rPr>
      </w:pPr>
    </w:p>
    <w:p>
      <w:pPr>
        <w:ind w:left="460" w:right="80" w:firstLine="226"/>
        <w:spacing w:after="0" w:line="289" w:lineRule="auto"/>
        <w:tabs>
          <w:tab w:leader="none" w:pos="944" w:val="left"/>
        </w:tabs>
        <w:numPr>
          <w:ilvl w:val="1"/>
          <w:numId w:val="38"/>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59" w:lineRule="exact"/>
        <w:rPr>
          <w:rFonts w:ascii="Arial" w:cs="Arial" w:eastAsia="Arial" w:hAnsi="Arial"/>
          <w:sz w:val="16"/>
          <w:szCs w:val="16"/>
          <w:color w:val="auto"/>
        </w:rPr>
      </w:pPr>
    </w:p>
    <w:p>
      <w:pPr>
        <w:ind w:left="460" w:right="140" w:firstLine="226"/>
        <w:spacing w:after="0" w:line="270" w:lineRule="auto"/>
        <w:tabs>
          <w:tab w:leader="none" w:pos="994" w:val="left"/>
        </w:tabs>
        <w:numPr>
          <w:ilvl w:val="1"/>
          <w:numId w:val="38"/>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8"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provided, however, that paragraphs (a)(1)(i), (a)(1)(ii) and (a)(1)(iii) do not apply if the information required to be included in a post-effective amendment by those paragraphs is contained in reports filed with or furnished to the SEC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82" w:lineRule="exact"/>
        <w:rPr>
          <w:sz w:val="20"/>
          <w:szCs w:val="20"/>
          <w:color w:val="auto"/>
        </w:rPr>
      </w:pPr>
    </w:p>
    <w:p>
      <w:pPr>
        <w:ind w:left="240" w:right="60" w:firstLine="217"/>
        <w:spacing w:after="0" w:line="259" w:lineRule="auto"/>
        <w:tabs>
          <w:tab w:leader="none" w:pos="714"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77" w:lineRule="exact"/>
        <w:rPr>
          <w:rFonts w:ascii="Arial" w:cs="Arial" w:eastAsia="Arial" w:hAnsi="Arial"/>
          <w:sz w:val="18"/>
          <w:szCs w:val="18"/>
          <w:color w:val="auto"/>
        </w:rPr>
      </w:pPr>
    </w:p>
    <w:p>
      <w:pPr>
        <w:ind w:left="240" w:firstLine="217"/>
        <w:spacing w:after="0" w:line="270" w:lineRule="auto"/>
        <w:tabs>
          <w:tab w:leader="none" w:pos="714"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8" w:lineRule="exact"/>
        <w:rPr>
          <w:rFonts w:ascii="Arial" w:cs="Arial" w:eastAsia="Arial" w:hAnsi="Arial"/>
          <w:sz w:val="18"/>
          <w:szCs w:val="18"/>
          <w:color w:val="auto"/>
        </w:rPr>
      </w:pPr>
    </w:p>
    <w:p>
      <w:pPr>
        <w:ind w:left="700" w:hanging="243"/>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113" w:lineRule="exact"/>
        <w:rPr>
          <w:rFonts w:ascii="Arial" w:cs="Arial" w:eastAsia="Arial" w:hAnsi="Arial"/>
          <w:sz w:val="18"/>
          <w:szCs w:val="18"/>
          <w:color w:val="auto"/>
        </w:rPr>
      </w:pPr>
    </w:p>
    <w:p>
      <w:pPr>
        <w:ind w:left="900" w:hanging="214"/>
        <w:spacing w:after="0"/>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if the registrant is relying on Rule 430B:</w:t>
      </w:r>
    </w:p>
    <w:p>
      <w:pPr>
        <w:spacing w:after="0" w:line="113" w:lineRule="exact"/>
        <w:rPr>
          <w:rFonts w:ascii="Arial" w:cs="Arial" w:eastAsia="Arial" w:hAnsi="Arial"/>
          <w:sz w:val="18"/>
          <w:szCs w:val="18"/>
          <w:color w:val="auto"/>
        </w:rPr>
      </w:pPr>
    </w:p>
    <w:p>
      <w:pPr>
        <w:ind w:left="700" w:right="220" w:firstLine="214"/>
        <w:spacing w:after="0" w:line="270" w:lineRule="auto"/>
        <w:tabs>
          <w:tab w:leader="none" w:pos="1214" w:val="left"/>
        </w:tabs>
        <w:numPr>
          <w:ilvl w:val="2"/>
          <w:numId w:val="39"/>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 (b)(3) shall be deemed to be part of the registration statement as of the date the filed prospectus was deemed part of and included in the registration statement; and</w:t>
      </w:r>
    </w:p>
    <w:p>
      <w:pPr>
        <w:spacing w:after="0" w:line="68" w:lineRule="exact"/>
        <w:rPr>
          <w:rFonts w:ascii="Arial" w:cs="Arial" w:eastAsia="Arial" w:hAnsi="Arial"/>
          <w:sz w:val="18"/>
          <w:szCs w:val="18"/>
          <w:color w:val="auto"/>
        </w:rPr>
      </w:pPr>
    </w:p>
    <w:p>
      <w:pPr>
        <w:ind w:left="700" w:firstLine="214"/>
        <w:spacing w:after="0" w:line="286" w:lineRule="auto"/>
        <w:tabs>
          <w:tab w:leader="none" w:pos="1204" w:val="left"/>
        </w:tabs>
        <w:numPr>
          <w:ilvl w:val="2"/>
          <w:numId w:val="39"/>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w:t>
      </w:r>
    </w:p>
    <w:p>
      <w:pPr>
        <w:spacing w:after="0" w:line="14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40"/>
          </w:cols>
          <w:pgMar w:left="240" w:top="415" w:right="3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700" w:right="400"/>
        <w:spacing w:after="0" w:line="259" w:lineRule="auto"/>
        <w:rPr>
          <w:sz w:val="20"/>
          <w:szCs w:val="20"/>
          <w:color w:val="auto"/>
        </w:rPr>
      </w:pPr>
      <w:r>
        <w:rPr>
          <w:rFonts w:ascii="Arial" w:cs="Arial" w:eastAsia="Arial" w:hAnsi="Arial"/>
          <w:sz w:val="18"/>
          <w:szCs w:val="18"/>
          <w:color w:val="auto"/>
        </w:rPr>
        <w:t>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77" w:lineRule="exact"/>
        <w:rPr>
          <w:sz w:val="20"/>
          <w:szCs w:val="20"/>
          <w:color w:val="auto"/>
        </w:rPr>
      </w:pPr>
    </w:p>
    <w:p>
      <w:pPr>
        <w:ind w:right="20" w:firstLine="229"/>
        <w:spacing w:after="0" w:line="253" w:lineRule="auto"/>
        <w:tabs>
          <w:tab w:leader="none" w:pos="43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84" w:lineRule="exact"/>
        <w:rPr>
          <w:sz w:val="20"/>
          <w:szCs w:val="20"/>
          <w:color w:val="auto"/>
        </w:rPr>
      </w:pPr>
    </w:p>
    <w:p>
      <w:pPr>
        <w:ind w:firstLine="229"/>
        <w:spacing w:after="0" w:line="250" w:lineRule="auto"/>
        <w:tabs>
          <w:tab w:leader="none" w:pos="489"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provisions described in Item 15 above, or otherwise, the registrant has been advised that in the opinion of the SEC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17" w:lineRule="exact"/>
        <w:rPr>
          <w:sz w:val="20"/>
          <w:szCs w:val="20"/>
          <w:color w:val="auto"/>
        </w:rPr>
      </w:pPr>
    </w:p>
    <w:p>
      <w:pPr>
        <w:jc w:val="both"/>
        <w:ind w:firstLine="222"/>
        <w:spacing w:after="0" w:line="259"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Houston, State of Texas, on January 29, 2007.</w:t>
      </w:r>
    </w:p>
    <w:p>
      <w:pPr>
        <w:spacing w:after="0" w:line="184"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PLAINS ALL AMERICAN PIPELINE, L.P.</w:t>
      </w:r>
    </w:p>
    <w:p>
      <w:pPr>
        <w:spacing w:after="0" w:line="220"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 Plains AAP, L.P., its general partner</w:t>
      </w:r>
    </w:p>
    <w:p>
      <w:pPr>
        <w:spacing w:after="0" w:line="220"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 Plains All American GP LLC,</w:t>
      </w:r>
    </w:p>
    <w:p>
      <w:pPr>
        <w:spacing w:after="0" w:line="20"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its general partner</w:t>
      </w:r>
    </w:p>
    <w:p>
      <w:pPr>
        <w:spacing w:after="0" w:line="20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 /s/ Greg L. Armstrong</w:t>
      </w:r>
    </w:p>
    <w:p>
      <w:pPr>
        <w:spacing w:after="0" w:line="20"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3463290</wp:posOffset>
            </wp:positionH>
            <wp:positionV relativeFrom="paragraph">
              <wp:posOffset>-130175</wp:posOffset>
            </wp:positionV>
            <wp:extent cx="277241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772410" cy="8255"/>
                    </a:xfrm>
                    <a:prstGeom prst="rect">
                      <a:avLst/>
                    </a:prstGeom>
                    <a:noFill/>
                  </pic:spPr>
                </pic:pic>
              </a:graphicData>
            </a:graphic>
          </wp:anchor>
        </w:drawing>
      </w:r>
    </w:p>
    <w:p>
      <w:pPr>
        <w:ind w:left="5460"/>
        <w:spacing w:after="0"/>
        <w:tabs>
          <w:tab w:leader="none" w:pos="6000" w:val="left"/>
        </w:tabs>
        <w:rPr>
          <w:sz w:val="20"/>
          <w:szCs w:val="20"/>
          <w:color w:val="auto"/>
        </w:rPr>
      </w:pPr>
      <w:r>
        <w:rPr>
          <w:rFonts w:ascii="Arial" w:cs="Arial" w:eastAsia="Arial" w:hAnsi="Arial"/>
          <w:sz w:val="18"/>
          <w:szCs w:val="18"/>
          <w:color w:val="auto"/>
        </w:rPr>
        <w:t>Title:</w:t>
        <w:tab/>
        <w:t>Chairman of the Board and Chief Executive Officer</w:t>
      </w:r>
    </w:p>
    <w:p>
      <w:pPr>
        <w:spacing w:after="0" w:line="314" w:lineRule="exact"/>
        <w:rPr>
          <w:sz w:val="20"/>
          <w:szCs w:val="20"/>
          <w:color w:val="auto"/>
        </w:rPr>
      </w:pPr>
    </w:p>
    <w:p>
      <w:pPr>
        <w:ind w:right="220" w:firstLine="222"/>
        <w:spacing w:after="0" w:line="270"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by the following persons in the capacities and on the dates indicated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SIGNATURE</w:t>
            </w:r>
          </w:p>
        </w:tc>
        <w:tc>
          <w:tcPr>
            <w:tcW w:w="360" w:type="dxa"/>
            <w:vAlign w:val="bottom"/>
          </w:tcPr>
          <w:p>
            <w:pPr>
              <w:spacing w:after="0"/>
              <w:rPr>
                <w:sz w:val="14"/>
                <w:szCs w:val="14"/>
                <w:color w:val="auto"/>
              </w:rPr>
            </w:pP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340" w:type="dxa"/>
            <w:vAlign w:val="bottom"/>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DATE</w:t>
            </w:r>
          </w:p>
        </w:tc>
        <w:tc>
          <w:tcPr>
            <w:tcW w:w="0" w:type="dxa"/>
            <w:vAlign w:val="bottom"/>
          </w:tcPr>
          <w:p>
            <w:pPr>
              <w:spacing w:after="0"/>
              <w:rPr>
                <w:sz w:val="1"/>
                <w:szCs w:val="1"/>
                <w:color w:val="auto"/>
              </w:rPr>
            </w:pPr>
          </w:p>
        </w:tc>
      </w:tr>
      <w:tr>
        <w:trPr>
          <w:trHeight w:val="193"/>
        </w:trPr>
        <w:tc>
          <w:tcPr>
            <w:tcW w:w="4580" w:type="dxa"/>
            <w:vAlign w:val="bottom"/>
          </w:tcPr>
          <w:p>
            <w:pPr>
              <w:jc w:val="center"/>
              <w:spacing w:after="0" w:line="193" w:lineRule="exact"/>
              <w:rPr>
                <w:sz w:val="20"/>
                <w:szCs w:val="20"/>
                <w:color w:val="auto"/>
              </w:rPr>
            </w:pPr>
            <w:r>
              <w:rPr>
                <w:rFonts w:ascii="Arial" w:cs="Arial" w:eastAsia="Arial" w:hAnsi="Arial"/>
                <w:sz w:val="18"/>
                <w:szCs w:val="18"/>
                <w:color w:val="auto"/>
                <w:w w:val="91"/>
              </w:rPr>
              <w:t>/s/ Greg L. Armstrong</w:t>
            </w:r>
          </w:p>
        </w:tc>
        <w:tc>
          <w:tcPr>
            <w:tcW w:w="360" w:type="dxa"/>
            <w:vAlign w:val="bottom"/>
          </w:tcPr>
          <w:p>
            <w:pPr>
              <w:spacing w:after="0"/>
              <w:rPr>
                <w:sz w:val="16"/>
                <w:szCs w:val="16"/>
                <w:color w:val="auto"/>
              </w:rPr>
            </w:pPr>
          </w:p>
        </w:tc>
        <w:tc>
          <w:tcPr>
            <w:tcW w:w="4560" w:type="dxa"/>
            <w:vAlign w:val="bottom"/>
          </w:tcPr>
          <w:p>
            <w:pPr>
              <w:jc w:val="center"/>
              <w:spacing w:after="0" w:line="193" w:lineRule="exact"/>
              <w:rPr>
                <w:sz w:val="20"/>
                <w:szCs w:val="20"/>
                <w:color w:val="auto"/>
              </w:rPr>
            </w:pPr>
            <w:r>
              <w:rPr>
                <w:rFonts w:ascii="Arial" w:cs="Arial" w:eastAsia="Arial" w:hAnsi="Arial"/>
                <w:sz w:val="18"/>
                <w:szCs w:val="18"/>
                <w:color w:val="auto"/>
                <w:w w:val="91"/>
              </w:rPr>
              <w:t>Chairman of the Board, Chief Executive Officer and Director</w:t>
            </w:r>
          </w:p>
        </w:tc>
        <w:tc>
          <w:tcPr>
            <w:tcW w:w="340" w:type="dxa"/>
            <w:vAlign w:val="bottom"/>
          </w:tcPr>
          <w:p>
            <w:pPr>
              <w:spacing w:after="0"/>
              <w:rPr>
                <w:sz w:val="16"/>
                <w:szCs w:val="16"/>
                <w:color w:val="auto"/>
              </w:rPr>
            </w:pPr>
          </w:p>
        </w:tc>
        <w:tc>
          <w:tcPr>
            <w:tcW w:w="1580" w:type="dxa"/>
            <w:vAlign w:val="bottom"/>
          </w:tcPr>
          <w:p>
            <w:pPr>
              <w:jc w:val="center"/>
              <w:spacing w:after="0" w:line="193" w:lineRule="exact"/>
              <w:rPr>
                <w:sz w:val="20"/>
                <w:szCs w:val="20"/>
                <w:color w:val="auto"/>
              </w:rPr>
            </w:pPr>
            <w:r>
              <w:rPr>
                <w:rFonts w:ascii="Arial" w:cs="Arial" w:eastAsia="Arial" w:hAnsi="Arial"/>
                <w:sz w:val="18"/>
                <w:szCs w:val="18"/>
                <w:color w:val="auto"/>
                <w:w w:val="87"/>
              </w:rPr>
              <w:t>January 29, 2007</w:t>
            </w:r>
          </w:p>
        </w:tc>
        <w:tc>
          <w:tcPr>
            <w:tcW w:w="0" w:type="dxa"/>
            <w:vAlign w:val="bottom"/>
          </w:tcPr>
          <w:p>
            <w:pPr>
              <w:spacing w:after="0"/>
              <w:rPr>
                <w:sz w:val="1"/>
                <w:szCs w:val="1"/>
                <w:color w:val="auto"/>
              </w:rPr>
            </w:pPr>
          </w:p>
        </w:tc>
      </w:tr>
      <w:tr>
        <w:trPr>
          <w:trHeight w:val="28"/>
        </w:trPr>
        <w:tc>
          <w:tcPr>
            <w:tcW w:w="45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560" w:type="dxa"/>
            <w:vAlign w:val="bottom"/>
            <w:vMerge w:val="restart"/>
          </w:tcPr>
          <w:p>
            <w:pPr>
              <w:jc w:val="center"/>
              <w:spacing w:after="0"/>
              <w:rPr>
                <w:sz w:val="20"/>
                <w:szCs w:val="20"/>
                <w:color w:val="auto"/>
              </w:rPr>
            </w:pPr>
            <w:r>
              <w:rPr>
                <w:rFonts w:ascii="Arial" w:cs="Arial" w:eastAsia="Arial" w:hAnsi="Arial"/>
                <w:sz w:val="18"/>
                <w:szCs w:val="18"/>
                <w:color w:val="auto"/>
                <w:w w:val="93"/>
              </w:rPr>
              <w:t>(Principal Executive Officer)</w:t>
            </w: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4580" w:type="dxa"/>
            <w:vAlign w:val="bottom"/>
          </w:tcPr>
          <w:p>
            <w:pPr>
              <w:jc w:val="center"/>
              <w:spacing w:after="0" w:line="193" w:lineRule="exact"/>
              <w:rPr>
                <w:sz w:val="20"/>
                <w:szCs w:val="20"/>
                <w:color w:val="auto"/>
              </w:rPr>
            </w:pPr>
            <w:r>
              <w:rPr>
                <w:rFonts w:ascii="Arial" w:cs="Arial" w:eastAsia="Arial" w:hAnsi="Arial"/>
                <w:sz w:val="18"/>
                <w:szCs w:val="18"/>
                <w:color w:val="auto"/>
                <w:w w:val="91"/>
              </w:rPr>
              <w:t>Greg L. Armstrong</w:t>
            </w:r>
          </w:p>
        </w:tc>
        <w:tc>
          <w:tcPr>
            <w:tcW w:w="360" w:type="dxa"/>
            <w:vAlign w:val="bottom"/>
          </w:tcPr>
          <w:p>
            <w:pPr>
              <w:spacing w:after="0"/>
              <w:rPr>
                <w:sz w:val="16"/>
                <w:szCs w:val="16"/>
                <w:color w:val="auto"/>
              </w:rPr>
            </w:pPr>
          </w:p>
        </w:tc>
        <w:tc>
          <w:tcPr>
            <w:tcW w:w="45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580" w:type="dxa"/>
            <w:vAlign w:val="bottom"/>
          </w:tcPr>
          <w:p>
            <w:pPr>
              <w:jc w:val="center"/>
              <w:spacing w:after="0"/>
              <w:rPr>
                <w:sz w:val="20"/>
                <w:szCs w:val="20"/>
                <w:color w:val="auto"/>
              </w:rPr>
            </w:pPr>
            <w:r>
              <w:rPr>
                <w:rFonts w:ascii="Arial" w:cs="Arial" w:eastAsia="Arial" w:hAnsi="Arial"/>
                <w:sz w:val="18"/>
                <w:szCs w:val="18"/>
                <w:color w:val="auto"/>
                <w:w w:val="91"/>
              </w:rPr>
              <w:t>/s/ Phil Kramer</w:t>
            </w:r>
          </w:p>
        </w:tc>
        <w:tc>
          <w:tcPr>
            <w:tcW w:w="36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1"/>
              </w:rPr>
              <w:t>Executive Vice President and Chief Financial Officer (Principal</w:t>
            </w:r>
          </w:p>
        </w:tc>
        <w:tc>
          <w:tcPr>
            <w:tcW w:w="3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7"/>
              </w:rPr>
              <w:t>January 29, 2007</w:t>
            </w:r>
          </w:p>
        </w:tc>
        <w:tc>
          <w:tcPr>
            <w:tcW w:w="0" w:type="dxa"/>
            <w:vAlign w:val="bottom"/>
          </w:tcPr>
          <w:p>
            <w:pPr>
              <w:spacing w:after="0"/>
              <w:rPr>
                <w:sz w:val="1"/>
                <w:szCs w:val="1"/>
                <w:color w:val="auto"/>
              </w:rPr>
            </w:pPr>
          </w:p>
        </w:tc>
      </w:tr>
      <w:tr>
        <w:trPr>
          <w:trHeight w:val="28"/>
        </w:trPr>
        <w:tc>
          <w:tcPr>
            <w:tcW w:w="45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560" w:type="dxa"/>
            <w:vAlign w:val="bottom"/>
            <w:vMerge w:val="restart"/>
          </w:tcPr>
          <w:p>
            <w:pPr>
              <w:jc w:val="center"/>
              <w:spacing w:after="0"/>
              <w:rPr>
                <w:sz w:val="20"/>
                <w:szCs w:val="20"/>
                <w:color w:val="auto"/>
              </w:rPr>
            </w:pPr>
            <w:r>
              <w:rPr>
                <w:rFonts w:ascii="Arial" w:cs="Arial" w:eastAsia="Arial" w:hAnsi="Arial"/>
                <w:sz w:val="18"/>
                <w:szCs w:val="18"/>
                <w:color w:val="auto"/>
                <w:w w:val="94"/>
              </w:rPr>
              <w:t>Financial Officer)</w:t>
            </w: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4580" w:type="dxa"/>
            <w:vAlign w:val="bottom"/>
          </w:tcPr>
          <w:p>
            <w:pPr>
              <w:jc w:val="center"/>
              <w:spacing w:after="0" w:line="193" w:lineRule="exact"/>
              <w:rPr>
                <w:sz w:val="20"/>
                <w:szCs w:val="20"/>
                <w:color w:val="auto"/>
              </w:rPr>
            </w:pPr>
            <w:r>
              <w:rPr>
                <w:rFonts w:ascii="Arial" w:cs="Arial" w:eastAsia="Arial" w:hAnsi="Arial"/>
                <w:sz w:val="18"/>
                <w:szCs w:val="18"/>
                <w:color w:val="auto"/>
                <w:w w:val="93"/>
              </w:rPr>
              <w:t>Phil Kramer</w:t>
            </w:r>
          </w:p>
        </w:tc>
        <w:tc>
          <w:tcPr>
            <w:tcW w:w="360" w:type="dxa"/>
            <w:vAlign w:val="bottom"/>
          </w:tcPr>
          <w:p>
            <w:pPr>
              <w:spacing w:after="0"/>
              <w:rPr>
                <w:sz w:val="16"/>
                <w:szCs w:val="16"/>
                <w:color w:val="auto"/>
              </w:rPr>
            </w:pPr>
          </w:p>
        </w:tc>
        <w:tc>
          <w:tcPr>
            <w:tcW w:w="45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580" w:type="dxa"/>
            <w:vAlign w:val="bottom"/>
          </w:tcPr>
          <w:p>
            <w:pPr>
              <w:jc w:val="center"/>
              <w:spacing w:after="0"/>
              <w:rPr>
                <w:sz w:val="20"/>
                <w:szCs w:val="20"/>
                <w:color w:val="auto"/>
              </w:rPr>
            </w:pPr>
            <w:r>
              <w:rPr>
                <w:rFonts w:ascii="Arial" w:cs="Arial" w:eastAsia="Arial" w:hAnsi="Arial"/>
                <w:sz w:val="18"/>
                <w:szCs w:val="18"/>
                <w:color w:val="auto"/>
                <w:w w:val="90"/>
              </w:rPr>
              <w:t>/s/ Tina L. Val</w:t>
            </w:r>
          </w:p>
        </w:tc>
        <w:tc>
          <w:tcPr>
            <w:tcW w:w="36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2"/>
              </w:rPr>
              <w:t>Vice President — Accounting and Chief Accounting Officer</w:t>
            </w:r>
          </w:p>
        </w:tc>
        <w:tc>
          <w:tcPr>
            <w:tcW w:w="3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7"/>
              </w:rPr>
              <w:t>January 29, 2007</w:t>
            </w:r>
          </w:p>
        </w:tc>
        <w:tc>
          <w:tcPr>
            <w:tcW w:w="0" w:type="dxa"/>
            <w:vAlign w:val="bottom"/>
          </w:tcPr>
          <w:p>
            <w:pPr>
              <w:spacing w:after="0"/>
              <w:rPr>
                <w:sz w:val="1"/>
                <w:szCs w:val="1"/>
                <w:color w:val="auto"/>
              </w:rPr>
            </w:pPr>
          </w:p>
        </w:tc>
      </w:tr>
      <w:tr>
        <w:trPr>
          <w:trHeight w:val="28"/>
        </w:trPr>
        <w:tc>
          <w:tcPr>
            <w:tcW w:w="45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560" w:type="dxa"/>
            <w:vAlign w:val="bottom"/>
            <w:vMerge w:val="restart"/>
          </w:tcPr>
          <w:p>
            <w:pPr>
              <w:jc w:val="center"/>
              <w:spacing w:after="0"/>
              <w:rPr>
                <w:sz w:val="20"/>
                <w:szCs w:val="20"/>
                <w:color w:val="auto"/>
              </w:rPr>
            </w:pPr>
            <w:r>
              <w:rPr>
                <w:rFonts w:ascii="Arial" w:cs="Arial" w:eastAsia="Arial" w:hAnsi="Arial"/>
                <w:sz w:val="18"/>
                <w:szCs w:val="18"/>
                <w:color w:val="auto"/>
                <w:w w:val="94"/>
              </w:rPr>
              <w:t>(Principal Accounting Officer)</w:t>
            </w: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4580" w:type="dxa"/>
            <w:vAlign w:val="bottom"/>
          </w:tcPr>
          <w:p>
            <w:pPr>
              <w:jc w:val="center"/>
              <w:spacing w:after="0" w:line="193" w:lineRule="exact"/>
              <w:rPr>
                <w:sz w:val="20"/>
                <w:szCs w:val="20"/>
                <w:color w:val="auto"/>
              </w:rPr>
            </w:pPr>
            <w:r>
              <w:rPr>
                <w:rFonts w:ascii="Arial" w:cs="Arial" w:eastAsia="Arial" w:hAnsi="Arial"/>
                <w:sz w:val="18"/>
                <w:szCs w:val="18"/>
                <w:color w:val="auto"/>
                <w:w w:val="92"/>
              </w:rPr>
              <w:t>Tina L. Val</w:t>
            </w:r>
          </w:p>
        </w:tc>
        <w:tc>
          <w:tcPr>
            <w:tcW w:w="360" w:type="dxa"/>
            <w:vAlign w:val="bottom"/>
          </w:tcPr>
          <w:p>
            <w:pPr>
              <w:spacing w:after="0"/>
              <w:rPr>
                <w:sz w:val="16"/>
                <w:szCs w:val="16"/>
                <w:color w:val="auto"/>
              </w:rPr>
            </w:pPr>
          </w:p>
        </w:tc>
        <w:tc>
          <w:tcPr>
            <w:tcW w:w="45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34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7"/>
              </w:rPr>
              <w:t>January 29, 2007</w:t>
            </w:r>
          </w:p>
        </w:tc>
        <w:tc>
          <w:tcPr>
            <w:tcW w:w="0" w:type="dxa"/>
            <w:vAlign w:val="bottom"/>
          </w:tcPr>
          <w:p>
            <w:pPr>
              <w:spacing w:after="0"/>
              <w:rPr>
                <w:sz w:val="1"/>
                <w:szCs w:val="1"/>
                <w:color w:val="auto"/>
              </w:rPr>
            </w:pPr>
          </w:p>
        </w:tc>
      </w:tr>
      <w:tr>
        <w:trPr>
          <w:trHeight w:val="199"/>
        </w:trPr>
        <w:tc>
          <w:tcPr>
            <w:tcW w:w="4580" w:type="dxa"/>
            <w:vAlign w:val="bottom"/>
          </w:tcPr>
          <w:p>
            <w:pPr>
              <w:jc w:val="center"/>
              <w:spacing w:after="0" w:line="200" w:lineRule="exact"/>
              <w:rPr>
                <w:sz w:val="20"/>
                <w:szCs w:val="20"/>
                <w:color w:val="auto"/>
              </w:rPr>
            </w:pPr>
            <w:r>
              <w:rPr>
                <w:rFonts w:ascii="Arial" w:cs="Arial" w:eastAsia="Arial" w:hAnsi="Arial"/>
                <w:sz w:val="18"/>
                <w:szCs w:val="18"/>
                <w:color w:val="auto"/>
                <w:w w:val="90"/>
              </w:rPr>
              <w:t>David N. Capobianco</w:t>
            </w:r>
          </w:p>
        </w:tc>
        <w:tc>
          <w:tcPr>
            <w:tcW w:w="36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34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7"/>
              </w:rPr>
              <w:t>January 29, 2007</w:t>
            </w:r>
          </w:p>
        </w:tc>
        <w:tc>
          <w:tcPr>
            <w:tcW w:w="0" w:type="dxa"/>
            <w:vAlign w:val="bottom"/>
          </w:tcPr>
          <w:p>
            <w:pPr>
              <w:spacing w:after="0"/>
              <w:rPr>
                <w:sz w:val="1"/>
                <w:szCs w:val="1"/>
                <w:color w:val="auto"/>
              </w:rPr>
            </w:pPr>
          </w:p>
        </w:tc>
      </w:tr>
      <w:tr>
        <w:trPr>
          <w:trHeight w:val="227"/>
        </w:trPr>
        <w:tc>
          <w:tcPr>
            <w:tcW w:w="4580" w:type="dxa"/>
            <w:vAlign w:val="bottom"/>
          </w:tcPr>
          <w:p>
            <w:pPr>
              <w:jc w:val="center"/>
              <w:spacing w:after="0"/>
              <w:rPr>
                <w:sz w:val="20"/>
                <w:szCs w:val="20"/>
                <w:color w:val="auto"/>
              </w:rPr>
            </w:pPr>
            <w:r>
              <w:rPr>
                <w:rFonts w:ascii="Arial" w:cs="Arial" w:eastAsia="Arial" w:hAnsi="Arial"/>
                <w:sz w:val="18"/>
                <w:szCs w:val="18"/>
                <w:color w:val="auto"/>
                <w:w w:val="87"/>
              </w:rPr>
              <w:t>Everardo Goyanes</w:t>
            </w:r>
          </w:p>
        </w:tc>
        <w:tc>
          <w:tcPr>
            <w:tcW w:w="36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6"/>
        </w:trPr>
        <w:tc>
          <w:tcPr>
            <w:tcW w:w="4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560" w:type="dxa"/>
            <w:vAlign w:val="bottom"/>
          </w:tcPr>
          <w:p>
            <w:pPr>
              <w:ind w:left="640"/>
              <w:spacing w:after="0"/>
              <w:rPr>
                <w:sz w:val="20"/>
                <w:szCs w:val="20"/>
                <w:color w:val="auto"/>
              </w:rPr>
            </w:pPr>
            <w:r>
              <w:rPr>
                <w:rFonts w:ascii="Arial" w:cs="Arial" w:eastAsia="Arial" w:hAnsi="Arial"/>
                <w:sz w:val="18"/>
                <w:szCs w:val="18"/>
                <w:color w:val="auto"/>
              </w:rPr>
              <w:t>II-5</w:t>
            </w: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5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45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8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rPr>
              <w:t>SIGNATURE</w:t>
            </w:r>
          </w:p>
        </w:tc>
        <w:tc>
          <w:tcPr>
            <w:tcW w:w="360" w:type="dxa"/>
            <w:vAlign w:val="bottom"/>
          </w:tcPr>
          <w:p>
            <w:pPr>
              <w:spacing w:after="0"/>
              <w:rPr>
                <w:sz w:val="14"/>
                <w:szCs w:val="14"/>
                <w:color w:val="auto"/>
              </w:rPr>
            </w:pP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340" w:type="dxa"/>
            <w:vAlign w:val="bottom"/>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DATE</w:t>
            </w:r>
          </w:p>
        </w:tc>
      </w:tr>
      <w:tr>
        <w:trPr>
          <w:trHeight w:val="220"/>
        </w:trPr>
        <w:tc>
          <w:tcPr>
            <w:tcW w:w="20" w:type="dxa"/>
            <w:vAlign w:val="bottom"/>
          </w:tcPr>
          <w:p>
            <w:pPr>
              <w:spacing w:after="0"/>
              <w:rPr>
                <w:sz w:val="19"/>
                <w:szCs w:val="19"/>
                <w:color w:val="auto"/>
              </w:rPr>
            </w:pPr>
          </w:p>
        </w:tc>
        <w:tc>
          <w:tcPr>
            <w:tcW w:w="3320" w:type="dxa"/>
            <w:vAlign w:val="bottom"/>
            <w:tcBorders>
              <w:bottom w:val="single" w:sz="8" w:color="auto"/>
            </w:tcBorders>
            <w:gridSpan w:val="2"/>
          </w:tcPr>
          <w:p>
            <w:pPr>
              <w:jc w:val="center"/>
              <w:ind w:left="1151"/>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34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7"/>
              </w:rPr>
              <w:t>January 29, 2007</w:t>
            </w: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80" w:type="dxa"/>
            <w:vAlign w:val="bottom"/>
            <w:gridSpan w:val="2"/>
          </w:tcPr>
          <w:p>
            <w:pPr>
              <w:jc w:val="center"/>
              <w:ind w:right="480"/>
              <w:spacing w:after="0" w:line="193" w:lineRule="exact"/>
              <w:rPr>
                <w:sz w:val="20"/>
                <w:szCs w:val="20"/>
                <w:color w:val="auto"/>
              </w:rPr>
            </w:pPr>
            <w:r>
              <w:rPr>
                <w:rFonts w:ascii="Arial" w:cs="Arial" w:eastAsia="Arial" w:hAnsi="Arial"/>
                <w:sz w:val="18"/>
                <w:szCs w:val="18"/>
                <w:color w:val="auto"/>
                <w:w w:val="86"/>
              </w:rPr>
              <w:t>Gary R. Petersen</w:t>
            </w:r>
          </w:p>
        </w:tc>
        <w:tc>
          <w:tcPr>
            <w:tcW w:w="36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35"/>
        </w:trPr>
        <w:tc>
          <w:tcPr>
            <w:tcW w:w="3340" w:type="dxa"/>
            <w:vAlign w:val="bottom"/>
            <w:gridSpan w:val="3"/>
          </w:tcPr>
          <w:p>
            <w:pPr>
              <w:jc w:val="center"/>
              <w:ind w:left="1171"/>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34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7"/>
              </w:rPr>
              <w:t>January 29, 2007</w:t>
            </w:r>
          </w:p>
        </w:tc>
      </w:tr>
      <w:tr>
        <w:trPr>
          <w:trHeight w:val="199"/>
        </w:trPr>
        <w:tc>
          <w:tcPr>
            <w:tcW w:w="2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4080" w:type="dxa"/>
            <w:vAlign w:val="bottom"/>
            <w:tcBorders>
              <w:top w:val="single" w:sz="8" w:color="auto"/>
            </w:tcBorders>
            <w:gridSpan w:val="2"/>
          </w:tcPr>
          <w:p>
            <w:pPr>
              <w:jc w:val="center"/>
              <w:ind w:right="480"/>
              <w:spacing w:after="0" w:line="200" w:lineRule="exact"/>
              <w:rPr>
                <w:sz w:val="20"/>
                <w:szCs w:val="20"/>
                <w:color w:val="auto"/>
              </w:rPr>
            </w:pPr>
            <w:r>
              <w:rPr>
                <w:rFonts w:ascii="Arial" w:cs="Arial" w:eastAsia="Arial" w:hAnsi="Arial"/>
                <w:sz w:val="18"/>
                <w:szCs w:val="18"/>
                <w:color w:val="auto"/>
                <w:w w:val="90"/>
              </w:rPr>
              <w:t>Robert V. Sinnott</w:t>
            </w:r>
          </w:p>
        </w:tc>
        <w:tc>
          <w:tcPr>
            <w:tcW w:w="36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35"/>
        </w:trPr>
        <w:tc>
          <w:tcPr>
            <w:tcW w:w="3340" w:type="dxa"/>
            <w:vAlign w:val="bottom"/>
            <w:gridSpan w:val="3"/>
          </w:tcPr>
          <w:p>
            <w:pPr>
              <w:jc w:val="center"/>
              <w:ind w:left="1171"/>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34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7"/>
              </w:rPr>
              <w:t>January 29, 2007</w:t>
            </w:r>
          </w:p>
        </w:tc>
      </w:tr>
      <w:tr>
        <w:trPr>
          <w:trHeight w:val="199"/>
        </w:trPr>
        <w:tc>
          <w:tcPr>
            <w:tcW w:w="2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4080" w:type="dxa"/>
            <w:vAlign w:val="bottom"/>
            <w:tcBorders>
              <w:top w:val="single" w:sz="8" w:color="auto"/>
            </w:tcBorders>
            <w:gridSpan w:val="2"/>
          </w:tcPr>
          <w:p>
            <w:pPr>
              <w:jc w:val="center"/>
              <w:ind w:right="500"/>
              <w:spacing w:after="0" w:line="200" w:lineRule="exact"/>
              <w:rPr>
                <w:sz w:val="20"/>
                <w:szCs w:val="20"/>
                <w:color w:val="auto"/>
              </w:rPr>
            </w:pPr>
            <w:r>
              <w:rPr>
                <w:rFonts w:ascii="Arial" w:cs="Arial" w:eastAsia="Arial" w:hAnsi="Arial"/>
                <w:sz w:val="18"/>
                <w:szCs w:val="18"/>
                <w:color w:val="auto"/>
                <w:w w:val="94"/>
              </w:rPr>
              <w:t>Arthur L. Smith</w:t>
            </w:r>
          </w:p>
        </w:tc>
        <w:tc>
          <w:tcPr>
            <w:tcW w:w="36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35"/>
        </w:trPr>
        <w:tc>
          <w:tcPr>
            <w:tcW w:w="3340" w:type="dxa"/>
            <w:vAlign w:val="bottom"/>
            <w:gridSpan w:val="3"/>
          </w:tcPr>
          <w:p>
            <w:pPr>
              <w:jc w:val="center"/>
              <w:ind w:left="1171"/>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34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7"/>
              </w:rPr>
              <w:t>January 29, 2007</w:t>
            </w:r>
          </w:p>
        </w:tc>
      </w:tr>
      <w:tr>
        <w:trPr>
          <w:trHeight w:val="227"/>
        </w:trPr>
        <w:tc>
          <w:tcPr>
            <w:tcW w:w="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080" w:type="dxa"/>
            <w:vAlign w:val="bottom"/>
            <w:tcBorders>
              <w:top w:val="single" w:sz="8" w:color="auto"/>
            </w:tcBorders>
            <w:gridSpan w:val="2"/>
          </w:tcPr>
          <w:p>
            <w:pPr>
              <w:jc w:val="center"/>
              <w:ind w:right="480"/>
              <w:spacing w:after="0"/>
              <w:rPr>
                <w:sz w:val="20"/>
                <w:szCs w:val="20"/>
                <w:color w:val="auto"/>
              </w:rPr>
            </w:pPr>
            <w:r>
              <w:rPr>
                <w:rFonts w:ascii="Arial" w:cs="Arial" w:eastAsia="Arial" w:hAnsi="Arial"/>
                <w:sz w:val="18"/>
                <w:szCs w:val="18"/>
                <w:color w:val="auto"/>
                <w:w w:val="89"/>
              </w:rPr>
              <w:t>J. Taft Symonds</w:t>
            </w:r>
          </w:p>
        </w:tc>
        <w:tc>
          <w:tcPr>
            <w:tcW w:w="36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414"/>
        </w:trPr>
        <w:tc>
          <w:tcPr>
            <w:tcW w:w="4580" w:type="dxa"/>
            <w:vAlign w:val="bottom"/>
            <w:gridSpan w:val="4"/>
          </w:tcPr>
          <w:p>
            <w:pPr>
              <w:spacing w:after="0"/>
              <w:rPr>
                <w:sz w:val="20"/>
                <w:szCs w:val="20"/>
                <w:color w:val="auto"/>
              </w:rPr>
            </w:pPr>
            <w:r>
              <w:rPr>
                <w:rFonts w:ascii="Arial" w:cs="Arial" w:eastAsia="Arial" w:hAnsi="Arial"/>
                <w:sz w:val="18"/>
                <w:szCs w:val="18"/>
                <w:color w:val="auto"/>
              </w:rPr>
              <w:t>* By: /s/ Tim Moore</w:t>
            </w:r>
          </w:p>
        </w:tc>
        <w:tc>
          <w:tcPr>
            <w:tcW w:w="36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40" w:type="dxa"/>
            <w:vAlign w:val="bottom"/>
            <w:tcBorders>
              <w:top w:val="single" w:sz="8" w:color="auto"/>
            </w:tcBorders>
          </w:tcPr>
          <w:p>
            <w:pPr>
              <w:spacing w:after="0" w:line="193" w:lineRule="exact"/>
              <w:rPr>
                <w:sz w:val="20"/>
                <w:szCs w:val="20"/>
                <w:color w:val="auto"/>
              </w:rPr>
            </w:pPr>
            <w:r>
              <w:rPr>
                <w:rFonts w:ascii="Arial" w:cs="Arial" w:eastAsia="Arial" w:hAnsi="Arial"/>
                <w:sz w:val="18"/>
                <w:szCs w:val="18"/>
                <w:color w:val="auto"/>
              </w:rPr>
              <w:t>Tim Moore</w:t>
            </w:r>
          </w:p>
        </w:tc>
        <w:tc>
          <w:tcPr>
            <w:tcW w:w="1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27"/>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Attorney-In-Fact</w:t>
            </w:r>
          </w:p>
        </w:tc>
        <w:tc>
          <w:tcPr>
            <w:tcW w:w="36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401"/>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560" w:type="dxa"/>
            <w:vAlign w:val="bottom"/>
          </w:tcPr>
          <w:p>
            <w:pPr>
              <w:ind w:left="640"/>
              <w:spacing w:after="0"/>
              <w:rPr>
                <w:sz w:val="20"/>
                <w:szCs w:val="20"/>
                <w:color w:val="auto"/>
              </w:rPr>
            </w:pPr>
            <w:r>
              <w:rPr>
                <w:rFonts w:ascii="Arial" w:cs="Arial" w:eastAsia="Arial" w:hAnsi="Arial"/>
                <w:sz w:val="18"/>
                <w:szCs w:val="18"/>
                <w:color w:val="auto"/>
              </w:rPr>
              <w:t>II-6</w:t>
            </w: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25"/>
        </w:trPr>
        <w:tc>
          <w:tcPr>
            <w:tcW w:w="20" w:type="dxa"/>
            <w:vAlign w:val="bottom"/>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84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45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tbl>
      <w:tblPr>
        <w:tblLayout w:type="fixed"/>
        <w:tblInd w:w="60" w:type="dxa"/>
        <w:tblCellMar>
          <w:top w:w="0" w:type="dxa"/>
          <w:left w:w="0" w:type="dxa"/>
          <w:bottom w:w="0" w:type="dxa"/>
          <w:right w:w="0" w:type="dxa"/>
        </w:tblCellMar>
      </w:tblPr>
      <w:tr>
        <w:trPr>
          <w:trHeight w:val="231"/>
        </w:trPr>
        <w:tc>
          <w:tcPr>
            <w:tcW w:w="600" w:type="dxa"/>
            <w:vAlign w:val="bottom"/>
          </w:tcPr>
          <w:p>
            <w:pPr>
              <w:spacing w:after="0"/>
              <w:rPr>
                <w:sz w:val="20"/>
                <w:szCs w:val="20"/>
                <w:color w:val="auto"/>
              </w:rPr>
            </w:pPr>
          </w:p>
        </w:tc>
        <w:tc>
          <w:tcPr>
            <w:tcW w:w="10740" w:type="dxa"/>
            <w:vAlign w:val="bottom"/>
          </w:tcPr>
          <w:p>
            <w:pPr>
              <w:ind w:left="4160"/>
              <w:spacing w:after="0"/>
              <w:rPr>
                <w:sz w:val="20"/>
                <w:szCs w:val="20"/>
                <w:color w:val="auto"/>
              </w:rPr>
            </w:pPr>
            <w:r>
              <w:rPr>
                <w:rFonts w:ascii="Arial" w:cs="Arial" w:eastAsia="Arial" w:hAnsi="Arial"/>
                <w:sz w:val="18"/>
                <w:szCs w:val="18"/>
                <w:b w:val="1"/>
                <w:bCs w:val="1"/>
                <w:color w:val="auto"/>
              </w:rPr>
              <w:t>INDEX TO EXHIBITS</w:t>
            </w:r>
          </w:p>
        </w:tc>
      </w:tr>
      <w:tr>
        <w:trPr>
          <w:trHeight w:val="427"/>
        </w:trPr>
        <w:tc>
          <w:tcPr>
            <w:tcW w:w="600" w:type="dxa"/>
            <w:vAlign w:val="bottom"/>
          </w:tcPr>
          <w:p>
            <w:pPr>
              <w:jc w:val="right"/>
              <w:ind w:right="111"/>
              <w:spacing w:after="0"/>
              <w:rPr>
                <w:sz w:val="20"/>
                <w:szCs w:val="20"/>
                <w:color w:val="auto"/>
              </w:rPr>
            </w:pPr>
            <w:r>
              <w:rPr>
                <w:rFonts w:ascii="Arial" w:cs="Arial" w:eastAsia="Arial" w:hAnsi="Arial"/>
                <w:sz w:val="18"/>
                <w:szCs w:val="18"/>
                <w:color w:val="auto"/>
              </w:rPr>
              <w:t>1.1+</w:t>
            </w:r>
          </w:p>
        </w:tc>
        <w:tc>
          <w:tcPr>
            <w:tcW w:w="10740" w:type="dxa"/>
            <w:vAlign w:val="bottom"/>
          </w:tcPr>
          <w:p>
            <w:pPr>
              <w:ind w:left="120"/>
              <w:spacing w:after="0"/>
              <w:rPr>
                <w:sz w:val="20"/>
                <w:szCs w:val="20"/>
                <w:color w:val="auto"/>
              </w:rPr>
            </w:pPr>
            <w:r>
              <w:rPr>
                <w:rFonts w:ascii="Arial" w:cs="Arial" w:eastAsia="Arial" w:hAnsi="Arial"/>
                <w:sz w:val="18"/>
                <w:szCs w:val="18"/>
                <w:color w:val="auto"/>
              </w:rPr>
              <w:t>—   Form of Underwriting Agreement</w:t>
            </w:r>
          </w:p>
        </w:tc>
      </w:tr>
      <w:tr>
        <w:trPr>
          <w:trHeight w:val="414"/>
        </w:trPr>
        <w:tc>
          <w:tcPr>
            <w:tcW w:w="600" w:type="dxa"/>
            <w:vAlign w:val="bottom"/>
          </w:tcPr>
          <w:p>
            <w:pPr>
              <w:jc w:val="right"/>
              <w:ind w:right="191"/>
              <w:spacing w:after="0"/>
              <w:rPr>
                <w:sz w:val="20"/>
                <w:szCs w:val="20"/>
                <w:color w:val="auto"/>
              </w:rPr>
            </w:pPr>
            <w:r>
              <w:rPr>
                <w:rFonts w:ascii="Arial" w:cs="Arial" w:eastAsia="Arial" w:hAnsi="Arial"/>
                <w:sz w:val="18"/>
                <w:szCs w:val="18"/>
                <w:color w:val="auto"/>
              </w:rPr>
              <w:t>4.1</w:t>
            </w:r>
          </w:p>
        </w:tc>
        <w:tc>
          <w:tcPr>
            <w:tcW w:w="10740" w:type="dxa"/>
            <w:vAlign w:val="bottom"/>
          </w:tcPr>
          <w:p>
            <w:pPr>
              <w:ind w:left="120"/>
              <w:spacing w:after="0"/>
              <w:rPr>
                <w:sz w:val="20"/>
                <w:szCs w:val="20"/>
                <w:color w:val="auto"/>
              </w:rPr>
            </w:pPr>
            <w:r>
              <w:rPr>
                <w:rFonts w:ascii="Arial" w:cs="Arial" w:eastAsia="Arial" w:hAnsi="Arial"/>
                <w:sz w:val="18"/>
                <w:szCs w:val="18"/>
                <w:color w:val="auto"/>
                <w:w w:val="91"/>
              </w:rPr>
              <w:t>—   Third Amended and Restated Agreement of Limited Partnership of Plains All American Pipeline, L.P., dated as of June 27, 2001 (incorporated</w:t>
            </w:r>
          </w:p>
        </w:tc>
      </w:tr>
      <w:tr>
        <w:trPr>
          <w:trHeight w:val="214"/>
        </w:trPr>
        <w:tc>
          <w:tcPr>
            <w:tcW w:w="600" w:type="dxa"/>
            <w:vAlign w:val="bottom"/>
          </w:tcPr>
          <w:p>
            <w:pPr>
              <w:spacing w:after="0"/>
              <w:rPr>
                <w:sz w:val="18"/>
                <w:szCs w:val="18"/>
                <w:color w:val="auto"/>
              </w:rPr>
            </w:pPr>
          </w:p>
        </w:tc>
        <w:tc>
          <w:tcPr>
            <w:tcW w:w="10740" w:type="dxa"/>
            <w:vAlign w:val="bottom"/>
          </w:tcPr>
          <w:p>
            <w:pPr>
              <w:ind w:left="540"/>
              <w:spacing w:after="0"/>
              <w:rPr>
                <w:sz w:val="20"/>
                <w:szCs w:val="20"/>
                <w:color w:val="auto"/>
              </w:rPr>
            </w:pPr>
            <w:r>
              <w:rPr>
                <w:rFonts w:ascii="Arial" w:cs="Arial" w:eastAsia="Arial" w:hAnsi="Arial"/>
                <w:sz w:val="18"/>
                <w:szCs w:val="18"/>
                <w:color w:val="auto"/>
                <w:w w:val="95"/>
              </w:rPr>
              <w:t>by reference to Exhibit 3.1 to Form 8-K filed August 27, 2001), as amended by Amendment No. 1 to the Third Amended and Restated</w:t>
            </w:r>
          </w:p>
        </w:tc>
      </w:tr>
      <w:tr>
        <w:trPr>
          <w:trHeight w:val="214"/>
        </w:trPr>
        <w:tc>
          <w:tcPr>
            <w:tcW w:w="600" w:type="dxa"/>
            <w:vAlign w:val="bottom"/>
          </w:tcPr>
          <w:p>
            <w:pPr>
              <w:spacing w:after="0"/>
              <w:rPr>
                <w:sz w:val="18"/>
                <w:szCs w:val="18"/>
                <w:color w:val="auto"/>
              </w:rPr>
            </w:pPr>
          </w:p>
        </w:tc>
        <w:tc>
          <w:tcPr>
            <w:tcW w:w="10740" w:type="dxa"/>
            <w:vAlign w:val="bottom"/>
          </w:tcPr>
          <w:p>
            <w:pPr>
              <w:ind w:left="540"/>
              <w:spacing w:after="0"/>
              <w:rPr>
                <w:sz w:val="20"/>
                <w:szCs w:val="20"/>
                <w:color w:val="auto"/>
              </w:rPr>
            </w:pPr>
            <w:r>
              <w:rPr>
                <w:rFonts w:ascii="Arial" w:cs="Arial" w:eastAsia="Arial" w:hAnsi="Arial"/>
                <w:sz w:val="18"/>
                <w:szCs w:val="18"/>
                <w:color w:val="auto"/>
                <w:w w:val="90"/>
              </w:rPr>
              <w:t>Agreement of Limited Partnership of Plains All American Pipeline, L.P., dated as of April 15, 2004 (incorporated by reference to Exhibit 3.1 to</w:t>
            </w:r>
          </w:p>
        </w:tc>
      </w:tr>
      <w:tr>
        <w:trPr>
          <w:trHeight w:val="227"/>
        </w:trPr>
        <w:tc>
          <w:tcPr>
            <w:tcW w:w="600" w:type="dxa"/>
            <w:vAlign w:val="bottom"/>
          </w:tcPr>
          <w:p>
            <w:pPr>
              <w:spacing w:after="0"/>
              <w:rPr>
                <w:sz w:val="19"/>
                <w:szCs w:val="19"/>
                <w:color w:val="auto"/>
              </w:rPr>
            </w:pPr>
          </w:p>
        </w:tc>
        <w:tc>
          <w:tcPr>
            <w:tcW w:w="10740" w:type="dxa"/>
            <w:vAlign w:val="bottom"/>
          </w:tcPr>
          <w:p>
            <w:pPr>
              <w:ind w:left="540"/>
              <w:spacing w:after="0"/>
              <w:rPr>
                <w:sz w:val="20"/>
                <w:szCs w:val="20"/>
                <w:color w:val="auto"/>
              </w:rPr>
            </w:pPr>
            <w:r>
              <w:rPr>
                <w:rFonts w:ascii="Arial" w:cs="Arial" w:eastAsia="Arial" w:hAnsi="Arial"/>
                <w:sz w:val="18"/>
                <w:szCs w:val="18"/>
                <w:color w:val="auto"/>
              </w:rPr>
              <w:t>Plains’ Quarterly Report on Form 10-Q for the quarter ended March 31, 2004)</w:t>
            </w:r>
          </w:p>
        </w:tc>
      </w:tr>
      <w:tr>
        <w:trPr>
          <w:trHeight w:val="414"/>
        </w:trPr>
        <w:tc>
          <w:tcPr>
            <w:tcW w:w="600" w:type="dxa"/>
            <w:vAlign w:val="bottom"/>
          </w:tcPr>
          <w:p>
            <w:pPr>
              <w:jc w:val="right"/>
              <w:ind w:right="191"/>
              <w:spacing w:after="0"/>
              <w:rPr>
                <w:sz w:val="20"/>
                <w:szCs w:val="20"/>
                <w:color w:val="auto"/>
              </w:rPr>
            </w:pPr>
            <w:r>
              <w:rPr>
                <w:rFonts w:ascii="Arial" w:cs="Arial" w:eastAsia="Arial" w:hAnsi="Arial"/>
                <w:sz w:val="18"/>
                <w:szCs w:val="18"/>
                <w:color w:val="auto"/>
              </w:rPr>
              <w:t>4.2</w:t>
            </w:r>
          </w:p>
        </w:tc>
        <w:tc>
          <w:tcPr>
            <w:tcW w:w="10740" w:type="dxa"/>
            <w:vAlign w:val="bottom"/>
          </w:tcPr>
          <w:p>
            <w:pPr>
              <w:ind w:left="120"/>
              <w:spacing w:after="0"/>
              <w:rPr>
                <w:sz w:val="20"/>
                <w:szCs w:val="20"/>
                <w:color w:val="auto"/>
              </w:rPr>
            </w:pPr>
            <w:r>
              <w:rPr>
                <w:rFonts w:ascii="Arial" w:cs="Arial" w:eastAsia="Arial" w:hAnsi="Arial"/>
                <w:sz w:val="18"/>
                <w:szCs w:val="18"/>
                <w:color w:val="auto"/>
                <w:w w:val="95"/>
              </w:rPr>
              <w:t>—   Amendment No. 2 dated November 15, 2006 to Third Amended and Restated Agreement of Limited Partnership of Plains All American</w:t>
            </w:r>
          </w:p>
        </w:tc>
      </w:tr>
      <w:tr>
        <w:trPr>
          <w:trHeight w:val="227"/>
        </w:trPr>
        <w:tc>
          <w:tcPr>
            <w:tcW w:w="600" w:type="dxa"/>
            <w:vAlign w:val="bottom"/>
          </w:tcPr>
          <w:p>
            <w:pPr>
              <w:spacing w:after="0"/>
              <w:rPr>
                <w:sz w:val="19"/>
                <w:szCs w:val="19"/>
                <w:color w:val="auto"/>
              </w:rPr>
            </w:pPr>
          </w:p>
        </w:tc>
        <w:tc>
          <w:tcPr>
            <w:tcW w:w="10740" w:type="dxa"/>
            <w:vAlign w:val="bottom"/>
          </w:tcPr>
          <w:p>
            <w:pPr>
              <w:ind w:left="540"/>
              <w:spacing w:after="0"/>
              <w:rPr>
                <w:sz w:val="20"/>
                <w:szCs w:val="20"/>
                <w:color w:val="auto"/>
              </w:rPr>
            </w:pPr>
            <w:r>
              <w:rPr>
                <w:rFonts w:ascii="Arial" w:cs="Arial" w:eastAsia="Arial" w:hAnsi="Arial"/>
                <w:sz w:val="18"/>
                <w:szCs w:val="18"/>
                <w:color w:val="auto"/>
              </w:rPr>
              <w:t>Pipeline L.P. (incorporated by reference to Exhibit 3.1 to Plains’ Current Report on Form 8-K filed November 21, 2006.</w:t>
            </w:r>
          </w:p>
        </w:tc>
      </w:tr>
      <w:tr>
        <w:trPr>
          <w:trHeight w:val="414"/>
        </w:trPr>
        <w:tc>
          <w:tcPr>
            <w:tcW w:w="600" w:type="dxa"/>
            <w:vAlign w:val="bottom"/>
          </w:tcPr>
          <w:p>
            <w:pPr>
              <w:jc w:val="right"/>
              <w:ind w:right="191"/>
              <w:spacing w:after="0"/>
              <w:rPr>
                <w:sz w:val="20"/>
                <w:szCs w:val="20"/>
                <w:color w:val="auto"/>
              </w:rPr>
            </w:pPr>
            <w:r>
              <w:rPr>
                <w:rFonts w:ascii="Arial" w:cs="Arial" w:eastAsia="Arial" w:hAnsi="Arial"/>
                <w:sz w:val="18"/>
                <w:szCs w:val="18"/>
                <w:color w:val="auto"/>
              </w:rPr>
              <w:t>4.3</w:t>
            </w:r>
          </w:p>
        </w:tc>
        <w:tc>
          <w:tcPr>
            <w:tcW w:w="10740" w:type="dxa"/>
            <w:vAlign w:val="bottom"/>
          </w:tcPr>
          <w:p>
            <w:pPr>
              <w:ind w:left="120"/>
              <w:spacing w:after="0"/>
              <w:rPr>
                <w:sz w:val="20"/>
                <w:szCs w:val="20"/>
                <w:color w:val="auto"/>
              </w:rPr>
            </w:pPr>
            <w:r>
              <w:rPr>
                <w:rFonts w:ascii="Arial" w:cs="Arial" w:eastAsia="Arial" w:hAnsi="Arial"/>
                <w:sz w:val="18"/>
                <w:szCs w:val="18"/>
                <w:color w:val="auto"/>
                <w:w w:val="99"/>
              </w:rPr>
              <w:t>—   Second Amended and Restated Limited Liability Company Agreement of Plains All American GP LLC, dated September 12, 2005</w:t>
            </w:r>
          </w:p>
        </w:tc>
      </w:tr>
      <w:tr>
        <w:trPr>
          <w:trHeight w:val="227"/>
        </w:trPr>
        <w:tc>
          <w:tcPr>
            <w:tcW w:w="600" w:type="dxa"/>
            <w:vAlign w:val="bottom"/>
          </w:tcPr>
          <w:p>
            <w:pPr>
              <w:spacing w:after="0"/>
              <w:rPr>
                <w:sz w:val="19"/>
                <w:szCs w:val="19"/>
                <w:color w:val="auto"/>
              </w:rPr>
            </w:pPr>
          </w:p>
        </w:tc>
        <w:tc>
          <w:tcPr>
            <w:tcW w:w="10740" w:type="dxa"/>
            <w:vAlign w:val="bottom"/>
          </w:tcPr>
          <w:p>
            <w:pPr>
              <w:ind w:left="540"/>
              <w:spacing w:after="0"/>
              <w:rPr>
                <w:sz w:val="20"/>
                <w:szCs w:val="20"/>
                <w:color w:val="auto"/>
              </w:rPr>
            </w:pPr>
            <w:r>
              <w:rPr>
                <w:rFonts w:ascii="Arial" w:cs="Arial" w:eastAsia="Arial" w:hAnsi="Arial"/>
                <w:sz w:val="18"/>
                <w:szCs w:val="18"/>
                <w:color w:val="auto"/>
              </w:rPr>
              <w:t>(incorporated by reference to Exhibit 3.1 to Plains’ Current Report on Form 8-K filed September 16, 2005)</w:t>
            </w:r>
          </w:p>
        </w:tc>
      </w:tr>
      <w:tr>
        <w:trPr>
          <w:trHeight w:val="414"/>
        </w:trPr>
        <w:tc>
          <w:tcPr>
            <w:tcW w:w="600" w:type="dxa"/>
            <w:vAlign w:val="bottom"/>
          </w:tcPr>
          <w:p>
            <w:pPr>
              <w:jc w:val="right"/>
              <w:ind w:right="191"/>
              <w:spacing w:after="0"/>
              <w:rPr>
                <w:sz w:val="20"/>
                <w:szCs w:val="20"/>
                <w:color w:val="auto"/>
              </w:rPr>
            </w:pPr>
            <w:r>
              <w:rPr>
                <w:rFonts w:ascii="Arial" w:cs="Arial" w:eastAsia="Arial" w:hAnsi="Arial"/>
                <w:sz w:val="18"/>
                <w:szCs w:val="18"/>
                <w:color w:val="auto"/>
              </w:rPr>
              <w:t>4.4</w:t>
            </w:r>
          </w:p>
        </w:tc>
        <w:tc>
          <w:tcPr>
            <w:tcW w:w="10740" w:type="dxa"/>
            <w:vAlign w:val="bottom"/>
          </w:tcPr>
          <w:p>
            <w:pPr>
              <w:ind w:left="120"/>
              <w:spacing w:after="0"/>
              <w:rPr>
                <w:sz w:val="20"/>
                <w:szCs w:val="20"/>
                <w:color w:val="auto"/>
              </w:rPr>
            </w:pPr>
            <w:r>
              <w:rPr>
                <w:rFonts w:ascii="Arial" w:cs="Arial" w:eastAsia="Arial" w:hAnsi="Arial"/>
                <w:sz w:val="18"/>
                <w:szCs w:val="18"/>
                <w:color w:val="auto"/>
                <w:w w:val="91"/>
              </w:rPr>
              <w:t>—   Second Amended and Restated Limited Partnership Agreement of Plains AAP, L.P., dated September 12, 2005 (incorporated by reference to</w:t>
            </w:r>
          </w:p>
        </w:tc>
      </w:tr>
      <w:tr>
        <w:trPr>
          <w:trHeight w:val="227"/>
        </w:trPr>
        <w:tc>
          <w:tcPr>
            <w:tcW w:w="600" w:type="dxa"/>
            <w:vAlign w:val="bottom"/>
          </w:tcPr>
          <w:p>
            <w:pPr>
              <w:spacing w:after="0"/>
              <w:rPr>
                <w:sz w:val="19"/>
                <w:szCs w:val="19"/>
                <w:color w:val="auto"/>
              </w:rPr>
            </w:pPr>
          </w:p>
        </w:tc>
        <w:tc>
          <w:tcPr>
            <w:tcW w:w="10740" w:type="dxa"/>
            <w:vAlign w:val="bottom"/>
          </w:tcPr>
          <w:p>
            <w:pPr>
              <w:ind w:left="540"/>
              <w:spacing w:after="0"/>
              <w:rPr>
                <w:sz w:val="20"/>
                <w:szCs w:val="20"/>
                <w:color w:val="auto"/>
              </w:rPr>
            </w:pPr>
            <w:r>
              <w:rPr>
                <w:rFonts w:ascii="Arial" w:cs="Arial" w:eastAsia="Arial" w:hAnsi="Arial"/>
                <w:sz w:val="18"/>
                <w:szCs w:val="18"/>
                <w:color w:val="auto"/>
              </w:rPr>
              <w:t>Exhibit 3.2 to Plains’ Current Report on Form 8-K filed September 16, 2005)</w:t>
            </w:r>
          </w:p>
        </w:tc>
      </w:tr>
      <w:tr>
        <w:trPr>
          <w:trHeight w:val="414"/>
        </w:trPr>
        <w:tc>
          <w:tcPr>
            <w:tcW w:w="600" w:type="dxa"/>
            <w:vAlign w:val="bottom"/>
          </w:tcPr>
          <w:p>
            <w:pPr>
              <w:jc w:val="right"/>
              <w:ind w:right="191"/>
              <w:spacing w:after="0"/>
              <w:rPr>
                <w:sz w:val="20"/>
                <w:szCs w:val="20"/>
                <w:color w:val="auto"/>
              </w:rPr>
            </w:pPr>
            <w:r>
              <w:rPr>
                <w:rFonts w:ascii="Arial" w:cs="Arial" w:eastAsia="Arial" w:hAnsi="Arial"/>
                <w:sz w:val="18"/>
                <w:szCs w:val="18"/>
                <w:color w:val="auto"/>
              </w:rPr>
              <w:t>4.5</w:t>
            </w:r>
          </w:p>
        </w:tc>
        <w:tc>
          <w:tcPr>
            <w:tcW w:w="10740" w:type="dxa"/>
            <w:vAlign w:val="bottom"/>
          </w:tcPr>
          <w:p>
            <w:pPr>
              <w:ind w:left="120"/>
              <w:spacing w:after="0"/>
              <w:rPr>
                <w:sz w:val="20"/>
                <w:szCs w:val="20"/>
                <w:color w:val="auto"/>
              </w:rPr>
            </w:pPr>
            <w:r>
              <w:rPr>
                <w:rFonts w:ascii="Arial" w:cs="Arial" w:eastAsia="Arial" w:hAnsi="Arial"/>
                <w:sz w:val="18"/>
                <w:szCs w:val="18"/>
                <w:color w:val="auto"/>
                <w:w w:val="94"/>
              </w:rPr>
              <w:t>—   Registration Rights Agreement, dated as of July 26, 2006, among Plains All American Pipeline, L.P., Vulcan Capital Private Equity I LLC,</w:t>
            </w:r>
          </w:p>
        </w:tc>
      </w:tr>
      <w:tr>
        <w:trPr>
          <w:trHeight w:val="214"/>
        </w:trPr>
        <w:tc>
          <w:tcPr>
            <w:tcW w:w="600" w:type="dxa"/>
            <w:vAlign w:val="bottom"/>
          </w:tcPr>
          <w:p>
            <w:pPr>
              <w:spacing w:after="0"/>
              <w:rPr>
                <w:sz w:val="18"/>
                <w:szCs w:val="18"/>
                <w:color w:val="auto"/>
              </w:rPr>
            </w:pPr>
          </w:p>
        </w:tc>
        <w:tc>
          <w:tcPr>
            <w:tcW w:w="10740" w:type="dxa"/>
            <w:vAlign w:val="bottom"/>
          </w:tcPr>
          <w:p>
            <w:pPr>
              <w:ind w:left="540"/>
              <w:spacing w:after="0"/>
              <w:rPr>
                <w:sz w:val="20"/>
                <w:szCs w:val="20"/>
                <w:color w:val="auto"/>
              </w:rPr>
            </w:pPr>
            <w:r>
              <w:rPr>
                <w:rFonts w:ascii="Arial" w:cs="Arial" w:eastAsia="Arial" w:hAnsi="Arial"/>
                <w:sz w:val="18"/>
                <w:szCs w:val="18"/>
                <w:color w:val="auto"/>
                <w:w w:val="90"/>
              </w:rPr>
              <w:t>Kayne Anderson MLP Investment Company and Kayne Anderson Energy Total Return Fund, Inc. (incorporated by reference to Exhibit 4.13 to</w:t>
            </w:r>
          </w:p>
        </w:tc>
      </w:tr>
      <w:tr>
        <w:trPr>
          <w:trHeight w:val="227"/>
        </w:trPr>
        <w:tc>
          <w:tcPr>
            <w:tcW w:w="600" w:type="dxa"/>
            <w:vAlign w:val="bottom"/>
          </w:tcPr>
          <w:p>
            <w:pPr>
              <w:spacing w:after="0"/>
              <w:rPr>
                <w:sz w:val="19"/>
                <w:szCs w:val="19"/>
                <w:color w:val="auto"/>
              </w:rPr>
            </w:pPr>
          </w:p>
        </w:tc>
        <w:tc>
          <w:tcPr>
            <w:tcW w:w="10740" w:type="dxa"/>
            <w:vAlign w:val="bottom"/>
          </w:tcPr>
          <w:p>
            <w:pPr>
              <w:ind w:left="540"/>
              <w:spacing w:after="0"/>
              <w:rPr>
                <w:sz w:val="20"/>
                <w:szCs w:val="20"/>
                <w:color w:val="auto"/>
              </w:rPr>
            </w:pPr>
            <w:r>
              <w:rPr>
                <w:rFonts w:ascii="Arial" w:cs="Arial" w:eastAsia="Arial" w:hAnsi="Arial"/>
                <w:sz w:val="18"/>
                <w:szCs w:val="18"/>
                <w:color w:val="auto"/>
              </w:rPr>
              <w:t>Quarterly Report on Form 10-Q for the Quarter ended September 30, 2006)</w:t>
            </w:r>
          </w:p>
        </w:tc>
      </w:tr>
      <w:tr>
        <w:trPr>
          <w:trHeight w:val="414"/>
        </w:trPr>
        <w:tc>
          <w:tcPr>
            <w:tcW w:w="600" w:type="dxa"/>
            <w:vAlign w:val="bottom"/>
          </w:tcPr>
          <w:p>
            <w:pPr>
              <w:jc w:val="right"/>
              <w:ind w:right="11"/>
              <w:spacing w:after="0"/>
              <w:rPr>
                <w:sz w:val="20"/>
                <w:szCs w:val="20"/>
                <w:color w:val="auto"/>
              </w:rPr>
            </w:pPr>
            <w:r>
              <w:rPr>
                <w:rFonts w:ascii="Arial" w:cs="Arial" w:eastAsia="Arial" w:hAnsi="Arial"/>
                <w:sz w:val="18"/>
                <w:szCs w:val="18"/>
                <w:color w:val="auto"/>
              </w:rPr>
              <w:t>4.6**</w:t>
            </w:r>
          </w:p>
        </w:tc>
        <w:tc>
          <w:tcPr>
            <w:tcW w:w="10740" w:type="dxa"/>
            <w:vAlign w:val="bottom"/>
          </w:tcPr>
          <w:p>
            <w:pPr>
              <w:ind w:left="120"/>
              <w:spacing w:after="0"/>
              <w:rPr>
                <w:sz w:val="20"/>
                <w:szCs w:val="20"/>
                <w:color w:val="auto"/>
              </w:rPr>
            </w:pPr>
            <w:r>
              <w:rPr>
                <w:rFonts w:ascii="Arial" w:cs="Arial" w:eastAsia="Arial" w:hAnsi="Arial"/>
                <w:sz w:val="18"/>
                <w:szCs w:val="18"/>
                <w:color w:val="auto"/>
                <w:w w:val="91"/>
              </w:rPr>
              <w:t>—   Registration Rights Agreement, dated as of December 19, 2006, among Plains All American Pipeline, L.P., Kayne Anderson MLP Investment</w:t>
            </w:r>
          </w:p>
        </w:tc>
      </w:tr>
      <w:tr>
        <w:trPr>
          <w:trHeight w:val="227"/>
        </w:trPr>
        <w:tc>
          <w:tcPr>
            <w:tcW w:w="600" w:type="dxa"/>
            <w:vAlign w:val="bottom"/>
          </w:tcPr>
          <w:p>
            <w:pPr>
              <w:spacing w:after="0"/>
              <w:rPr>
                <w:sz w:val="19"/>
                <w:szCs w:val="19"/>
                <w:color w:val="auto"/>
              </w:rPr>
            </w:pPr>
          </w:p>
        </w:tc>
        <w:tc>
          <w:tcPr>
            <w:tcW w:w="10740" w:type="dxa"/>
            <w:vAlign w:val="bottom"/>
          </w:tcPr>
          <w:p>
            <w:pPr>
              <w:ind w:left="540"/>
              <w:spacing w:after="0"/>
              <w:rPr>
                <w:sz w:val="20"/>
                <w:szCs w:val="20"/>
                <w:color w:val="auto"/>
              </w:rPr>
            </w:pPr>
            <w:r>
              <w:rPr>
                <w:rFonts w:ascii="Arial" w:cs="Arial" w:eastAsia="Arial" w:hAnsi="Arial"/>
                <w:sz w:val="18"/>
                <w:szCs w:val="18"/>
                <w:color w:val="auto"/>
              </w:rPr>
              <w:t>Company, Kayne Anderson Energy Development Company, E-Holdings III, L.P. and E-Holdings V, L.P.</w:t>
            </w:r>
          </w:p>
        </w:tc>
      </w:tr>
      <w:tr>
        <w:trPr>
          <w:trHeight w:val="414"/>
        </w:trPr>
        <w:tc>
          <w:tcPr>
            <w:tcW w:w="600" w:type="dxa"/>
            <w:vAlign w:val="bottom"/>
          </w:tcPr>
          <w:p>
            <w:pPr>
              <w:jc w:val="right"/>
              <w:ind w:right="111"/>
              <w:spacing w:after="0"/>
              <w:rPr>
                <w:sz w:val="20"/>
                <w:szCs w:val="20"/>
                <w:color w:val="auto"/>
              </w:rPr>
            </w:pPr>
            <w:r>
              <w:rPr>
                <w:rFonts w:ascii="Arial" w:cs="Arial" w:eastAsia="Arial" w:hAnsi="Arial"/>
                <w:sz w:val="18"/>
                <w:szCs w:val="18"/>
                <w:color w:val="auto"/>
              </w:rPr>
              <w:t>4.7*</w:t>
            </w:r>
          </w:p>
        </w:tc>
        <w:tc>
          <w:tcPr>
            <w:tcW w:w="10740" w:type="dxa"/>
            <w:vAlign w:val="bottom"/>
          </w:tcPr>
          <w:p>
            <w:pPr>
              <w:ind w:left="120"/>
              <w:spacing w:after="0"/>
              <w:rPr>
                <w:sz w:val="20"/>
                <w:szCs w:val="20"/>
                <w:color w:val="auto"/>
              </w:rPr>
            </w:pPr>
            <w:r>
              <w:rPr>
                <w:rFonts w:ascii="Arial" w:cs="Arial" w:eastAsia="Arial" w:hAnsi="Arial"/>
                <w:sz w:val="18"/>
                <w:szCs w:val="18"/>
                <w:color w:val="auto"/>
                <w:w w:val="94"/>
              </w:rPr>
              <w:t>—   Common Unit Purchase Agreement, dated as of August 8, 2005, among Pacific Energy Partners, L.P. and the Purchasers named therein</w:t>
            </w:r>
          </w:p>
        </w:tc>
      </w:tr>
      <w:tr>
        <w:trPr>
          <w:trHeight w:val="227"/>
        </w:trPr>
        <w:tc>
          <w:tcPr>
            <w:tcW w:w="600" w:type="dxa"/>
            <w:vAlign w:val="bottom"/>
          </w:tcPr>
          <w:p>
            <w:pPr>
              <w:spacing w:after="0"/>
              <w:rPr>
                <w:sz w:val="19"/>
                <w:szCs w:val="19"/>
                <w:color w:val="auto"/>
              </w:rPr>
            </w:pPr>
          </w:p>
        </w:tc>
        <w:tc>
          <w:tcPr>
            <w:tcW w:w="10740" w:type="dxa"/>
            <w:vAlign w:val="bottom"/>
          </w:tcPr>
          <w:p>
            <w:pPr>
              <w:ind w:left="540"/>
              <w:spacing w:after="0"/>
              <w:rPr>
                <w:sz w:val="20"/>
                <w:szCs w:val="20"/>
                <w:color w:val="auto"/>
              </w:rPr>
            </w:pPr>
            <w:r>
              <w:rPr>
                <w:rFonts w:ascii="Arial" w:cs="Arial" w:eastAsia="Arial" w:hAnsi="Arial"/>
                <w:sz w:val="18"/>
                <w:szCs w:val="18"/>
                <w:color w:val="auto"/>
              </w:rPr>
              <w:t>(incorporated by reference to Exhibit 10.1 to Pacific’s Current Report on Form 8-K filed August 12, 2005)</w:t>
            </w:r>
          </w:p>
        </w:tc>
      </w:tr>
      <w:tr>
        <w:trPr>
          <w:trHeight w:val="427"/>
        </w:trPr>
        <w:tc>
          <w:tcPr>
            <w:tcW w:w="600" w:type="dxa"/>
            <w:vAlign w:val="bottom"/>
          </w:tcPr>
          <w:p>
            <w:pPr>
              <w:jc w:val="right"/>
              <w:ind w:right="11"/>
              <w:spacing w:after="0"/>
              <w:rPr>
                <w:sz w:val="20"/>
                <w:szCs w:val="20"/>
                <w:color w:val="auto"/>
              </w:rPr>
            </w:pPr>
            <w:r>
              <w:rPr>
                <w:rFonts w:ascii="Arial" w:cs="Arial" w:eastAsia="Arial" w:hAnsi="Arial"/>
                <w:sz w:val="18"/>
                <w:szCs w:val="18"/>
                <w:color w:val="auto"/>
              </w:rPr>
              <w:t>5.1**</w:t>
            </w:r>
          </w:p>
        </w:tc>
        <w:tc>
          <w:tcPr>
            <w:tcW w:w="10740" w:type="dxa"/>
            <w:vAlign w:val="bottom"/>
          </w:tcPr>
          <w:p>
            <w:pPr>
              <w:ind w:left="120"/>
              <w:spacing w:after="0"/>
              <w:rPr>
                <w:sz w:val="20"/>
                <w:szCs w:val="20"/>
                <w:color w:val="auto"/>
              </w:rPr>
            </w:pPr>
            <w:r>
              <w:rPr>
                <w:rFonts w:ascii="Arial" w:cs="Arial" w:eastAsia="Arial" w:hAnsi="Arial"/>
                <w:sz w:val="18"/>
                <w:szCs w:val="18"/>
                <w:color w:val="auto"/>
              </w:rPr>
              <w:t>—   Opinion of Vinson &amp; Elkins L.L.P. as to the legality of the securities being registered</w:t>
            </w:r>
          </w:p>
        </w:tc>
      </w:tr>
      <w:tr>
        <w:trPr>
          <w:trHeight w:val="427"/>
        </w:trPr>
        <w:tc>
          <w:tcPr>
            <w:tcW w:w="600" w:type="dxa"/>
            <w:vAlign w:val="bottom"/>
          </w:tcPr>
          <w:p>
            <w:pPr>
              <w:jc w:val="right"/>
              <w:ind w:right="11"/>
              <w:spacing w:after="0"/>
              <w:rPr>
                <w:sz w:val="20"/>
                <w:szCs w:val="20"/>
                <w:color w:val="auto"/>
              </w:rPr>
            </w:pPr>
            <w:r>
              <w:rPr>
                <w:rFonts w:ascii="Arial" w:cs="Arial" w:eastAsia="Arial" w:hAnsi="Arial"/>
                <w:sz w:val="18"/>
                <w:szCs w:val="18"/>
                <w:color w:val="auto"/>
              </w:rPr>
              <w:t>8.1**</w:t>
            </w:r>
          </w:p>
        </w:tc>
        <w:tc>
          <w:tcPr>
            <w:tcW w:w="10740" w:type="dxa"/>
            <w:vAlign w:val="bottom"/>
          </w:tcPr>
          <w:p>
            <w:pPr>
              <w:ind w:left="120"/>
              <w:spacing w:after="0"/>
              <w:rPr>
                <w:sz w:val="20"/>
                <w:szCs w:val="20"/>
                <w:color w:val="auto"/>
              </w:rPr>
            </w:pPr>
            <w:r>
              <w:rPr>
                <w:rFonts w:ascii="Arial" w:cs="Arial" w:eastAsia="Arial" w:hAnsi="Arial"/>
                <w:sz w:val="18"/>
                <w:szCs w:val="18"/>
                <w:color w:val="auto"/>
              </w:rPr>
              <w:t>—   Opinion of Vinson &amp; Elkins L.L.P. relating to tax matters</w:t>
            </w:r>
          </w:p>
        </w:tc>
      </w:tr>
      <w:tr>
        <w:trPr>
          <w:trHeight w:val="427"/>
        </w:trPr>
        <w:tc>
          <w:tcPr>
            <w:tcW w:w="600" w:type="dxa"/>
            <w:vAlign w:val="bottom"/>
          </w:tcPr>
          <w:p>
            <w:pPr>
              <w:jc w:val="right"/>
              <w:ind w:right="111"/>
              <w:spacing w:after="0"/>
              <w:rPr>
                <w:sz w:val="20"/>
                <w:szCs w:val="20"/>
                <w:color w:val="auto"/>
              </w:rPr>
            </w:pPr>
            <w:r>
              <w:rPr>
                <w:rFonts w:ascii="Arial" w:cs="Arial" w:eastAsia="Arial" w:hAnsi="Arial"/>
                <w:sz w:val="18"/>
                <w:szCs w:val="18"/>
                <w:color w:val="auto"/>
                <w:w w:val="90"/>
              </w:rPr>
              <w:t>23.1*</w:t>
            </w:r>
          </w:p>
        </w:tc>
        <w:tc>
          <w:tcPr>
            <w:tcW w:w="10740" w:type="dxa"/>
            <w:vAlign w:val="bottom"/>
          </w:tcPr>
          <w:p>
            <w:pPr>
              <w:ind w:left="120"/>
              <w:spacing w:after="0"/>
              <w:rPr>
                <w:sz w:val="20"/>
                <w:szCs w:val="20"/>
                <w:color w:val="auto"/>
              </w:rPr>
            </w:pPr>
            <w:r>
              <w:rPr>
                <w:rFonts w:ascii="Arial" w:cs="Arial" w:eastAsia="Arial" w:hAnsi="Arial"/>
                <w:sz w:val="18"/>
                <w:szCs w:val="18"/>
                <w:color w:val="auto"/>
              </w:rPr>
              <w:t>—   Consent of PricewaterhouseCoopers LLP</w:t>
            </w:r>
          </w:p>
        </w:tc>
      </w:tr>
      <w:tr>
        <w:trPr>
          <w:trHeight w:val="427"/>
        </w:trPr>
        <w:tc>
          <w:tcPr>
            <w:tcW w:w="600" w:type="dxa"/>
            <w:vAlign w:val="bottom"/>
          </w:tcPr>
          <w:p>
            <w:pPr>
              <w:jc w:val="right"/>
              <w:ind w:right="11"/>
              <w:spacing w:after="0"/>
              <w:rPr>
                <w:sz w:val="20"/>
                <w:szCs w:val="20"/>
                <w:color w:val="auto"/>
              </w:rPr>
            </w:pPr>
            <w:r>
              <w:rPr>
                <w:rFonts w:ascii="Arial" w:cs="Arial" w:eastAsia="Arial" w:hAnsi="Arial"/>
                <w:sz w:val="18"/>
                <w:szCs w:val="18"/>
                <w:color w:val="auto"/>
                <w:w w:val="97"/>
              </w:rPr>
              <w:t>23.2**</w:t>
            </w:r>
          </w:p>
        </w:tc>
        <w:tc>
          <w:tcPr>
            <w:tcW w:w="10740" w:type="dxa"/>
            <w:vAlign w:val="bottom"/>
          </w:tcPr>
          <w:p>
            <w:pPr>
              <w:ind w:left="120"/>
              <w:spacing w:after="0"/>
              <w:rPr>
                <w:sz w:val="20"/>
                <w:szCs w:val="20"/>
                <w:color w:val="auto"/>
              </w:rPr>
            </w:pPr>
            <w:r>
              <w:rPr>
                <w:rFonts w:ascii="Arial" w:cs="Arial" w:eastAsia="Arial" w:hAnsi="Arial"/>
                <w:sz w:val="18"/>
                <w:szCs w:val="18"/>
                <w:color w:val="auto"/>
              </w:rPr>
              <w:t>—   Consent of Vinson &amp; Elkins L.L.P. (contained in Exhibits 5.1 and 8.1)</w:t>
            </w:r>
          </w:p>
        </w:tc>
      </w:tr>
      <w:tr>
        <w:trPr>
          <w:trHeight w:val="427"/>
        </w:trPr>
        <w:tc>
          <w:tcPr>
            <w:tcW w:w="600" w:type="dxa"/>
            <w:vAlign w:val="bottom"/>
          </w:tcPr>
          <w:p>
            <w:pPr>
              <w:jc w:val="right"/>
              <w:ind w:right="111"/>
              <w:spacing w:after="0"/>
              <w:rPr>
                <w:sz w:val="20"/>
                <w:szCs w:val="20"/>
                <w:color w:val="auto"/>
              </w:rPr>
            </w:pPr>
            <w:r>
              <w:rPr>
                <w:rFonts w:ascii="Arial" w:cs="Arial" w:eastAsia="Arial" w:hAnsi="Arial"/>
                <w:sz w:val="18"/>
                <w:szCs w:val="18"/>
                <w:color w:val="auto"/>
                <w:w w:val="90"/>
              </w:rPr>
              <w:t>23.3*</w:t>
            </w:r>
          </w:p>
        </w:tc>
        <w:tc>
          <w:tcPr>
            <w:tcW w:w="10740" w:type="dxa"/>
            <w:vAlign w:val="bottom"/>
          </w:tcPr>
          <w:p>
            <w:pPr>
              <w:ind w:left="120"/>
              <w:spacing w:after="0"/>
              <w:rPr>
                <w:sz w:val="20"/>
                <w:szCs w:val="20"/>
                <w:color w:val="auto"/>
              </w:rPr>
            </w:pPr>
            <w:r>
              <w:rPr>
                <w:rFonts w:ascii="Arial" w:cs="Arial" w:eastAsia="Arial" w:hAnsi="Arial"/>
                <w:sz w:val="18"/>
                <w:szCs w:val="18"/>
                <w:color w:val="auto"/>
              </w:rPr>
              <w:t>—   Consent of KPMG LLP</w:t>
            </w:r>
          </w:p>
        </w:tc>
      </w:tr>
      <w:tr>
        <w:trPr>
          <w:trHeight w:val="427"/>
        </w:trPr>
        <w:tc>
          <w:tcPr>
            <w:tcW w:w="600" w:type="dxa"/>
            <w:vAlign w:val="bottom"/>
          </w:tcPr>
          <w:p>
            <w:pPr>
              <w:jc w:val="right"/>
              <w:ind w:right="11"/>
              <w:spacing w:after="0"/>
              <w:rPr>
                <w:sz w:val="20"/>
                <w:szCs w:val="20"/>
                <w:color w:val="auto"/>
              </w:rPr>
            </w:pPr>
            <w:r>
              <w:rPr>
                <w:rFonts w:ascii="Arial" w:cs="Arial" w:eastAsia="Arial" w:hAnsi="Arial"/>
                <w:sz w:val="18"/>
                <w:szCs w:val="18"/>
                <w:color w:val="auto"/>
                <w:w w:val="97"/>
              </w:rPr>
              <w:t>24.1**</w:t>
            </w:r>
          </w:p>
        </w:tc>
        <w:tc>
          <w:tcPr>
            <w:tcW w:w="10740" w:type="dxa"/>
            <w:vAlign w:val="bottom"/>
          </w:tcPr>
          <w:p>
            <w:pPr>
              <w:ind w:left="120"/>
              <w:spacing w:after="0"/>
              <w:rPr>
                <w:sz w:val="20"/>
                <w:szCs w:val="20"/>
                <w:color w:val="auto"/>
              </w:rPr>
            </w:pPr>
            <w:r>
              <w:rPr>
                <w:rFonts w:ascii="Arial" w:cs="Arial" w:eastAsia="Arial" w:hAnsi="Arial"/>
                <w:sz w:val="18"/>
                <w:szCs w:val="18"/>
                <w:color w:val="auto"/>
              </w:rPr>
              <w:t>—   Powers of Attorney (included on the signature page)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187325</wp:posOffset>
            </wp:positionV>
            <wp:extent cx="13055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05560" cy="8255"/>
                    </a:xfrm>
                    <a:prstGeom prst="rect">
                      <a:avLst/>
                    </a:prstGeom>
                    <a:noFill/>
                  </pic:spPr>
                </pic:pic>
              </a:graphicData>
            </a:graphic>
          </wp:anchor>
        </w:drawing>
      </w:r>
    </w:p>
    <w:p>
      <w:pPr>
        <w:spacing w:after="0" w:line="341" w:lineRule="exact"/>
        <w:rPr>
          <w:sz w:val="20"/>
          <w:szCs w:val="20"/>
          <w:color w:val="auto"/>
        </w:rPr>
      </w:pPr>
    </w:p>
    <w:p>
      <w:pPr>
        <w:ind w:right="9740" w:firstLine="7"/>
        <w:spacing w:after="0" w:line="325" w:lineRule="auto"/>
        <w:tabs>
          <w:tab w:leader="none" w:pos="441" w:val="left"/>
        </w:tabs>
        <w:numPr>
          <w:ilvl w:val="0"/>
          <w:numId w:val="42"/>
        </w:numPr>
        <w:rPr>
          <w:rFonts w:ascii="Arial" w:cs="Arial" w:eastAsia="Arial" w:hAnsi="Arial"/>
          <w:sz w:val="18"/>
          <w:szCs w:val="18"/>
          <w:color w:val="auto"/>
        </w:rPr>
      </w:pPr>
      <w:r>
        <w:rPr>
          <w:rFonts w:ascii="Arial" w:cs="Arial" w:eastAsia="Arial" w:hAnsi="Arial"/>
          <w:sz w:val="18"/>
          <w:szCs w:val="18"/>
          <w:color w:val="auto"/>
        </w:rPr>
        <w:t>Filed herewith. ** Previously Filed.</w:t>
      </w: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To be filed as an exhibit to a Current Report on Form 8-K or in a post effective amendment to this registration statement.</w:t>
      </w:r>
    </w:p>
    <w:p>
      <w:pPr>
        <w:sectPr>
          <w:pgSz w:w="11900" w:h="16838" w:orient="portrait"/>
          <w:cols w:equalWidth="0" w:num="1">
            <w:col w:w="11400"/>
          </w:cols>
          <w:pgMar w:left="240" w:top="415" w:right="25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23.1</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117"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We hereby consent to the incorporation by reference in this Registration Statement on Amendment No. 2 to Form S-3 of our report dated March 2, 2006 relating to the consolidated financial statements, management’s assessment of the effectiveness of internal control over financial reporting and the effectiveness of internal control over financial reporting, which appears in Plains All American Pipeline L.P.’s Annual Report on Form 10-K for the year ended December 31, 2005 and our report dated March 21, 2006 relating to the balance sheet of Plains AAP, L.P., which appears in Plains All American Pipeline, L.P.’s Current Report on Form 8-K filed on March 21, 2006. We also consent to the references to us under the heading “Experts” in such Registration Statement.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January 26, 2007</w:t>
      </w:r>
    </w:p>
    <w:p>
      <w:pPr>
        <w:sectPr>
          <w:pgSz w:w="11900" w:h="16838" w:orient="portrait"/>
          <w:cols w:equalWidth="0" w:num="1">
            <w:col w:w="11420"/>
          </w:cols>
          <w:pgMar w:left="240" w:top="922"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23.3</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17"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We consent to the use of our reports dated March 10, 2006, with respect to the consolidated balance sheets of Pacific Energy Partners, L.P. and subsidiaries as of December 31, 2005 and 2004, and the related consolidated statements of income, partners’ capital, comprehensive income, and cash flows for each of the years in the three-year period ended December 31, 2005, management’s assessment of the effectiveness of internal control over financial reporting as of December 31, 2005, and the effectiveness of internal control over financial reporting as of December 31, 2005, incorporated by reference herein and to the reference to our firm under the heading “Experts” in the registration statement on Form S-3.</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January 26, 2007</w:t>
      </w:r>
    </w:p>
    <w:sectPr>
      <w:pgSz w:w="11900" w:h="16838" w:orient="portrait"/>
      <w:cols w:equalWidth="0" w:num="1">
        <w:col w:w="11420"/>
      </w:cols>
      <w:pgMar w:left="240" w:top="9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1)"/>
      <w:numFmt w:val="decimal"/>
      <w:start w:val="1"/>
    </w:lvl>
  </w:abstractNum>
  <w:abstractNum w:abstractNumId="15">
    <w:nsid w:val="2901D82"/>
    <w:multiLevelType w:val="hybridMultilevel"/>
    <w:lvl w:ilvl="0">
      <w:lvlJc w:val="left"/>
      <w:lvlText w:val="(%1)"/>
      <w:numFmt w:val="lowerLetter"/>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1)"/>
      <w:numFmt w:val="decimal"/>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1)"/>
      <w:numFmt w:val="decimal"/>
      <w:start w:val="1"/>
    </w:lvl>
    <w:lvl w:ilvl="1">
      <w:lvlJc w:val="left"/>
      <w:lvlText w:val="(%2)"/>
      <w:numFmt w:val="lowerRoman"/>
      <w:start w:val="1"/>
    </w:lvl>
  </w:abstractNum>
  <w:abstractNum w:abstractNumId="38">
    <w:nsid w:val="580BD78F"/>
    <w:multiLevelType w:val="hybridMultilevel"/>
    <w:lvl w:ilvl="0">
      <w:lvlJc w:val="left"/>
      <w:lvlText w:val="(%1)"/>
      <w:numFmt w:val="decimal"/>
      <w:start w:val="2"/>
    </w:lvl>
    <w:lvl w:ilvl="1">
      <w:lvlJc w:val="left"/>
      <w:lvlText w:val="(%2)"/>
      <w:numFmt w:val="lowerRoman"/>
      <w:start w:val="1"/>
    </w:lvl>
    <w:lvl w:ilvl="2">
      <w:lvlJc w:val="left"/>
      <w:lvlText w:val="(%3)"/>
      <w:numFmt w:val="upperLetter"/>
      <w:start w:val="1"/>
    </w:lvl>
  </w:abstractNum>
  <w:abstractNum w:abstractNumId="39">
    <w:nsid w:val="153EA438"/>
    <w:multiLevelType w:val="hybridMultilevel"/>
    <w:lvl w:ilvl="0">
      <w:lvlJc w:val="left"/>
      <w:lvlText w:val="%1."/>
      <w:numFmt w:val="upperLetter"/>
      <w:start w:val="35"/>
    </w:lvl>
  </w:abstractNum>
  <w:abstractNum w:abstractNumId="40">
    <w:nsid w:val="3855585C"/>
    <w:multiLevelType w:val="hybridMultilevel"/>
    <w:lvl w:ilvl="0">
      <w:lvlJc w:val="left"/>
      <w:lvlText w:val="%1."/>
      <w:numFmt w:val="upperLetter"/>
      <w:start w:val="61"/>
    </w:lvl>
  </w:abstractNum>
  <w:abstractNum w:abstractNumId="41">
    <w:nsid w:val="70A64E2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2020-02-03T15:03:30Z</dcterms:created>
  <dcterms:modified xsi:type="dcterms:W3CDTF">2020-02-03T15:03:30Z</dcterms:modified>
</cp:coreProperties>
</file>