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February 5, 2019</w:t>
      </w:r>
    </w:p>
    <w:p>
      <w:pPr>
        <w:spacing w:after="0" w:line="20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544" w:right="359" w:bottom="144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4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2940"/>
          </w:cols>
          <w:pgMar w:left="240" w:top="544" w:right="359" w:bottom="144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ind w:left="332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713-646-4100</w:t>
      </w:r>
    </w:p>
    <w:p>
      <w:pPr>
        <w:sectPr>
          <w:pgSz w:w="11900" w:h="16838" w:orient="portrait"/>
          <w:cols w:equalWidth="0" w:num="1">
            <w:col w:w="11300"/>
          </w:cols>
          <w:pgMar w:left="240" w:top="544" w:right="359" w:bottom="1440" w:gutter="0" w:footer="0" w:header="0"/>
          <w:type w:val="continuous"/>
        </w:sectPr>
      </w:pPr>
    </w:p>
    <w:p>
      <w:pPr>
        <w:spacing w:after="0" w:line="200" w:lineRule="exact"/>
        <w:rPr>
          <w:sz w:val="24"/>
          <w:szCs w:val="24"/>
          <w:color w:val="auto"/>
        </w:rPr>
      </w:pPr>
    </w:p>
    <w:p>
      <w:pPr>
        <w:spacing w:after="0" w:line="26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544"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and Item 7.01.  Results of Operations and Financial Condition; Regulation FD Disclosure.</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February 5, 2019, the Registrant issued a press release reporting its fourth-quarter 2018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84"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0"/>
          <w:szCs w:val="20"/>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Exhibit 99.1 — </w:t>
      </w:r>
      <w:hyperlink w:anchor="page3">
        <w:r>
          <w:rPr>
            <w:rFonts w:ascii="Arial" w:cs="Arial" w:eastAsia="Arial" w:hAnsi="Arial"/>
            <w:sz w:val="18"/>
            <w:szCs w:val="18"/>
            <w:u w:val="single" w:color="auto"/>
            <w:color w:val="0000EE"/>
          </w:rPr>
          <w:t>Press Release dated February 5, 2019</w:t>
        </w:r>
      </w:hyperlink>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240" w:top="337" w:right="39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7740" w:type="dxa"/>
            <w:vAlign w:val="bottom"/>
            <w:gridSpan w:val="3"/>
          </w:tcPr>
          <w:p>
            <w:pPr>
              <w:ind w:left="2040"/>
              <w:spacing w:after="0"/>
              <w:rPr>
                <w:sz w:val="20"/>
                <w:szCs w:val="20"/>
                <w:color w:val="auto"/>
              </w:rPr>
            </w:pPr>
            <w:r>
              <w:rPr>
                <w:rFonts w:ascii="Arial" w:cs="Arial" w:eastAsia="Arial" w:hAnsi="Arial"/>
                <w:sz w:val="18"/>
                <w:szCs w:val="18"/>
                <w:color w:val="auto"/>
              </w:rPr>
              <w:t>PLAINS GP HOLDINGS, L.P.</w:t>
            </w:r>
          </w:p>
        </w:tc>
        <w:tc>
          <w:tcPr>
            <w:tcW w:w="40" w:type="dxa"/>
            <w:vAlign w:val="bottom"/>
          </w:tcPr>
          <w:p>
            <w:pPr>
              <w:spacing w:after="0"/>
              <w:rPr>
                <w:sz w:val="20"/>
                <w:szCs w:val="20"/>
                <w:color w:val="auto"/>
              </w:rPr>
            </w:pPr>
          </w:p>
        </w:tc>
      </w:tr>
      <w:tr>
        <w:trPr>
          <w:trHeight w:val="648"/>
        </w:trPr>
        <w:tc>
          <w:tcPr>
            <w:tcW w:w="3680" w:type="dxa"/>
            <w:vAlign w:val="bottom"/>
          </w:tcPr>
          <w:p>
            <w:pPr>
              <w:spacing w:after="0"/>
              <w:rPr>
                <w:sz w:val="24"/>
                <w:szCs w:val="24"/>
                <w:color w:val="auto"/>
              </w:rPr>
            </w:pPr>
          </w:p>
        </w:tc>
        <w:tc>
          <w:tcPr>
            <w:tcW w:w="2520" w:type="dxa"/>
            <w:vAlign w:val="bottom"/>
          </w:tcPr>
          <w:p>
            <w:pPr>
              <w:ind w:left="2040"/>
              <w:spacing w:after="0"/>
              <w:rPr>
                <w:sz w:val="20"/>
                <w:szCs w:val="20"/>
                <w:color w:val="auto"/>
              </w:rPr>
            </w:pPr>
            <w:r>
              <w:rPr>
                <w:rFonts w:ascii="Arial" w:cs="Arial" w:eastAsia="Arial" w:hAnsi="Arial"/>
                <w:sz w:val="18"/>
                <w:szCs w:val="18"/>
                <w:color w:val="auto"/>
              </w:rPr>
              <w:t>By:</w:t>
            </w:r>
          </w:p>
        </w:tc>
        <w:tc>
          <w:tcPr>
            <w:tcW w:w="5220" w:type="dxa"/>
            <w:vAlign w:val="bottom"/>
            <w:gridSpan w:val="2"/>
          </w:tcPr>
          <w:p>
            <w:pPr>
              <w:spacing w:after="0"/>
              <w:rPr>
                <w:sz w:val="20"/>
                <w:szCs w:val="20"/>
                <w:color w:val="auto"/>
              </w:rPr>
            </w:pPr>
            <w:r>
              <w:rPr>
                <w:rFonts w:ascii="Arial" w:cs="Arial" w:eastAsia="Arial" w:hAnsi="Arial"/>
                <w:sz w:val="18"/>
                <w:szCs w:val="18"/>
                <w:color w:val="auto"/>
              </w:rPr>
              <w:t>PAA GP Holdings LLC, its general partner</w:t>
            </w:r>
          </w:p>
        </w:tc>
        <w:tc>
          <w:tcPr>
            <w:tcW w:w="40" w:type="dxa"/>
            <w:vAlign w:val="bottom"/>
          </w:tcPr>
          <w:p>
            <w:pPr>
              <w:spacing w:after="0"/>
              <w:rPr>
                <w:sz w:val="24"/>
                <w:szCs w:val="24"/>
                <w:color w:val="auto"/>
              </w:rPr>
            </w:pPr>
          </w:p>
        </w:tc>
      </w:tr>
      <w:tr>
        <w:trPr>
          <w:trHeight w:val="648"/>
        </w:trPr>
        <w:tc>
          <w:tcPr>
            <w:tcW w:w="3680" w:type="dxa"/>
            <w:vAlign w:val="bottom"/>
          </w:tcPr>
          <w:p>
            <w:pPr>
              <w:spacing w:after="0"/>
              <w:rPr>
                <w:sz w:val="20"/>
                <w:szCs w:val="20"/>
                <w:color w:val="auto"/>
              </w:rPr>
            </w:pPr>
            <w:r>
              <w:rPr>
                <w:rFonts w:ascii="Arial" w:cs="Arial" w:eastAsia="Arial" w:hAnsi="Arial"/>
                <w:sz w:val="18"/>
                <w:szCs w:val="18"/>
                <w:color w:val="auto"/>
              </w:rPr>
              <w:t>Date: February 5, 2019</w:t>
            </w:r>
          </w:p>
        </w:tc>
        <w:tc>
          <w:tcPr>
            <w:tcW w:w="2520" w:type="dxa"/>
            <w:vAlign w:val="bottom"/>
          </w:tcPr>
          <w:p>
            <w:pPr>
              <w:ind w:left="204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Al Swanson</w:t>
            </w:r>
          </w:p>
        </w:tc>
        <w:tc>
          <w:tcPr>
            <w:tcW w:w="40" w:type="dxa"/>
            <w:vAlign w:val="bottom"/>
          </w:tcPr>
          <w:p>
            <w:pPr>
              <w:spacing w:after="0"/>
              <w:rPr>
                <w:sz w:val="24"/>
                <w:szCs w:val="24"/>
                <w:color w:val="auto"/>
              </w:rPr>
            </w:pPr>
          </w:p>
        </w:tc>
      </w:tr>
      <w:tr>
        <w:trPr>
          <w:trHeight w:val="195"/>
        </w:trPr>
        <w:tc>
          <w:tcPr>
            <w:tcW w:w="36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80" w:type="dxa"/>
            <w:vAlign w:val="bottom"/>
          </w:tcPr>
          <w:p>
            <w:pPr>
              <w:ind w:left="180"/>
              <w:spacing w:after="0" w:line="195" w:lineRule="exact"/>
              <w:rPr>
                <w:sz w:val="20"/>
                <w:szCs w:val="20"/>
                <w:color w:val="auto"/>
              </w:rPr>
            </w:pPr>
            <w:r>
              <w:rPr>
                <w:rFonts w:ascii="Arial" w:cs="Arial" w:eastAsia="Arial" w:hAnsi="Arial"/>
                <w:sz w:val="18"/>
                <w:szCs w:val="18"/>
                <w:color w:val="auto"/>
              </w:rPr>
              <w:t>Al Swanson</w:t>
            </w:r>
          </w:p>
        </w:tc>
        <w:tc>
          <w:tcPr>
            <w:tcW w:w="40" w:type="dxa"/>
            <w:vAlign w:val="bottom"/>
          </w:tcPr>
          <w:p>
            <w:pPr>
              <w:spacing w:after="0"/>
              <w:rPr>
                <w:sz w:val="16"/>
                <w:szCs w:val="16"/>
                <w:color w:val="auto"/>
              </w:rPr>
            </w:pPr>
          </w:p>
        </w:tc>
      </w:tr>
      <w:tr>
        <w:trPr>
          <w:trHeight w:val="230"/>
        </w:trPr>
        <w:tc>
          <w:tcPr>
            <w:tcW w:w="36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ind w:left="180"/>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40" w:type="dxa"/>
            <w:vAlign w:val="bottom"/>
          </w:tcPr>
          <w:p>
            <w:pPr>
              <w:spacing w:after="0"/>
              <w:rPr>
                <w:sz w:val="20"/>
                <w:szCs w:val="20"/>
                <w:color w:val="auto"/>
              </w:rPr>
            </w:pPr>
          </w:p>
        </w:tc>
      </w:tr>
      <w:tr>
        <w:trPr>
          <w:trHeight w:val="432"/>
        </w:trPr>
        <w:tc>
          <w:tcPr>
            <w:tcW w:w="3680" w:type="dxa"/>
            <w:vAlign w:val="bottom"/>
          </w:tcPr>
          <w:p>
            <w:pPr>
              <w:spacing w:after="0"/>
              <w:rPr>
                <w:sz w:val="24"/>
                <w:szCs w:val="24"/>
                <w:color w:val="auto"/>
              </w:rPr>
            </w:pPr>
          </w:p>
        </w:tc>
        <w:tc>
          <w:tcPr>
            <w:tcW w:w="2520" w:type="dxa"/>
            <w:vAlign w:val="bottom"/>
          </w:tcPr>
          <w:p>
            <w:pPr>
              <w:jc w:val="right"/>
              <w:ind w:right="350"/>
              <w:spacing w:after="0"/>
              <w:rPr>
                <w:sz w:val="20"/>
                <w:szCs w:val="20"/>
                <w:color w:val="auto"/>
              </w:rPr>
            </w:pPr>
            <w:r>
              <w:rPr>
                <w:rFonts w:ascii="Arial" w:cs="Arial" w:eastAsia="Arial" w:hAnsi="Arial"/>
                <w:sz w:val="18"/>
                <w:szCs w:val="18"/>
                <w:color w:val="auto"/>
              </w:rPr>
              <w:t>3</w:t>
            </w:r>
          </w:p>
        </w:tc>
        <w:tc>
          <w:tcPr>
            <w:tcW w:w="6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80" w:type="dxa"/>
            <w:vAlign w:val="bottom"/>
            <w:tcBorders>
              <w:bottom w:val="single" w:sz="8" w:color="808080"/>
            </w:tcBorders>
          </w:tcPr>
          <w:p>
            <w:pPr>
              <w:spacing w:after="0"/>
              <w:rPr>
                <w:sz w:val="11"/>
                <w:szCs w:val="11"/>
                <w:color w:val="auto"/>
              </w:rPr>
            </w:pPr>
          </w:p>
        </w:tc>
        <w:tc>
          <w:tcPr>
            <w:tcW w:w="252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154940</wp:posOffset>
            </wp:positionV>
            <wp:extent cx="5857240" cy="7543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5724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Plains GP Holdings Report Fourth-Quarter and Full-Year 2018 Results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(Houston — February 5, 2019) Plains All American Pipeline, L.P. (NYSE: PAA) and Plains GP Holdings (NYSE: PAGP) today reported fourth-quarter and full-year 2018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Fourth-Quarter and Full-Year 2018 Highlights</w:t>
      </w:r>
    </w:p>
    <w:p>
      <w:pPr>
        <w:spacing w:after="0" w:line="229" w:lineRule="exact"/>
        <w:rPr>
          <w:sz w:val="20"/>
          <w:szCs w:val="20"/>
          <w:color w:val="auto"/>
        </w:rPr>
      </w:pPr>
    </w:p>
    <w:p>
      <w:pPr>
        <w:ind w:left="1280" w:hanging="300"/>
        <w:spacing w:after="0"/>
        <w:tabs>
          <w:tab w:leader="none" w:pos="1280" w:val="left"/>
        </w:tabs>
        <w:numPr>
          <w:ilvl w:val="0"/>
          <w:numId w:val="2"/>
        </w:numPr>
        <w:rPr>
          <w:rFonts w:ascii="Arial" w:cs="Arial" w:eastAsia="Arial" w:hAnsi="Arial"/>
          <w:sz w:val="14"/>
          <w:szCs w:val="14"/>
          <w:color w:val="auto"/>
        </w:rPr>
      </w:pPr>
      <w:r>
        <w:rPr>
          <w:rFonts w:ascii="Arial" w:cs="Arial" w:eastAsia="Arial" w:hAnsi="Arial"/>
          <w:sz w:val="18"/>
          <w:szCs w:val="18"/>
          <w:color w:val="auto"/>
        </w:rPr>
        <w:t>Delivered 4Q and full-year 2018 financial and operating results ahead of expectations</w:t>
      </w:r>
    </w:p>
    <w:p>
      <w:pPr>
        <w:spacing w:after="0" w:line="225" w:lineRule="exact"/>
        <w:rPr>
          <w:rFonts w:ascii="Arial" w:cs="Arial" w:eastAsia="Arial" w:hAnsi="Arial"/>
          <w:sz w:val="14"/>
          <w:szCs w:val="14"/>
          <w:color w:val="auto"/>
        </w:rPr>
      </w:pPr>
    </w:p>
    <w:p>
      <w:pPr>
        <w:ind w:left="1280" w:hanging="300"/>
        <w:spacing w:after="0"/>
        <w:tabs>
          <w:tab w:leader="none" w:pos="1280" w:val="left"/>
        </w:tabs>
        <w:numPr>
          <w:ilvl w:val="0"/>
          <w:numId w:val="2"/>
        </w:numPr>
        <w:rPr>
          <w:rFonts w:ascii="Arial" w:cs="Arial" w:eastAsia="Arial" w:hAnsi="Arial"/>
          <w:sz w:val="14"/>
          <w:szCs w:val="14"/>
          <w:color w:val="auto"/>
        </w:rPr>
      </w:pPr>
      <w:r>
        <w:rPr>
          <w:rFonts w:ascii="Arial" w:cs="Arial" w:eastAsia="Arial" w:hAnsi="Arial"/>
          <w:sz w:val="18"/>
          <w:szCs w:val="18"/>
          <w:color w:val="auto"/>
        </w:rPr>
        <w:t>Executed Permian-focused capital program, including early completion of Sunrise Expansion</w:t>
      </w:r>
    </w:p>
    <w:p>
      <w:pPr>
        <w:spacing w:after="0" w:line="225" w:lineRule="exact"/>
        <w:rPr>
          <w:rFonts w:ascii="Arial" w:cs="Arial" w:eastAsia="Arial" w:hAnsi="Arial"/>
          <w:sz w:val="14"/>
          <w:szCs w:val="14"/>
          <w:color w:val="auto"/>
        </w:rPr>
      </w:pPr>
    </w:p>
    <w:p>
      <w:pPr>
        <w:ind w:left="1280" w:hanging="300"/>
        <w:spacing w:after="0"/>
        <w:tabs>
          <w:tab w:leader="none" w:pos="1280" w:val="left"/>
        </w:tabs>
        <w:numPr>
          <w:ilvl w:val="0"/>
          <w:numId w:val="2"/>
        </w:numPr>
        <w:rPr>
          <w:rFonts w:ascii="Arial" w:cs="Arial" w:eastAsia="Arial" w:hAnsi="Arial"/>
          <w:sz w:val="14"/>
          <w:szCs w:val="14"/>
          <w:color w:val="auto"/>
        </w:rPr>
      </w:pPr>
      <w:r>
        <w:rPr>
          <w:rFonts w:ascii="Arial" w:cs="Arial" w:eastAsia="Arial" w:hAnsi="Arial"/>
          <w:sz w:val="18"/>
          <w:szCs w:val="18"/>
          <w:color w:val="auto"/>
        </w:rPr>
        <w:t>Actively developed additional growth capital projects</w:t>
      </w:r>
    </w:p>
    <w:p>
      <w:pPr>
        <w:spacing w:after="0" w:line="225" w:lineRule="exact"/>
        <w:rPr>
          <w:rFonts w:ascii="Arial" w:cs="Arial" w:eastAsia="Arial" w:hAnsi="Arial"/>
          <w:sz w:val="14"/>
          <w:szCs w:val="14"/>
          <w:color w:val="auto"/>
        </w:rPr>
      </w:pPr>
    </w:p>
    <w:p>
      <w:pPr>
        <w:ind w:left="1280" w:hanging="300"/>
        <w:spacing w:after="0"/>
        <w:tabs>
          <w:tab w:leader="none" w:pos="1280" w:val="left"/>
        </w:tabs>
        <w:numPr>
          <w:ilvl w:val="0"/>
          <w:numId w:val="2"/>
        </w:numPr>
        <w:rPr>
          <w:rFonts w:ascii="Arial" w:cs="Arial" w:eastAsia="Arial" w:hAnsi="Arial"/>
          <w:sz w:val="14"/>
          <w:szCs w:val="14"/>
          <w:color w:val="auto"/>
        </w:rPr>
      </w:pPr>
      <w:r>
        <w:rPr>
          <w:rFonts w:ascii="Arial" w:cs="Arial" w:eastAsia="Arial" w:hAnsi="Arial"/>
          <w:sz w:val="18"/>
          <w:szCs w:val="18"/>
          <w:color w:val="auto"/>
        </w:rPr>
        <w:t>Significantly advanced deleveraging plan and enhanced financial flexibility</w:t>
      </w:r>
    </w:p>
    <w:p>
      <w:pPr>
        <w:spacing w:after="0" w:line="225"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“Our fourth-quarter and full-year 2018 results exceeded our guidance and reflect solid execution of our business plan,” stated Willie Chiang, Chief Executive Officer of Plains All American Pipeline. “Looking forward, we believe we are well positioned with a strategic asset base and business model and improved financial flexibility.”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3" w:lineRule="exact"/>
        <w:rPr>
          <w:sz w:val="20"/>
          <w:szCs w:val="20"/>
          <w:color w:val="auto"/>
        </w:rPr>
      </w:pPr>
    </w:p>
    <w:p>
      <w:pPr>
        <w:ind w:left="2280"/>
        <w:spacing w:after="0"/>
        <w:tabs>
          <w:tab w:leader="none" w:pos="4780" w:val="left"/>
          <w:tab w:leader="none" w:pos="69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Page 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Three Months Ended</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5"/>
          </w:tcPr>
          <w:p>
            <w:pPr>
              <w:ind w:left="120"/>
              <w:spacing w:after="0"/>
              <w:rPr>
                <w:sz w:val="20"/>
                <w:szCs w:val="20"/>
                <w:color w:val="auto"/>
              </w:rPr>
            </w:pPr>
            <w:r>
              <w:rPr>
                <w:rFonts w:ascii="Arial" w:cs="Arial" w:eastAsia="Arial" w:hAnsi="Arial"/>
                <w:sz w:val="14"/>
                <w:szCs w:val="14"/>
                <w:b w:val="1"/>
                <w:bCs w:val="1"/>
                <w:color w:val="auto"/>
              </w:rPr>
              <w:t>Twelve Months Ended</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left="338"/>
              <w:spacing w:after="0"/>
              <w:rPr>
                <w:sz w:val="20"/>
                <w:szCs w:val="20"/>
                <w:color w:val="auto"/>
              </w:rPr>
            </w:pPr>
            <w:r>
              <w:rPr>
                <w:rFonts w:ascii="Arial" w:cs="Arial" w:eastAsia="Arial" w:hAnsi="Arial"/>
                <w:sz w:val="14"/>
                <w:szCs w:val="14"/>
                <w:b w:val="1"/>
                <w:bCs w:val="1"/>
                <w:color w:val="auto"/>
                <w:w w:val="92"/>
              </w:rPr>
              <w:t>December 31,</w:t>
            </w:r>
          </w:p>
        </w:tc>
        <w:tc>
          <w:tcPr>
            <w:tcW w:w="6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GAAP Results</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w w:val="89"/>
              </w:rPr>
              <w:t>2017</w:t>
            </w:r>
          </w:p>
        </w:tc>
        <w:tc>
          <w:tcPr>
            <w:tcW w:w="24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Change</w:t>
            </w:r>
          </w:p>
        </w:tc>
        <w:tc>
          <w:tcPr>
            <w:tcW w:w="3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Change</w:t>
            </w:r>
          </w:p>
        </w:tc>
        <w:tc>
          <w:tcPr>
            <w:tcW w:w="3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40" w:type="dxa"/>
            <w:vAlign w:val="bottom"/>
            <w:shd w:val="clear" w:color="auto" w:fill="CCEEFF"/>
          </w:tcPr>
          <w:p>
            <w:pPr>
              <w:spacing w:after="0"/>
              <w:rPr>
                <w:sz w:val="18"/>
                <w:szCs w:val="18"/>
                <w:color w:val="auto"/>
              </w:rPr>
            </w:pPr>
          </w:p>
        </w:tc>
        <w:tc>
          <w:tcPr>
            <w:tcW w:w="1280" w:type="dxa"/>
            <w:vAlign w:val="bottom"/>
            <w:tcBorders>
              <w:right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485%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Diluted net income per common unit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1.38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0.19</w:t>
            </w:r>
          </w:p>
        </w:tc>
        <w:tc>
          <w:tcPr>
            <w:tcW w:w="1280" w:type="dxa"/>
            <w:vAlign w:val="bottom"/>
            <w:tcBorders>
              <w:right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626%</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2.71</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0.95</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Diluted weighted average common units outstanding</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799</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726</w:t>
            </w:r>
          </w:p>
        </w:tc>
        <w:tc>
          <w:tcPr>
            <w:tcW w:w="1280" w:type="dxa"/>
            <w:vAlign w:val="bottom"/>
            <w:tcBorders>
              <w:right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799</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718</w:t>
            </w:r>
          </w:p>
        </w:tc>
        <w:tc>
          <w:tcPr>
            <w:tcW w:w="12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4120" w:type="dxa"/>
            <w:vAlign w:val="bottom"/>
            <w:gridSpan w:val="2"/>
          </w:tcPr>
          <w:p>
            <w:pPr>
              <w:spacing w:after="0"/>
              <w:rPr>
                <w:sz w:val="20"/>
                <w:szCs w:val="20"/>
                <w:color w:val="auto"/>
              </w:rPr>
            </w:pPr>
            <w:r>
              <w:rPr>
                <w:rFonts w:ascii="Arial" w:cs="Arial" w:eastAsia="Arial" w:hAnsi="Arial"/>
                <w:sz w:val="18"/>
                <w:szCs w:val="18"/>
                <w:color w:val="auto"/>
                <w:w w:val="98"/>
              </w:rPr>
              <w:t>Distribution per common unit declared for the period</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240" w:type="dxa"/>
            <w:vAlign w:val="bottom"/>
          </w:tcPr>
          <w:p>
            <w:pPr>
              <w:spacing w:after="0"/>
              <w:rPr>
                <w:sz w:val="18"/>
                <w:szCs w:val="18"/>
                <w:color w:val="auto"/>
              </w:rPr>
            </w:pPr>
          </w:p>
        </w:tc>
        <w:tc>
          <w:tcPr>
            <w:tcW w:w="90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w w:val="88"/>
              </w:rPr>
              <w:t>—</w:t>
            </w:r>
          </w:p>
        </w:tc>
        <w:tc>
          <w:tcPr>
            <w:tcW w:w="38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w w:val="87"/>
              </w:rPr>
              <w:t>%</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335"/>
        </w:trPr>
        <w:tc>
          <w:tcPr>
            <w:tcW w:w="3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Three Months Ended</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gridSpan w:val="5"/>
          </w:tcPr>
          <w:p>
            <w:pPr>
              <w:ind w:left="120"/>
              <w:spacing w:after="0"/>
              <w:rPr>
                <w:sz w:val="20"/>
                <w:szCs w:val="20"/>
                <w:color w:val="auto"/>
              </w:rPr>
            </w:pPr>
            <w:r>
              <w:rPr>
                <w:rFonts w:ascii="Arial" w:cs="Arial" w:eastAsia="Arial" w:hAnsi="Arial"/>
                <w:sz w:val="14"/>
                <w:szCs w:val="14"/>
                <w:b w:val="1"/>
                <w:bCs w:val="1"/>
                <w:color w:val="auto"/>
              </w:rPr>
              <w:t>Twelve Months Ended</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left="338"/>
              <w:spacing w:after="0"/>
              <w:rPr>
                <w:sz w:val="20"/>
                <w:szCs w:val="20"/>
                <w:color w:val="auto"/>
              </w:rPr>
            </w:pPr>
            <w:r>
              <w:rPr>
                <w:rFonts w:ascii="Arial" w:cs="Arial" w:eastAsia="Arial" w:hAnsi="Arial"/>
                <w:sz w:val="14"/>
                <w:szCs w:val="14"/>
                <w:b w:val="1"/>
                <w:bCs w:val="1"/>
                <w:color w:val="auto"/>
                <w:w w:val="92"/>
              </w:rPr>
              <w:t>December 31,</w:t>
            </w:r>
          </w:p>
        </w:tc>
        <w:tc>
          <w:tcPr>
            <w:tcW w:w="6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 xml:space="preserve">Non-GAAP Results </w:t>
            </w:r>
            <w:r>
              <w:rPr>
                <w:rFonts w:ascii="Arial" w:cs="Arial" w:eastAsia="Arial" w:hAnsi="Arial"/>
                <w:sz w:val="16"/>
                <w:szCs w:val="16"/>
                <w:b w:val="1"/>
                <w:bCs w:val="1"/>
                <w:color w:val="auto"/>
                <w:vertAlign w:val="superscript"/>
              </w:rPr>
              <w:t>(1)</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w w:val="89"/>
              </w:rPr>
              <w:t>2017</w:t>
            </w:r>
          </w:p>
        </w:tc>
        <w:tc>
          <w:tcPr>
            <w:tcW w:w="24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Change</w:t>
            </w:r>
          </w:p>
        </w:tc>
        <w:tc>
          <w:tcPr>
            <w:tcW w:w="3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Change</w:t>
            </w:r>
          </w:p>
        </w:tc>
        <w:tc>
          <w:tcPr>
            <w:tcW w:w="3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line="210" w:lineRule="exact"/>
              <w:rPr>
                <w:sz w:val="20"/>
                <w:szCs w:val="20"/>
                <w:color w:val="auto"/>
              </w:rPr>
            </w:pPr>
            <w:r>
              <w:rPr>
                <w:rFonts w:ascii="Arial" w:cs="Arial" w:eastAsia="Arial" w:hAnsi="Arial"/>
                <w:sz w:val="18"/>
                <w:szCs w:val="18"/>
                <w:color w:val="auto"/>
              </w:rPr>
              <w:t xml:space="preserve">Adjusted net income attributable to PAA </w:t>
            </w:r>
            <w:r>
              <w:rPr>
                <w:rFonts w:ascii="Arial" w:cs="Arial" w:eastAsia="Arial" w:hAnsi="Arial"/>
                <w:sz w:val="23"/>
                <w:szCs w:val="23"/>
                <w:color w:val="auto"/>
                <w:vertAlign w:val="superscript"/>
              </w:rPr>
              <w:t>(2)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240" w:type="dxa"/>
            <w:vAlign w:val="bottom"/>
            <w:shd w:val="clear" w:color="auto" w:fill="CCEEFF"/>
          </w:tcPr>
          <w:p>
            <w:pPr>
              <w:spacing w:after="0"/>
              <w:rPr>
                <w:sz w:val="18"/>
                <w:szCs w:val="18"/>
                <w:color w:val="auto"/>
              </w:rPr>
            </w:pPr>
          </w:p>
        </w:tc>
        <w:tc>
          <w:tcPr>
            <w:tcW w:w="1280" w:type="dxa"/>
            <w:vAlign w:val="bottom"/>
            <w:tcBorders>
              <w:right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Diluted adjusted net income per common unit </w:t>
            </w:r>
            <w:r>
              <w:rPr>
                <w:rFonts w:ascii="Arial" w:cs="Arial" w:eastAsia="Arial" w:hAnsi="Arial"/>
                <w:sz w:val="23"/>
                <w:szCs w:val="23"/>
                <w:color w:val="auto"/>
                <w:vertAlign w:val="superscript"/>
              </w:rPr>
              <w:t>(2)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0.80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0.39</w:t>
            </w:r>
          </w:p>
        </w:tc>
        <w:tc>
          <w:tcPr>
            <w:tcW w:w="1280" w:type="dxa"/>
            <w:vAlign w:val="bottom"/>
            <w:tcBorders>
              <w:right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105%</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1.88</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1.10</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631</w:t>
            </w:r>
          </w:p>
        </w:tc>
        <w:tc>
          <w:tcPr>
            <w:tcW w:w="1280" w:type="dxa"/>
            <w:vAlign w:val="bottom"/>
            <w:tcBorders>
              <w:right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50%</w:t>
            </w:r>
          </w:p>
        </w:tc>
        <w:tc>
          <w:tcPr>
            <w:tcW w:w="4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2,684</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2,082</w:t>
            </w:r>
          </w:p>
        </w:tc>
        <w:tc>
          <w:tcPr>
            <w:tcW w:w="12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Implied DCF per common unit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0.94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0.58</w:t>
            </w:r>
          </w:p>
        </w:tc>
        <w:tc>
          <w:tcPr>
            <w:tcW w:w="1280" w:type="dxa"/>
            <w:vAlign w:val="bottom"/>
            <w:tcBorders>
              <w:right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62%</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2.46</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1.82</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180" w:hanging="332"/>
        <w:spacing w:after="0" w:line="238" w:lineRule="auto"/>
        <w:tabs>
          <w:tab w:leader="none" w:pos="328"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See the section of this release entitled “Non-GAAP Financial Measures and Selected Items Impacting Comparability” and the tables attached hereto for information regarding certain selected items that PAA believes impact comparability of financial results between reporting periods, as well as for information regarding non-GAAP financial measures (such as Adjusted EBITDA) and their reconciliation to the most directly comparable measures as reported in accordance with GAAP.</w:t>
      </w:r>
    </w:p>
    <w:p>
      <w:pPr>
        <w:ind w:left="340" w:right="680" w:hanging="332"/>
        <w:spacing w:after="0" w:line="229" w:lineRule="auto"/>
        <w:tabs>
          <w:tab w:leader="none" w:pos="328"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During the fourth quarter of 2018, we began classifying net gains and losses on asset sales and asset impairments as a selected item impacting comparability in the calculation of adjusted net income attributable to PAA. Prior period amounts have been recast to reflect this change. See the “Selected Items Impacting Comparability” table attached hereto for additional information.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3" w:lineRule="exact"/>
        <w:rPr>
          <w:sz w:val="20"/>
          <w:szCs w:val="20"/>
          <w:color w:val="auto"/>
        </w:rPr>
      </w:pPr>
    </w:p>
    <w:p>
      <w:pPr>
        <w:ind w:left="2280"/>
        <w:spacing w:after="0"/>
        <w:tabs>
          <w:tab w:leader="none" w:pos="4780" w:val="left"/>
          <w:tab w:leader="none" w:pos="69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Page 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Adjusted EBITDA for the fourth quarter and full year of 2018 and 2017 is presented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Financial Data by Segment</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4"/>
              </w:rPr>
              <w:t>Segment Adjusted EBITDA</w:t>
            </w: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gridSpan w:val="2"/>
            <w:vMerge w:val="restart"/>
          </w:tcPr>
          <w:p>
            <w:pPr>
              <w:jc w:val="right"/>
              <w:ind w:right="348"/>
              <w:spacing w:after="0"/>
              <w:rPr>
                <w:sz w:val="20"/>
                <w:szCs w:val="20"/>
                <w:color w:val="auto"/>
              </w:rPr>
            </w:pPr>
            <w:r>
              <w:rPr>
                <w:rFonts w:ascii="Arial" w:cs="Arial" w:eastAsia="Arial" w:hAnsi="Arial"/>
                <w:sz w:val="14"/>
                <w:szCs w:val="14"/>
                <w:b w:val="1"/>
                <w:bCs w:val="1"/>
                <w:color w:val="auto"/>
                <w:w w:val="99"/>
              </w:rPr>
              <w:t>Transportation</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0"/>
              </w:rPr>
              <w:t>Facilities</w:t>
            </w:r>
          </w:p>
        </w:tc>
        <w:tc>
          <w:tcPr>
            <w:tcW w:w="220" w:type="dxa"/>
            <w:vAlign w:val="bottom"/>
          </w:tcPr>
          <w:p>
            <w:pPr>
              <w:spacing w:after="0"/>
              <w:rPr>
                <w:sz w:val="10"/>
                <w:szCs w:val="10"/>
                <w:color w:val="auto"/>
              </w:rPr>
            </w:pPr>
          </w:p>
        </w:tc>
        <w:tc>
          <w:tcPr>
            <w:tcW w:w="1140" w:type="dxa"/>
            <w:vAlign w:val="bottom"/>
          </w:tcPr>
          <w:p>
            <w:pPr>
              <w:jc w:val="center"/>
              <w:ind w:right="117"/>
              <w:spacing w:after="0" w:line="119" w:lineRule="exact"/>
              <w:rPr>
                <w:sz w:val="20"/>
                <w:szCs w:val="20"/>
                <w:color w:val="auto"/>
              </w:rPr>
            </w:pPr>
            <w:r>
              <w:rPr>
                <w:rFonts w:ascii="Arial" w:cs="Arial" w:eastAsia="Arial" w:hAnsi="Arial"/>
                <w:sz w:val="13"/>
                <w:szCs w:val="13"/>
                <w:b w:val="1"/>
                <w:bCs w:val="1"/>
                <w:color w:val="auto"/>
                <w:w w:val="99"/>
              </w:rPr>
              <w:t>Supply and</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Three Months Ended December 31, 2018</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Three Months Ended December 31, 2017</w:t>
            </w: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354</w:t>
            </w:r>
          </w:p>
        </w:tc>
        <w:tc>
          <w:tcPr>
            <w:tcW w:w="2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184</w:t>
            </w:r>
          </w:p>
        </w:tc>
        <w:tc>
          <w:tcPr>
            <w:tcW w:w="28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92</w:t>
            </w:r>
          </w:p>
        </w:tc>
        <w:tc>
          <w:tcPr>
            <w:tcW w:w="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640" w:type="dxa"/>
            <w:vAlign w:val="bottom"/>
            <w:shd w:val="clear" w:color="auto" w:fill="CCEEFF"/>
          </w:tcPr>
          <w:p>
            <w:pPr>
              <w:spacing w:after="0" w:line="190" w:lineRule="exact"/>
              <w:rPr>
                <w:sz w:val="20"/>
                <w:szCs w:val="20"/>
                <w:color w:val="auto"/>
              </w:rPr>
            </w:pPr>
            <w:r>
              <w:rPr>
                <w:rFonts w:ascii="Arial" w:cs="Arial" w:eastAsia="Arial" w:hAnsi="Arial"/>
                <w:sz w:val="18"/>
                <w:szCs w:val="18"/>
                <w:b w:val="1"/>
                <w:bCs w:val="1"/>
                <w:i w:val="1"/>
                <w:iCs w:val="1"/>
                <w:color w:val="auto"/>
              </w:rPr>
              <w:t>Percentage change in Segment Adjusted EBITDA versus 2017 period</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i w:val="1"/>
                <w:iCs w:val="1"/>
                <w:color w:val="auto"/>
              </w:rPr>
              <w:t>20%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b w:val="1"/>
                <w:bCs w:val="1"/>
                <w:i w:val="1"/>
                <w:iCs w:val="1"/>
                <w:color w:val="auto"/>
              </w:rPr>
              <w:t>(2)%</w:t>
            </w:r>
          </w:p>
        </w:tc>
        <w:tc>
          <w:tcPr>
            <w:tcW w:w="22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20"/>
              <w:spacing w:after="0" w:line="196" w:lineRule="exact"/>
              <w:rPr>
                <w:sz w:val="20"/>
                <w:szCs w:val="20"/>
                <w:color w:val="auto"/>
              </w:rPr>
            </w:pPr>
            <w:r>
              <w:rPr>
                <w:rFonts w:ascii="Arial" w:cs="Arial" w:eastAsia="Arial" w:hAnsi="Arial"/>
                <w:sz w:val="18"/>
                <w:szCs w:val="18"/>
                <w:b w:val="1"/>
                <w:bCs w:val="1"/>
                <w:i w:val="1"/>
                <w:iCs w:val="1"/>
                <w:color w:val="auto"/>
              </w:rPr>
              <w:t>272%</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b w:val="1"/>
                <w:bCs w:val="1"/>
                <w:i w:val="1"/>
                <w:iCs w:val="1"/>
                <w:color w:val="auto"/>
              </w:rPr>
              <w:t>Percentage change in Segment Adjusted EBITDA versus 2017 period further</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6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vMerge w:val="restart"/>
          </w:tcPr>
          <w:p>
            <w:pPr>
              <w:jc w:val="right"/>
              <w:spacing w:after="0"/>
              <w:rPr>
                <w:sz w:val="20"/>
                <w:szCs w:val="20"/>
                <w:color w:val="auto"/>
              </w:rPr>
            </w:pPr>
            <w:r>
              <w:rPr>
                <w:rFonts w:ascii="Arial" w:cs="Arial" w:eastAsia="Arial" w:hAnsi="Arial"/>
                <w:sz w:val="18"/>
                <w:szCs w:val="18"/>
                <w:b w:val="1"/>
                <w:bCs w:val="1"/>
                <w:i w:val="1"/>
                <w:iCs w:val="1"/>
                <w:color w:val="auto"/>
              </w:rPr>
              <w:t>32%</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i w:val="1"/>
                <w:iCs w:val="1"/>
                <w:color w:val="auto"/>
              </w:rPr>
              <w:t>2%</w:t>
            </w:r>
          </w:p>
        </w:tc>
        <w:tc>
          <w:tcPr>
            <w:tcW w:w="220" w:type="dxa"/>
            <w:vAlign w:val="bottom"/>
          </w:tcPr>
          <w:p>
            <w:pPr>
              <w:spacing w:after="0"/>
              <w:rPr>
                <w:sz w:val="13"/>
                <w:szCs w:val="13"/>
                <w:color w:val="auto"/>
              </w:rPr>
            </w:pPr>
          </w:p>
        </w:tc>
        <w:tc>
          <w:tcPr>
            <w:tcW w:w="1300" w:type="dxa"/>
            <w:vAlign w:val="bottom"/>
            <w:gridSpan w:val="3"/>
            <w:vMerge w:val="restart"/>
          </w:tcPr>
          <w:p>
            <w:pPr>
              <w:jc w:val="right"/>
              <w:ind w:right="160"/>
              <w:spacing w:after="0"/>
              <w:rPr>
                <w:sz w:val="20"/>
                <w:szCs w:val="20"/>
                <w:color w:val="auto"/>
              </w:rPr>
            </w:pPr>
            <w:r>
              <w:rPr>
                <w:rFonts w:ascii="Arial" w:cs="Arial" w:eastAsia="Arial" w:hAnsi="Arial"/>
                <w:sz w:val="18"/>
                <w:szCs w:val="18"/>
                <w:b w:val="1"/>
                <w:bCs w:val="1"/>
                <w:i w:val="1"/>
                <w:iCs w:val="1"/>
                <w:color w:val="auto"/>
              </w:rPr>
              <w:t>N/A</w:t>
            </w:r>
          </w:p>
        </w:tc>
        <w:tc>
          <w:tcPr>
            <w:tcW w:w="0" w:type="dxa"/>
            <w:vAlign w:val="bottom"/>
          </w:tcPr>
          <w:p>
            <w:pPr>
              <w:spacing w:after="0"/>
              <w:rPr>
                <w:sz w:val="1"/>
                <w:szCs w:val="1"/>
                <w:color w:val="auto"/>
              </w:rPr>
            </w:pPr>
          </w:p>
        </w:tc>
      </w:tr>
      <w:tr>
        <w:trPr>
          <w:trHeight w:val="217"/>
        </w:trPr>
        <w:tc>
          <w:tcPr>
            <w:tcW w:w="66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adjusted for impact of divested assets</w:t>
            </w: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6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4"/>
              </w:rPr>
              <w:t>Segment Adjusted EBITDA</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gridSpan w:val="2"/>
            <w:vMerge w:val="restart"/>
          </w:tcPr>
          <w:p>
            <w:pPr>
              <w:jc w:val="right"/>
              <w:ind w:right="348"/>
              <w:spacing w:after="0"/>
              <w:rPr>
                <w:sz w:val="20"/>
                <w:szCs w:val="20"/>
                <w:color w:val="auto"/>
              </w:rPr>
            </w:pPr>
            <w:r>
              <w:rPr>
                <w:rFonts w:ascii="Arial" w:cs="Arial" w:eastAsia="Arial" w:hAnsi="Arial"/>
                <w:sz w:val="14"/>
                <w:szCs w:val="14"/>
                <w:b w:val="1"/>
                <w:bCs w:val="1"/>
                <w:color w:val="auto"/>
                <w:w w:val="99"/>
              </w:rPr>
              <w:t>Transportation</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0"/>
              </w:rPr>
              <w:t>Facilities</w:t>
            </w:r>
          </w:p>
        </w:tc>
        <w:tc>
          <w:tcPr>
            <w:tcW w:w="220" w:type="dxa"/>
            <w:vAlign w:val="bottom"/>
          </w:tcPr>
          <w:p>
            <w:pPr>
              <w:spacing w:after="0"/>
              <w:rPr>
                <w:sz w:val="10"/>
                <w:szCs w:val="10"/>
                <w:color w:val="auto"/>
              </w:rPr>
            </w:pPr>
          </w:p>
        </w:tc>
        <w:tc>
          <w:tcPr>
            <w:tcW w:w="1140" w:type="dxa"/>
            <w:vAlign w:val="bottom"/>
          </w:tcPr>
          <w:p>
            <w:pPr>
              <w:jc w:val="center"/>
              <w:ind w:right="117"/>
              <w:spacing w:after="0" w:line="119" w:lineRule="exact"/>
              <w:rPr>
                <w:sz w:val="20"/>
                <w:szCs w:val="20"/>
                <w:color w:val="auto"/>
              </w:rPr>
            </w:pPr>
            <w:r>
              <w:rPr>
                <w:rFonts w:ascii="Arial" w:cs="Arial" w:eastAsia="Arial" w:hAnsi="Arial"/>
                <w:sz w:val="13"/>
                <w:szCs w:val="13"/>
                <w:b w:val="1"/>
                <w:bCs w:val="1"/>
                <w:color w:val="auto"/>
                <w:w w:val="99"/>
              </w:rPr>
              <w:t>Supply and</w:t>
            </w:r>
          </w:p>
        </w:tc>
        <w:tc>
          <w:tcPr>
            <w:tcW w:w="1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Twelve Months Ended December 31, 2018</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Twelve Months Ended December 31, 2017</w:t>
            </w: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1,287</w:t>
            </w:r>
          </w:p>
        </w:tc>
        <w:tc>
          <w:tcPr>
            <w:tcW w:w="2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734</w:t>
            </w:r>
          </w:p>
        </w:tc>
        <w:tc>
          <w:tcPr>
            <w:tcW w:w="28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w:t>
            </w:r>
          </w:p>
        </w:tc>
        <w:tc>
          <w:tcPr>
            <w:tcW w:w="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640" w:type="dxa"/>
            <w:vAlign w:val="bottom"/>
            <w:shd w:val="clear" w:color="auto" w:fill="CCEEFF"/>
          </w:tcPr>
          <w:p>
            <w:pPr>
              <w:spacing w:after="0" w:line="190" w:lineRule="exact"/>
              <w:rPr>
                <w:sz w:val="20"/>
                <w:szCs w:val="20"/>
                <w:color w:val="auto"/>
              </w:rPr>
            </w:pPr>
            <w:r>
              <w:rPr>
                <w:rFonts w:ascii="Arial" w:cs="Arial" w:eastAsia="Arial" w:hAnsi="Arial"/>
                <w:sz w:val="18"/>
                <w:szCs w:val="18"/>
                <w:b w:val="1"/>
                <w:bCs w:val="1"/>
                <w:i w:val="1"/>
                <w:iCs w:val="1"/>
                <w:color w:val="auto"/>
              </w:rPr>
              <w:t>Percentage change in Segment Adjusted EBITDA versus 2017 period</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i w:val="1"/>
                <w:iCs w:val="1"/>
                <w:color w:val="auto"/>
              </w:rPr>
              <w:t>17%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b w:val="1"/>
                <w:bCs w:val="1"/>
                <w:i w:val="1"/>
                <w:iCs w:val="1"/>
                <w:color w:val="auto"/>
              </w:rPr>
              <w:t>(3)%</w:t>
            </w:r>
          </w:p>
        </w:tc>
        <w:tc>
          <w:tcPr>
            <w:tcW w:w="22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20"/>
              <w:spacing w:after="0" w:line="196" w:lineRule="exact"/>
              <w:rPr>
                <w:sz w:val="20"/>
                <w:szCs w:val="20"/>
                <w:color w:val="auto"/>
              </w:rPr>
            </w:pPr>
            <w:r>
              <w:rPr>
                <w:rFonts w:ascii="Arial" w:cs="Arial" w:eastAsia="Arial" w:hAnsi="Arial"/>
                <w:sz w:val="18"/>
                <w:szCs w:val="18"/>
                <w:b w:val="1"/>
                <w:bCs w:val="1"/>
                <w:i w:val="1"/>
                <w:iCs w:val="1"/>
                <w:color w:val="auto"/>
              </w:rPr>
              <w:t>670%</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b w:val="1"/>
                <w:bCs w:val="1"/>
                <w:i w:val="1"/>
                <w:iCs w:val="1"/>
                <w:color w:val="auto"/>
              </w:rPr>
              <w:t>Percentage change in Segment Adjusted EBITDA versus 2017 period further</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6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vMerge w:val="restart"/>
          </w:tcPr>
          <w:p>
            <w:pPr>
              <w:jc w:val="right"/>
              <w:spacing w:after="0"/>
              <w:rPr>
                <w:sz w:val="20"/>
                <w:szCs w:val="20"/>
                <w:color w:val="auto"/>
              </w:rPr>
            </w:pPr>
            <w:r>
              <w:rPr>
                <w:rFonts w:ascii="Arial" w:cs="Arial" w:eastAsia="Arial" w:hAnsi="Arial"/>
                <w:sz w:val="18"/>
                <w:szCs w:val="18"/>
                <w:b w:val="1"/>
                <w:bCs w:val="1"/>
                <w:i w:val="1"/>
                <w:iCs w:val="1"/>
                <w:color w:val="auto"/>
              </w:rPr>
              <w:t>23%</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i w:val="1"/>
                <w:iCs w:val="1"/>
                <w:color w:val="auto"/>
              </w:rPr>
              <w:t>3%</w:t>
            </w:r>
          </w:p>
        </w:tc>
        <w:tc>
          <w:tcPr>
            <w:tcW w:w="220" w:type="dxa"/>
            <w:vAlign w:val="bottom"/>
          </w:tcPr>
          <w:p>
            <w:pPr>
              <w:spacing w:after="0"/>
              <w:rPr>
                <w:sz w:val="13"/>
                <w:szCs w:val="13"/>
                <w:color w:val="auto"/>
              </w:rPr>
            </w:pPr>
          </w:p>
        </w:tc>
        <w:tc>
          <w:tcPr>
            <w:tcW w:w="1300" w:type="dxa"/>
            <w:vAlign w:val="bottom"/>
            <w:gridSpan w:val="3"/>
            <w:vMerge w:val="restart"/>
          </w:tcPr>
          <w:p>
            <w:pPr>
              <w:jc w:val="right"/>
              <w:ind w:right="160"/>
              <w:spacing w:after="0"/>
              <w:rPr>
                <w:sz w:val="20"/>
                <w:szCs w:val="20"/>
                <w:color w:val="auto"/>
              </w:rPr>
            </w:pPr>
            <w:r>
              <w:rPr>
                <w:rFonts w:ascii="Arial" w:cs="Arial" w:eastAsia="Arial" w:hAnsi="Arial"/>
                <w:sz w:val="18"/>
                <w:szCs w:val="18"/>
                <w:b w:val="1"/>
                <w:bCs w:val="1"/>
                <w:i w:val="1"/>
                <w:iCs w:val="1"/>
                <w:color w:val="auto"/>
              </w:rPr>
              <w:t>N/A</w:t>
            </w:r>
          </w:p>
        </w:tc>
        <w:tc>
          <w:tcPr>
            <w:tcW w:w="0" w:type="dxa"/>
            <w:vAlign w:val="bottom"/>
          </w:tcPr>
          <w:p>
            <w:pPr>
              <w:spacing w:after="0"/>
              <w:rPr>
                <w:sz w:val="1"/>
                <w:szCs w:val="1"/>
                <w:color w:val="auto"/>
              </w:rPr>
            </w:pPr>
          </w:p>
        </w:tc>
      </w:tr>
      <w:tr>
        <w:trPr>
          <w:trHeight w:val="217"/>
        </w:trPr>
        <w:tc>
          <w:tcPr>
            <w:tcW w:w="66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adjusted for impact of divested assets</w:t>
            </w: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Fourth-quarter 2018 Transportation Segment Adjusted EBITDA increased by 20% over comparable 2017 results. This increase was primarily driven by increased volume on our Permian Basin systems, including the start-up of our Sunrise II pipeline in the fourth quarter of 2018. Fourth-quarter 2018 results also benefited from a full period of Diamond pipeline volumes, which was placed into service in late 2017. These favorable results were partially offset by the impact of the sale of an interest in our BridgeTex pipeline and asset sales in the Rocky Mountain region.</w:t>
      </w:r>
    </w:p>
    <w:p>
      <w:pPr>
        <w:spacing w:after="0" w:line="17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Fourth-quarter 2018 Facilities Segment Adjusted EBITDA decreased by 2% versus comparable 2017 results, primarily due to the impact of asset sales and lower revenues from our NGL fractionation facilities. This was partially offset by higher revenues from increased activity at certain of our crude oil rail terminals, as well as at our Cushing terminal.</w:t>
      </w:r>
    </w:p>
    <w:p>
      <w:pPr>
        <w:spacing w:after="0" w:line="18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Fourth-quarter 2018 Supply and Logistics Segment Adjusted EBITDA increased versus comparable 2017 results primarily due to capturing more favorable crude oil differentials in the U.S. and Canada.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3" w:lineRule="exact"/>
        <w:rPr>
          <w:sz w:val="20"/>
          <w:szCs w:val="20"/>
          <w:color w:val="auto"/>
        </w:rPr>
      </w:pPr>
    </w:p>
    <w:p>
      <w:pPr>
        <w:ind w:left="2280"/>
        <w:spacing w:after="0"/>
        <w:tabs>
          <w:tab w:leader="none" w:pos="4780" w:val="left"/>
          <w:tab w:leader="none" w:pos="69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Page 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Full-Year Guidance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our full-year 2019 financial and operating guidance: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and Operating Guidance</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volumes, per unit and per barrel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4"/>
                <w:szCs w:val="14"/>
                <w:b w:val="1"/>
                <w:bCs w:val="1"/>
                <w:color w:val="auto"/>
              </w:rPr>
              <w:t>Twelve Months Ended December 31,</w:t>
            </w:r>
          </w:p>
        </w:tc>
        <w:tc>
          <w:tcPr>
            <w:tcW w:w="10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2019 (G)</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471"/>
              <w:spacing w:after="0" w:line="142" w:lineRule="exact"/>
              <w:rPr>
                <w:sz w:val="20"/>
                <w:szCs w:val="20"/>
                <w:color w:val="auto"/>
              </w:rPr>
            </w:pPr>
            <w:r>
              <w:rPr>
                <w:rFonts w:ascii="Arial" w:cs="Arial" w:eastAsia="Arial" w:hAnsi="Arial"/>
                <w:sz w:val="14"/>
                <w:szCs w:val="14"/>
                <w:b w:val="1"/>
                <w:bCs w:val="1"/>
                <w:color w:val="auto"/>
              </w:rPr>
              <w:t>+ / -</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Adjusted EBITDA</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Transportation</w:t>
            </w:r>
          </w:p>
        </w:tc>
        <w:tc>
          <w:tcPr>
            <w:tcW w:w="1680" w:type="dxa"/>
            <w:vAlign w:val="bottom"/>
            <w:gridSpan w:val="2"/>
          </w:tcPr>
          <w:p>
            <w:pPr>
              <w:jc w:val="right"/>
              <w:ind w:right="726"/>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1,287</w:t>
            </w:r>
          </w:p>
        </w:tc>
        <w:tc>
          <w:tcPr>
            <w:tcW w:w="240" w:type="dxa"/>
            <w:vAlign w:val="bottom"/>
          </w:tcPr>
          <w:p>
            <w:pPr>
              <w:spacing w:after="0"/>
              <w:rPr>
                <w:sz w:val="18"/>
                <w:szCs w:val="18"/>
                <w:color w:val="auto"/>
              </w:rPr>
            </w:pP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1,508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Facilities</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734</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711</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b w:val="1"/>
                <w:bCs w:val="1"/>
                <w:color w:val="auto"/>
              </w:rPr>
              <w:t>Fee-Based</w:t>
            </w:r>
          </w:p>
        </w:tc>
        <w:tc>
          <w:tcPr>
            <w:tcW w:w="800" w:type="dxa"/>
            <w:vAlign w:val="bottom"/>
          </w:tcPr>
          <w:p>
            <w:pPr>
              <w:spacing w:after="0"/>
              <w:rPr>
                <w:sz w:val="18"/>
                <w:szCs w:val="18"/>
                <w:color w:val="auto"/>
              </w:rPr>
            </w:pPr>
          </w:p>
        </w:tc>
        <w:tc>
          <w:tcPr>
            <w:tcW w:w="880" w:type="dxa"/>
            <w:vAlign w:val="bottom"/>
            <w:tcBorders>
              <w:top w:val="single" w:sz="8" w:color="auto"/>
            </w:tcBorders>
          </w:tcPr>
          <w:p>
            <w:pPr>
              <w:jc w:val="right"/>
              <w:ind w:right="726"/>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2,021</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2,219</w:t>
            </w:r>
          </w:p>
        </w:tc>
        <w:tc>
          <w:tcPr>
            <w:tcW w:w="28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Supply and Logistics</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462</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Adjusted other income/(expense), net</w:t>
            </w: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CCEEFF"/>
              <w:bottom w:val="single" w:sz="8" w:color="CCEEFF"/>
            </w:tcBorders>
            <w:shd w:val="clear" w:color="auto" w:fill="CCEEFF"/>
          </w:tcPr>
          <w:p>
            <w:pPr>
              <w:spacing w:after="0" w:line="210" w:lineRule="exact"/>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23"/>
                <w:szCs w:val="23"/>
                <w:b w:val="1"/>
                <w:bCs w:val="1"/>
                <w:color w:val="auto"/>
                <w:vertAlign w:val="superscript"/>
              </w:rPr>
              <w:t>(1)</w:t>
            </w: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726"/>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2,082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2,684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2,750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vMerge w:val="restart"/>
          </w:tcPr>
          <w:p>
            <w:pPr>
              <w:ind w:left="160"/>
              <w:spacing w:after="0" w:line="236"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3"/>
                <w:szCs w:val="23"/>
                <w:color w:val="auto"/>
                <w:vertAlign w:val="superscript"/>
              </w:rPr>
              <w:t>(2)</w:t>
            </w:r>
          </w:p>
        </w:tc>
        <w:tc>
          <w:tcPr>
            <w:tcW w:w="8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80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(483)</w:t>
            </w:r>
          </w:p>
        </w:tc>
        <w:tc>
          <w:tcPr>
            <w:tcW w:w="2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(419)</w:t>
            </w:r>
          </w:p>
        </w:tc>
        <w:tc>
          <w:tcPr>
            <w:tcW w:w="2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(400)</w:t>
            </w: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Maintenance capital</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(247)</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Current income tax expense</w:t>
            </w: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Pr>
          <w:p>
            <w:pPr>
              <w:spacing w:after="0" w:line="210" w:lineRule="exact"/>
              <w:rPr>
                <w:sz w:val="20"/>
                <w:szCs w:val="20"/>
                <w:color w:val="auto"/>
              </w:rPr>
            </w:pPr>
            <w:r>
              <w:rPr>
                <w:rFonts w:ascii="Arial" w:cs="Arial" w:eastAsia="Arial" w:hAnsi="Arial"/>
                <w:sz w:val="18"/>
                <w:szCs w:val="18"/>
                <w:b w:val="1"/>
                <w:bCs w:val="1"/>
                <w:color w:val="auto"/>
              </w:rPr>
              <w:t xml:space="preserve">Implied DCF </w:t>
            </w:r>
            <w:r>
              <w:rPr>
                <w:rFonts w:ascii="Arial" w:cs="Arial" w:eastAsia="Arial" w:hAnsi="Arial"/>
                <w:sz w:val="23"/>
                <w:szCs w:val="23"/>
                <w:b w:val="1"/>
                <w:bCs w:val="1"/>
                <w:color w:val="auto"/>
                <w:vertAlign w:val="superscript"/>
              </w:rPr>
              <w:t>(1)</w:t>
            </w:r>
          </w:p>
        </w:tc>
        <w:tc>
          <w:tcPr>
            <w:tcW w:w="800" w:type="dxa"/>
            <w:vAlign w:val="bottom"/>
          </w:tcPr>
          <w:p>
            <w:pPr>
              <w:spacing w:after="0"/>
              <w:rPr>
                <w:sz w:val="18"/>
                <w:szCs w:val="18"/>
                <w:color w:val="auto"/>
              </w:rPr>
            </w:pPr>
          </w:p>
        </w:tc>
        <w:tc>
          <w:tcPr>
            <w:tcW w:w="880" w:type="dxa"/>
            <w:vAlign w:val="bottom"/>
            <w:tcBorders>
              <w:top w:val="single" w:sz="8" w:color="auto"/>
            </w:tcBorders>
          </w:tcPr>
          <w:p>
            <w:pPr>
              <w:jc w:val="right"/>
              <w:ind w:right="726"/>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1,312</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1,948</w:t>
            </w:r>
          </w:p>
        </w:tc>
        <w:tc>
          <w:tcPr>
            <w:tcW w:w="28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2,075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Preferred unit distributions paid </w:t>
            </w:r>
            <w:r>
              <w:rPr>
                <w:rFonts w:ascii="Arial" w:cs="Arial" w:eastAsia="Arial" w:hAnsi="Arial"/>
                <w:sz w:val="23"/>
                <w:szCs w:val="23"/>
                <w:color w:val="auto"/>
                <w:vertAlign w:val="superscript"/>
              </w:rPr>
              <w:t>(3)</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Implied DCF Available to Common Unitholders</w:t>
            </w:r>
          </w:p>
        </w:tc>
        <w:tc>
          <w:tcPr>
            <w:tcW w:w="800" w:type="dxa"/>
            <w:vAlign w:val="bottom"/>
            <w:tcBorders>
              <w:bottom w:val="single" w:sz="8" w:color="CCEEFF"/>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726"/>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1,307</w:t>
            </w:r>
          </w:p>
        </w:tc>
        <w:tc>
          <w:tcPr>
            <w:tcW w:w="2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1,787</w:t>
            </w:r>
          </w:p>
        </w:tc>
        <w:tc>
          <w:tcPr>
            <w:tcW w:w="2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1,875</w:t>
            </w: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line="216" w:lineRule="exact"/>
              <w:rPr>
                <w:sz w:val="20"/>
                <w:szCs w:val="20"/>
                <w:color w:val="auto"/>
              </w:rPr>
            </w:pPr>
            <w:r>
              <w:rPr>
                <w:rFonts w:ascii="Arial" w:cs="Arial" w:eastAsia="Arial" w:hAnsi="Arial"/>
                <w:sz w:val="18"/>
                <w:szCs w:val="18"/>
                <w:b w:val="1"/>
                <w:bCs w:val="1"/>
                <w:color w:val="auto"/>
              </w:rPr>
              <w:t xml:space="preserve">Implied DCF per Common Unit </w:t>
            </w:r>
            <w:r>
              <w:rPr>
                <w:rFonts w:ascii="Arial" w:cs="Arial" w:eastAsia="Arial" w:hAnsi="Arial"/>
                <w:sz w:val="23"/>
                <w:szCs w:val="23"/>
                <w:b w:val="1"/>
                <w:bCs w:val="1"/>
                <w:color w:val="auto"/>
                <w:vertAlign w:val="superscript"/>
              </w:rPr>
              <w:t>(1)</w:t>
            </w:r>
          </w:p>
        </w:tc>
        <w:tc>
          <w:tcPr>
            <w:tcW w:w="1680" w:type="dxa"/>
            <w:vAlign w:val="bottom"/>
            <w:gridSpan w:val="2"/>
          </w:tcPr>
          <w:p>
            <w:pPr>
              <w:jc w:val="right"/>
              <w:ind w:right="726"/>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1.82</w:t>
            </w: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2.46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Implied DCF per Common Unit and Common Equivalent Unit </w:t>
            </w:r>
            <w:r>
              <w:rPr>
                <w:rFonts w:ascii="Arial" w:cs="Arial" w:eastAsia="Arial" w:hAnsi="Arial"/>
                <w:sz w:val="23"/>
                <w:szCs w:val="23"/>
                <w:b w:val="1"/>
                <w:bCs w:val="1"/>
                <w:color w:val="auto"/>
                <w:vertAlign w:val="superscript"/>
              </w:rPr>
              <w:t>(1)</w:t>
            </w:r>
          </w:p>
        </w:tc>
        <w:tc>
          <w:tcPr>
            <w:tcW w:w="1680" w:type="dxa"/>
            <w:vAlign w:val="bottom"/>
            <w:gridSpan w:val="2"/>
            <w:shd w:val="clear" w:color="auto" w:fill="CCEEFF"/>
          </w:tcPr>
          <w:p>
            <w:pPr>
              <w:jc w:val="right"/>
              <w:ind w:right="726"/>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1.67</w:t>
            </w:r>
          </w:p>
        </w:tc>
        <w:tc>
          <w:tcPr>
            <w:tcW w:w="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Diluted Adjusted Net Income per Common Unit </w:t>
            </w:r>
            <w:r>
              <w:rPr>
                <w:rFonts w:ascii="Arial" w:cs="Arial" w:eastAsia="Arial" w:hAnsi="Arial"/>
                <w:sz w:val="23"/>
                <w:szCs w:val="23"/>
                <w:b w:val="1"/>
                <w:bCs w:val="1"/>
                <w:color w:val="auto"/>
                <w:vertAlign w:val="superscript"/>
              </w:rPr>
              <w:t>(1)</w:t>
            </w:r>
          </w:p>
        </w:tc>
        <w:tc>
          <w:tcPr>
            <w:tcW w:w="1680" w:type="dxa"/>
            <w:vAlign w:val="bottom"/>
            <w:gridSpan w:val="2"/>
            <w:shd w:val="clear" w:color="auto" w:fill="CCEEFF"/>
          </w:tcPr>
          <w:p>
            <w:pPr>
              <w:jc w:val="right"/>
              <w:ind w:right="726"/>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w:t>
            </w:r>
          </w:p>
        </w:tc>
        <w:tc>
          <w:tcPr>
            <w:tcW w:w="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Data</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b w:val="1"/>
                <w:bCs w:val="1"/>
                <w:color w:val="auto"/>
              </w:rPr>
              <w:t>Transportation</w:t>
            </w: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daily volumes (MBbls/d)</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5,186</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5,889</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Segment Adjusted EBITDA per barrel</w:t>
            </w:r>
          </w:p>
        </w:tc>
        <w:tc>
          <w:tcPr>
            <w:tcW w:w="1680" w:type="dxa"/>
            <w:vAlign w:val="bottom"/>
            <w:gridSpan w:val="2"/>
          </w:tcPr>
          <w:p>
            <w:pPr>
              <w:jc w:val="right"/>
              <w:ind w:right="726"/>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0.68</w:t>
            </w: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0.70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b w:val="1"/>
                <w:bCs w:val="1"/>
                <w:color w:val="auto"/>
              </w:rPr>
              <w:t>Facilities</w:t>
            </w: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capacity (MMBbls/Mo)</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Segment Adjusted EBITDA per barrel</w:t>
            </w:r>
          </w:p>
        </w:tc>
        <w:tc>
          <w:tcPr>
            <w:tcW w:w="1680" w:type="dxa"/>
            <w:vAlign w:val="bottom"/>
            <w:gridSpan w:val="2"/>
          </w:tcPr>
          <w:p>
            <w:pPr>
              <w:jc w:val="right"/>
              <w:ind w:right="726"/>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0.47</w:t>
            </w: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0.48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b w:val="1"/>
                <w:bCs w:val="1"/>
                <w:color w:val="auto"/>
              </w:rPr>
              <w:t>Supply and Logistics</w:t>
            </w: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daily volumes (MBbls/d)</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1,219</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1,309</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Segment Adjusted EBITDA per barrel</w:t>
            </w:r>
          </w:p>
        </w:tc>
        <w:tc>
          <w:tcPr>
            <w:tcW w:w="1680" w:type="dxa"/>
            <w:vAlign w:val="bottom"/>
            <w:gridSpan w:val="2"/>
          </w:tcPr>
          <w:p>
            <w:pPr>
              <w:jc w:val="right"/>
              <w:ind w:right="726"/>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0.13</w:t>
            </w: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0.97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Expansion Capital</w:t>
            </w:r>
          </w:p>
        </w:tc>
        <w:tc>
          <w:tcPr>
            <w:tcW w:w="1680" w:type="dxa"/>
            <w:vAlign w:val="bottom"/>
            <w:gridSpan w:val="2"/>
          </w:tcPr>
          <w:p>
            <w:pPr>
              <w:jc w:val="right"/>
              <w:ind w:right="726"/>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1,135</w:t>
            </w:r>
          </w:p>
        </w:tc>
        <w:tc>
          <w:tcPr>
            <w:tcW w:w="240" w:type="dxa"/>
            <w:vAlign w:val="bottom"/>
          </w:tcPr>
          <w:p>
            <w:pPr>
              <w:spacing w:after="0"/>
              <w:rPr>
                <w:sz w:val="18"/>
                <w:szCs w:val="18"/>
                <w:color w:val="auto"/>
              </w:rPr>
            </w:pPr>
          </w:p>
        </w:tc>
        <w:tc>
          <w:tcPr>
            <w:tcW w:w="3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1,888</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First-Quarter Adjusted EBITDA as Percentage of Full Year</w:t>
            </w: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25%</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22%</w:t>
            </w:r>
          </w:p>
        </w:tc>
        <w:tc>
          <w:tcPr>
            <w:tcW w:w="28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8268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(G)  2019 Guidance forecasts are intended to be + / - amounts.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3" w:lineRule="exact"/>
        <w:rPr>
          <w:sz w:val="20"/>
          <w:szCs w:val="20"/>
          <w:color w:val="auto"/>
        </w:rPr>
      </w:pPr>
    </w:p>
    <w:p>
      <w:pPr>
        <w:ind w:left="2280"/>
        <w:spacing w:after="0"/>
        <w:tabs>
          <w:tab w:leader="none" w:pos="4780" w:val="left"/>
          <w:tab w:leader="none" w:pos="69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Page 5</w:t>
      </w:r>
    </w:p>
    <w:p>
      <w:pPr>
        <w:spacing w:after="0" w:line="225" w:lineRule="exact"/>
        <w:rPr>
          <w:sz w:val="20"/>
          <w:szCs w:val="20"/>
          <w:color w:val="auto"/>
        </w:rPr>
      </w:pPr>
    </w:p>
    <w:p>
      <w:pPr>
        <w:ind w:left="340" w:right="40" w:hanging="332"/>
        <w:spacing w:after="0" w:line="257" w:lineRule="auto"/>
        <w:tabs>
          <w:tab w:leader="none" w:pos="328" w:val="left"/>
        </w:tabs>
        <w:numPr>
          <w:ilvl w:val="0"/>
          <w:numId w:val="4"/>
        </w:numPr>
        <w:rPr>
          <w:rFonts w:ascii="Arial" w:cs="Arial" w:eastAsia="Arial" w:hAnsi="Arial"/>
          <w:sz w:val="22"/>
          <w:szCs w:val="22"/>
          <w:color w:val="auto"/>
          <w:vertAlign w:val="superscript"/>
        </w:rPr>
      </w:pPr>
      <w:r>
        <w:rPr>
          <w:rFonts w:ascii="Arial" w:cs="Arial" w:eastAsia="Arial" w:hAnsi="Arial"/>
          <w:sz w:val="17"/>
          <w:szCs w:val="17"/>
          <w:color w:val="auto"/>
        </w:rPr>
        <w:t>See the section of this release entitled “Non-GAAP Financial Measures and Selected Items Impacting Comparability” and the Non-GAAP Reconciliation tables attached hereto for information regarding non-GAAP financial measures and, for the historical 2017 and 2018 periods, their reconciliation to the most directly comparable measures as reported in accordance with GAAP. We do not provide a reconciliation of non-GAAP financial measures to the equivalent GAAP financial measures on a forward-looking basis as it is impractical to forecast certain items that we have defined as “Selected Items Impacting Comparability” without unreasonable effort, due to the uncertainty and inherent difficulty of predicting the occurrence and financial impact of and the periods in which such items may be recognized. Thus, a reconciliation of non-GAAP financial measures to the equivalent GAAP financial measures could result in disclosure that could be imprecise or potentially misleading.</w:t>
      </w:r>
    </w:p>
    <w:p>
      <w:pPr>
        <w:ind w:left="320" w:hanging="312"/>
        <w:spacing w:after="0" w:line="205" w:lineRule="auto"/>
        <w:tabs>
          <w:tab w:leader="none" w:pos="320" w:val="left"/>
        </w:tabs>
        <w:numPr>
          <w:ilvl w:val="0"/>
          <w:numId w:val="4"/>
        </w:numPr>
        <w:rPr>
          <w:rFonts w:ascii="Arial" w:cs="Arial" w:eastAsia="Arial" w:hAnsi="Arial"/>
          <w:sz w:val="22"/>
          <w:szCs w:val="22"/>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1" w:lineRule="exact"/>
        <w:rPr>
          <w:rFonts w:ascii="Arial" w:cs="Arial" w:eastAsia="Arial" w:hAnsi="Arial"/>
          <w:sz w:val="22"/>
          <w:szCs w:val="22"/>
          <w:color w:val="auto"/>
          <w:vertAlign w:val="superscript"/>
        </w:rPr>
      </w:pPr>
    </w:p>
    <w:p>
      <w:pPr>
        <w:jc w:val="both"/>
        <w:ind w:left="340" w:right="100" w:hanging="332"/>
        <w:spacing w:after="0" w:line="236" w:lineRule="auto"/>
        <w:tabs>
          <w:tab w:leader="none" w:pos="328"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to our preferred unitholders during the year presented. The distribution requirement of our Series A preferred units was paid-in-kind for all 2017 quarterly distributions and for the February 2018 quarterly distribution. Distributions on our Series A preferred units were paid in cash beginning with the May 2018 quarterly distribution. The distribution requirement of our Series B preferred units, which were issued in October 2017, is payable semi-annually in arrears on May 15 and November 15. A pro-rated initial distribution on the Series B preferred units was paid on November 15, 2017.</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w:t>
      </w:r>
    </w:p>
    <w:p>
      <w:pPr>
        <w:spacing w:after="0" w:line="229" w:lineRule="exact"/>
        <w:rPr>
          <w:sz w:val="20"/>
          <w:szCs w:val="20"/>
          <w:color w:val="auto"/>
        </w:rPr>
      </w:pPr>
    </w:p>
    <w:p>
      <w:pPr>
        <w:jc w:val="both"/>
        <w:ind w:right="320" w:firstLine="648"/>
        <w:spacing w:after="0" w:line="286" w:lineRule="auto"/>
        <w:rPr>
          <w:sz w:val="20"/>
          <w:szCs w:val="20"/>
          <w:color w:val="auto"/>
        </w:rPr>
      </w:pPr>
      <w:r>
        <w:rPr>
          <w:rFonts w:ascii="Arial" w:cs="Arial" w:eastAsia="Arial" w:hAnsi="Arial"/>
          <w:sz w:val="17"/>
          <w:szCs w:val="17"/>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included at the end of this release. Information regarding PAGP’s distributions is reflected below:</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Q4 2018</w:t>
            </w:r>
          </w:p>
        </w:tc>
        <w:tc>
          <w:tcPr>
            <w:tcW w:w="240" w:type="dxa"/>
            <w:vAlign w:val="bottom"/>
          </w:tcPr>
          <w:p>
            <w:pPr>
              <w:spacing w:after="0"/>
              <w:rPr>
                <w:sz w:val="14"/>
                <w:szCs w:val="14"/>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Q3 2018</w:t>
            </w:r>
          </w:p>
        </w:tc>
        <w:tc>
          <w:tcPr>
            <w:tcW w:w="26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Q4 2017</w:t>
            </w: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Distribution per Class A share declared for the period</w:t>
            </w: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8"/>
                <w:szCs w:val="18"/>
                <w:b w:val="1"/>
                <w:bCs w:val="1"/>
                <w:color w:val="auto"/>
              </w:rPr>
              <w:t>Q4 2018 distribution percentage change from prior periods</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w w:val="93"/>
              </w:rPr>
              <w:t>—%</w:t>
            </w:r>
          </w:p>
        </w:tc>
      </w:tr>
      <w:tr>
        <w:trPr>
          <w:trHeight w:val="20"/>
        </w:trPr>
        <w:tc>
          <w:tcPr>
            <w:tcW w:w="6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PAA and PAGP will hold a joint conference call at 4:00 p.m. CT on Tuesday, February 5, 2019 to discuss the following items:</w:t>
      </w:r>
    </w:p>
    <w:p>
      <w:pPr>
        <w:spacing w:after="0" w:line="225" w:lineRule="exact"/>
        <w:rPr>
          <w:sz w:val="20"/>
          <w:szCs w:val="20"/>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PAA’s fourth-quarter and full-year 2018 performance;</w:t>
      </w:r>
    </w:p>
    <w:p>
      <w:pPr>
        <w:spacing w:after="0" w:line="23"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 and operating guidance for the full year of 2019;</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Capitalization and liquidity; and</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PAA and PAGP’s outlook for the future.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Webcast Instructions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To access the internet webcast please go to </w:t>
      </w:r>
      <w:r>
        <w:rPr>
          <w:rFonts w:ascii="Arial" w:cs="Arial" w:eastAsia="Arial" w:hAnsi="Arial"/>
          <w:sz w:val="18"/>
          <w:szCs w:val="18"/>
          <w:u w:val="single" w:color="auto"/>
          <w:color w:val="auto"/>
        </w:rPr>
        <w:t>https://event.webcasts.com/starthere.jsp?ei=1226801&amp;tp_key=b7b2e5a458</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Alternatively, the webcast can be accessed at www.plainsallamerican.com, under the Investor Relations section of the website (Navigate to: Investor Relations / either “PAA” or “PAGP” / News &amp; Events / Quarterly Earnings). Following the live webcast, an audio replay in MP3 format will be available on the website within two hours after the end of the call and will be accessible for a period of 365 days. A transcript will also be available after the call at the above referenced website.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3" w:lineRule="exact"/>
        <w:rPr>
          <w:sz w:val="20"/>
          <w:szCs w:val="20"/>
          <w:color w:val="auto"/>
        </w:rPr>
      </w:pPr>
    </w:p>
    <w:p>
      <w:pPr>
        <w:ind w:left="2280"/>
        <w:spacing w:after="0"/>
        <w:tabs>
          <w:tab w:leader="none" w:pos="4780" w:val="left"/>
          <w:tab w:leader="none" w:pos="69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Page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225"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earnings before interest, taxes, depreciation and amortization (including our proportionate share of depreciation and amortization and gains and losses on significant asset sales of unconsolidated entities), gains and losses on asset sales and asset impairments, and gains on sales of investments in unconsolidated entities, adjusted for certain selected items impacting comparability (“Adjusted EBITDA”) and implied distributable cash flow (“DCF”).</w:t>
      </w:r>
    </w:p>
    <w:p>
      <w:pPr>
        <w:spacing w:after="0" w:line="158"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or losses on derivative instruments that are related to underlying activities in another period (or the reversal of such adjustments from a prior period), the mark-to-market related to our Preferred Distribution Rate Reset Option,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on our Condensed Consolidated Financial Statements.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38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expansion projects and numerous other factors. These types of variations may not be separately identified in this release, but will be discussed, as applicable, in management’s discussion and analysis of operating results in our Annual Report on Form 10-K.</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definition and calculation of certain non-GAAP financial measures may not be comparable to similarly-titled measures of other companies. Adjusted EBITDA, Implied DCF and other non-GAAP financial performance measures are reconciled to Net Income (the most directly comparable measure as reported in accordance with GAAP) for the historical periods presented in the tables attached to this release, and should be viewed in addition to, and not in lieu of, our Condensed Consolidated Financial Statements and notes thereto. In addition, we encourage you to visit our website at www.plainsallamerican.com (in particular the section under “Financial Information” entitled “Non-GAAP Reconciliations” within the Investor Relations tab), which presents a reconciliation of our commonly used non-GAAP and supplemental financial measures.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3" w:lineRule="exact"/>
        <w:rPr>
          <w:sz w:val="20"/>
          <w:szCs w:val="20"/>
          <w:color w:val="auto"/>
        </w:rPr>
      </w:pPr>
    </w:p>
    <w:p>
      <w:pPr>
        <w:ind w:left="2280"/>
        <w:spacing w:after="0"/>
        <w:tabs>
          <w:tab w:leader="none" w:pos="4780" w:val="left"/>
          <w:tab w:leader="none" w:pos="69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Page 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declines in the actual or expected volume of crude oil and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 the effects of competition; market distortions caused by over-commitments to infrastructure projects, which impacts volumes, margins, returns and overall earnings; unanticipated changes in crude oil and NGL market structure, grade differentials and volatility (or lack thereof); environmental liabilities or events that are not covered by an indemnity, insurance or existing reserves; fluctuations in refinery capacity in areas supplied by our mainlines and other factors affecting demand for various grades of crude oil, NGL and natural gas and resulting changes in pricing conditions or transportation throughput requirements; maintenance of our credit rating and ability to receive open credit from our suppliers and trade counterparties; the occurrence of a natural disaster, catastrophe, terrorist attack (including eco-terrorist attacks) or other event, including attacks on our electronic and computer systems; failure to implement or capitalize, or delays in implementing or capitalizing, on expansion projects, whether due to permitting delays, permitting withdrawals or other factors; shortages or cost increases of supplies, materials or labor; the impact of current and future laws, rulings, governmental regulations, accounting standards and statements, and related interpretations; the failure to consummate, or significant delay in consummating, sales of assets or interests as a part of our strategic divestiture program; 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 the availability of, and our ability to consummate, acquisition or combination opportunities; the successful integration and future performance of acquired assets or businesses and the risks associated with operating in lines of business that are distinct and separate from our historical operations; the currency exchange rate of the Canadian dollar; continued creditworthiness of, and performance by, our counterparties, including financial institutions and trading companies with which we do business; inability to recognize current revenue attributable to deficiency payments received from customers who fail to ship or move more than minimum contracted volumes until the related credits expire or are used; non-utilization of our assets and facilities; increased costs, or lack of availability, of insurance; weather interference with business operations or project construction, including the impact of extreme weather events or conditions; the effectiveness of our risk management activities; fluctuations in the debt and equity markets, including the price of our units at the time of vesting under our long-term incentive plans; risks related to the development and operation of our assets, including our ability to satisfy our contractual obligations to our customers; factors affecting demand for natural gas and natural gas storage services and rates;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as well as in the storage of natural gas and the processing, transportation, fractionation, storage and marketing of natural gas liquids as discussed in the Partnerships’ filings with the Securities and Exchange Commission.</w:t>
      </w:r>
    </w:p>
    <w:p>
      <w:pPr>
        <w:spacing w:after="0" w:line="38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Plains All American Pipeline, L.P. is a publicly traded master limited partnership that owns and operates midstream energy infrastructure and provides logistics services for crude oil, NGLs and natural gas. PAA owns an extensive network of pipeline transportation, terminalling, storage and gathering assets in key crude oil and NGL producing basins and transportation corridors and at major market hubs in the United States and Canada. On average, PAA handles more than 5 million barrels per day of crude oil and NGL in its Transportation segment. PAA is headquartered in Houston, Texas. More information is available at www.plainsallamerican.com.</w:t>
      </w:r>
    </w:p>
    <w:p>
      <w:pPr>
        <w:spacing w:after="0" w:line="18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Plains GP Holdings is a publicly traded entity that owns an indirect, non-economic controlling general partner interest in PAA and an indirect limited partner interest in PAA, one of the largest energy infrastructure and logistics companies in North America. PAGP is headquartered in Houston, Texas. More information is available at www.plainsallamerican.com.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3" w:lineRule="exact"/>
        <w:rPr>
          <w:sz w:val="20"/>
          <w:szCs w:val="20"/>
          <w:color w:val="auto"/>
        </w:rPr>
      </w:pPr>
    </w:p>
    <w:p>
      <w:pPr>
        <w:ind w:left="2280"/>
        <w:spacing w:after="0"/>
        <w:tabs>
          <w:tab w:leader="none" w:pos="4780" w:val="left"/>
          <w:tab w:leader="none" w:pos="69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Page 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360" w:type="dxa"/>
            <w:vAlign w:val="bottom"/>
            <w:gridSpan w:val="5"/>
          </w:tcPr>
          <w:p>
            <w:pPr>
              <w:jc w:val="right"/>
              <w:ind w:right="245"/>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0" w:type="dxa"/>
            <w:vAlign w:val="bottom"/>
            <w:gridSpan w:val="7"/>
          </w:tcPr>
          <w:p>
            <w:pPr>
              <w:jc w:val="right"/>
              <w:ind w:right="80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465"/>
              <w:spacing w:after="0"/>
              <w:rPr>
                <w:sz w:val="20"/>
                <w:szCs w:val="20"/>
                <w:color w:val="auto"/>
              </w:rPr>
            </w:pPr>
            <w:r>
              <w:rPr>
                <w:rFonts w:ascii="Arial" w:cs="Arial" w:eastAsia="Arial" w:hAnsi="Arial"/>
                <w:sz w:val="14"/>
                <w:szCs w:val="14"/>
                <w:b w:val="1"/>
                <w:bCs w:val="1"/>
                <w:color w:val="auto"/>
              </w:rPr>
              <w:t>December 31,</w:t>
            </w:r>
          </w:p>
        </w:tc>
        <w:tc>
          <w:tcPr>
            <w:tcW w:w="4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392"/>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jc w:val="right"/>
              <w:ind w:right="391"/>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6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6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8,786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4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7,605</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34,055</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26,223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6,955</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6,746</w:t>
            </w:r>
          </w:p>
        </w:tc>
        <w:tc>
          <w:tcPr>
            <w:tcW w:w="2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29,793</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22,985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307</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316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3"/>
                <w:szCs w:val="23"/>
                <w:color w:val="auto"/>
                <w:vertAlign w:val="superscript"/>
              </w:rPr>
              <w:t>(1)</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line="216" w:lineRule="exact"/>
              <w:rPr>
                <w:sz w:val="20"/>
                <w:szCs w:val="20"/>
                <w:color w:val="auto"/>
              </w:rPr>
            </w:pPr>
            <w:r>
              <w:rPr>
                <w:rFonts w:ascii="Arial" w:cs="Arial" w:eastAsia="Arial" w:hAnsi="Arial"/>
                <w:sz w:val="18"/>
                <w:szCs w:val="18"/>
                <w:color w:val="auto"/>
              </w:rPr>
              <w:t xml:space="preserve">(Gains)/losses on asset sales and asset impairments, net </w:t>
            </w:r>
            <w:r>
              <w:rPr>
                <w:rFonts w:ascii="Arial" w:cs="Arial" w:eastAsia="Arial" w:hAnsi="Arial"/>
                <w:sz w:val="23"/>
                <w:szCs w:val="23"/>
                <w:color w:val="auto"/>
                <w:vertAlign w:val="superscript"/>
              </w:rPr>
              <w:t>(1)</w:t>
            </w: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94</w:t>
            </w:r>
          </w:p>
        </w:tc>
        <w:tc>
          <w:tcPr>
            <w:tcW w:w="2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costs and expenses</w:t>
            </w:r>
          </w:p>
        </w:tc>
        <w:tc>
          <w:tcPr>
            <w:tcW w:w="6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7,471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7,344</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31,778</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25,070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1,315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261</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INCOME/(EXPENSE)</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Equity earnings in unconsolidated entities</w:t>
            </w: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90</w:t>
            </w:r>
          </w:p>
        </w:tc>
        <w:tc>
          <w:tcPr>
            <w:tcW w:w="2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375</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Gain/(loss) on sale of investment in unconsolidated entities</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Interest expense, net</w:t>
            </w: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(120)</w:t>
            </w:r>
          </w:p>
        </w:tc>
        <w:tc>
          <w:tcPr>
            <w:tcW w:w="2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(431)</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1,280</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205</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(expense)/benefit</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1,117</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191</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6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1,117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4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UNIT:</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60"/>
              <w:spacing w:after="0"/>
              <w:rPr>
                <w:sz w:val="20"/>
                <w:szCs w:val="20"/>
                <w:color w:val="auto"/>
              </w:rPr>
            </w:pPr>
            <w:r>
              <w:rPr>
                <w:rFonts w:ascii="Arial" w:cs="Arial" w:eastAsia="Arial" w:hAnsi="Arial"/>
                <w:sz w:val="18"/>
                <w:szCs w:val="18"/>
                <w:color w:val="auto"/>
              </w:rPr>
              <w:t>Net income allocated to common unitholders — Basic</w:t>
            </w:r>
          </w:p>
        </w:tc>
        <w:tc>
          <w:tcPr>
            <w:tcW w:w="1420" w:type="dxa"/>
            <w:vAlign w:val="bottom"/>
            <w:gridSpan w:val="2"/>
          </w:tcPr>
          <w:p>
            <w:pPr>
              <w:jc w:val="right"/>
              <w:ind w:right="667"/>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1,063</w:t>
            </w:r>
          </w:p>
        </w:tc>
        <w:tc>
          <w:tcPr>
            <w:tcW w:w="920" w:type="dxa"/>
            <w:vAlign w:val="bottom"/>
            <w:gridSpan w:val="2"/>
          </w:tcPr>
          <w:p>
            <w:pPr>
              <w:jc w:val="right"/>
              <w:ind w:right="64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138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2,009</w:t>
            </w:r>
          </w:p>
        </w:tc>
        <w:tc>
          <w:tcPr>
            <w:tcW w:w="280" w:type="dxa"/>
            <w:vAlign w:val="bottom"/>
          </w:tcPr>
          <w:p>
            <w:pPr>
              <w:spacing w:after="0"/>
              <w:rPr>
                <w:sz w:val="18"/>
                <w:szCs w:val="18"/>
                <w:color w:val="auto"/>
              </w:rPr>
            </w:pPr>
          </w:p>
        </w:tc>
        <w:tc>
          <w:tcPr>
            <w:tcW w:w="380" w:type="dxa"/>
            <w:vAlign w:val="bottom"/>
            <w:gridSpan w:val="2"/>
          </w:tcPr>
          <w:p>
            <w:pPr>
              <w:jc w:val="right"/>
              <w:ind w:right="205"/>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weighted average common units outstanding</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726</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725</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840" w:type="dxa"/>
            <w:vAlign w:val="bottom"/>
          </w:tcPr>
          <w:p>
            <w:pPr>
              <w:ind w:left="160"/>
              <w:spacing w:after="0"/>
              <w:rPr>
                <w:sz w:val="20"/>
                <w:szCs w:val="20"/>
                <w:color w:val="auto"/>
              </w:rPr>
            </w:pPr>
            <w:r>
              <w:rPr>
                <w:rFonts w:ascii="Arial" w:cs="Arial" w:eastAsia="Arial" w:hAnsi="Arial"/>
                <w:sz w:val="18"/>
                <w:szCs w:val="18"/>
                <w:color w:val="auto"/>
              </w:rPr>
              <w:t>Basic net income per common unit</w:t>
            </w:r>
          </w:p>
        </w:tc>
        <w:tc>
          <w:tcPr>
            <w:tcW w:w="1420" w:type="dxa"/>
            <w:vAlign w:val="bottom"/>
            <w:gridSpan w:val="2"/>
          </w:tcPr>
          <w:p>
            <w:pPr>
              <w:jc w:val="right"/>
              <w:ind w:right="667"/>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1.46</w:t>
            </w:r>
          </w:p>
        </w:tc>
        <w:tc>
          <w:tcPr>
            <w:tcW w:w="920" w:type="dxa"/>
            <w:vAlign w:val="bottom"/>
            <w:gridSpan w:val="2"/>
          </w:tcPr>
          <w:p>
            <w:pPr>
              <w:jc w:val="right"/>
              <w:ind w:right="64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0.19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2.77</w:t>
            </w:r>
          </w:p>
        </w:tc>
        <w:tc>
          <w:tcPr>
            <w:tcW w:w="380" w:type="dxa"/>
            <w:vAlign w:val="bottom"/>
            <w:gridSpan w:val="2"/>
          </w:tcPr>
          <w:p>
            <w:pPr>
              <w:jc w:val="right"/>
              <w:ind w:right="205"/>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0.96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8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60"/>
              <w:spacing w:after="0"/>
              <w:rPr>
                <w:sz w:val="20"/>
                <w:szCs w:val="20"/>
                <w:color w:val="auto"/>
              </w:rPr>
            </w:pPr>
            <w:r>
              <w:rPr>
                <w:rFonts w:ascii="Arial" w:cs="Arial" w:eastAsia="Arial" w:hAnsi="Arial"/>
                <w:sz w:val="18"/>
                <w:szCs w:val="18"/>
                <w:color w:val="auto"/>
              </w:rPr>
              <w:t>Net income allocated to common unitholders — Diluted</w:t>
            </w:r>
          </w:p>
        </w:tc>
        <w:tc>
          <w:tcPr>
            <w:tcW w:w="1420" w:type="dxa"/>
            <w:vAlign w:val="bottom"/>
            <w:gridSpan w:val="2"/>
          </w:tcPr>
          <w:p>
            <w:pPr>
              <w:jc w:val="right"/>
              <w:ind w:right="667"/>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1,104</w:t>
            </w:r>
          </w:p>
        </w:tc>
        <w:tc>
          <w:tcPr>
            <w:tcW w:w="920" w:type="dxa"/>
            <w:vAlign w:val="bottom"/>
            <w:gridSpan w:val="2"/>
          </w:tcPr>
          <w:p>
            <w:pPr>
              <w:jc w:val="right"/>
              <w:ind w:right="64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138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2,164</w:t>
            </w:r>
          </w:p>
        </w:tc>
        <w:tc>
          <w:tcPr>
            <w:tcW w:w="280" w:type="dxa"/>
            <w:vAlign w:val="bottom"/>
          </w:tcPr>
          <w:p>
            <w:pPr>
              <w:spacing w:after="0"/>
              <w:rPr>
                <w:sz w:val="18"/>
                <w:szCs w:val="18"/>
                <w:color w:val="auto"/>
              </w:rPr>
            </w:pPr>
          </w:p>
        </w:tc>
        <w:tc>
          <w:tcPr>
            <w:tcW w:w="380" w:type="dxa"/>
            <w:vAlign w:val="bottom"/>
            <w:gridSpan w:val="2"/>
          </w:tcPr>
          <w:p>
            <w:pPr>
              <w:jc w:val="right"/>
              <w:ind w:right="205"/>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weighted average common units outstanding</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799</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726</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60"/>
              <w:spacing w:after="0"/>
              <w:rPr>
                <w:sz w:val="20"/>
                <w:szCs w:val="20"/>
                <w:color w:val="auto"/>
              </w:rPr>
            </w:pPr>
            <w:r>
              <w:rPr>
                <w:rFonts w:ascii="Arial" w:cs="Arial" w:eastAsia="Arial" w:hAnsi="Arial"/>
                <w:sz w:val="18"/>
                <w:szCs w:val="18"/>
                <w:color w:val="auto"/>
              </w:rPr>
              <w:t>Diluted net income per common unit</w:t>
            </w:r>
          </w:p>
        </w:tc>
        <w:tc>
          <w:tcPr>
            <w:tcW w:w="1420" w:type="dxa"/>
            <w:vAlign w:val="bottom"/>
            <w:gridSpan w:val="2"/>
          </w:tcPr>
          <w:p>
            <w:pPr>
              <w:jc w:val="right"/>
              <w:ind w:right="667"/>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1.38</w:t>
            </w:r>
          </w:p>
        </w:tc>
        <w:tc>
          <w:tcPr>
            <w:tcW w:w="920" w:type="dxa"/>
            <w:vAlign w:val="bottom"/>
            <w:gridSpan w:val="2"/>
          </w:tcPr>
          <w:p>
            <w:pPr>
              <w:jc w:val="right"/>
              <w:ind w:right="64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0.19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2.71</w:t>
            </w:r>
          </w:p>
        </w:tc>
        <w:tc>
          <w:tcPr>
            <w:tcW w:w="380" w:type="dxa"/>
            <w:vAlign w:val="bottom"/>
            <w:gridSpan w:val="2"/>
          </w:tcPr>
          <w:p>
            <w:pPr>
              <w:jc w:val="right"/>
              <w:ind w:right="205"/>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160" w:hanging="332"/>
        <w:spacing w:after="0" w:line="267" w:lineRule="auto"/>
        <w:tabs>
          <w:tab w:leader="none" w:pos="328"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Effective for the fourth quarter of 2018, we reclassified amounts related to gains and losses on asset sales and asset impairments from “Depreciation and amortization” to “(Gains)/losses on asset sales and asset impairments, net” on our Condensed Consolidated Statements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ADJUSTED RESULTS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20" w:type="dxa"/>
            <w:vAlign w:val="bottom"/>
            <w:gridSpan w:val="4"/>
          </w:tcPr>
          <w:p>
            <w:pPr>
              <w:jc w:val="right"/>
              <w:ind w:right="285"/>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0" w:type="dxa"/>
            <w:vAlign w:val="bottom"/>
            <w:gridSpan w:val="6"/>
          </w:tcPr>
          <w:p>
            <w:pPr>
              <w:ind w:left="420"/>
              <w:spacing w:after="0"/>
              <w:rPr>
                <w:sz w:val="20"/>
                <w:szCs w:val="20"/>
                <w:color w:val="auto"/>
              </w:rPr>
            </w:pPr>
            <w:r>
              <w:rPr>
                <w:rFonts w:ascii="Arial" w:cs="Arial" w:eastAsia="Arial" w:hAnsi="Arial"/>
                <w:sz w:val="14"/>
                <w:szCs w:val="14"/>
                <w:b w:val="1"/>
                <w:bCs w:val="1"/>
                <w:color w:val="auto"/>
              </w:rPr>
              <w:t>Twelve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505"/>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ind w:right="419"/>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1020" w:type="dxa"/>
            <w:vAlign w:val="bottom"/>
            <w:gridSpan w:val="2"/>
          </w:tcPr>
          <w:p>
            <w:pPr>
              <w:jc w:val="right"/>
              <w:ind w:right="5"/>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399"/>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jc w:val="right"/>
              <w:ind w:right="39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income attributable to PAA</w:t>
            </w: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8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Diluted adjusted net income per common unit</w:t>
            </w:r>
          </w:p>
        </w:tc>
        <w:tc>
          <w:tcPr>
            <w:tcW w:w="11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0.80</w:t>
            </w:r>
          </w:p>
        </w:tc>
        <w:tc>
          <w:tcPr>
            <w:tcW w:w="1020" w:type="dxa"/>
            <w:vAlign w:val="bottom"/>
            <w:gridSpan w:val="2"/>
            <w:shd w:val="clear" w:color="auto" w:fill="CCEEFF"/>
          </w:tcPr>
          <w:p>
            <w:pPr>
              <w:jc w:val="right"/>
              <w:ind w:right="685"/>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w:t>
            </w:r>
          </w:p>
        </w:tc>
        <w:tc>
          <w:tcPr>
            <w:tcW w:w="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1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949</w:t>
            </w:r>
          </w:p>
        </w:tc>
        <w:tc>
          <w:tcPr>
            <w:tcW w:w="1020" w:type="dxa"/>
            <w:vAlign w:val="bottom"/>
            <w:gridSpan w:val="2"/>
            <w:shd w:val="clear" w:color="auto" w:fill="CCEEFF"/>
          </w:tcPr>
          <w:p>
            <w:pPr>
              <w:jc w:val="right"/>
              <w:ind w:right="685"/>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jc w:val="right"/>
              <w:ind w:right="840"/>
              <w:spacing w:after="0"/>
              <w:rPr>
                <w:sz w:val="20"/>
                <w:szCs w:val="20"/>
                <w:color w:val="auto"/>
              </w:rPr>
            </w:pPr>
            <w:r>
              <w:rPr>
                <w:rFonts w:ascii="Arial" w:cs="Arial" w:eastAsia="Arial" w:hAnsi="Arial"/>
                <w:sz w:val="18"/>
                <w:szCs w:val="18"/>
                <w:color w:val="auto"/>
              </w:rPr>
              <w:t>- more -</w:t>
            </w: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60" w:type="dxa"/>
            <w:vAlign w:val="bottom"/>
          </w:tcPr>
          <w:p>
            <w:pPr>
              <w:ind w:left="2260"/>
              <w:spacing w:after="0"/>
              <w:rPr>
                <w:sz w:val="20"/>
                <w:szCs w:val="20"/>
                <w:color w:val="auto"/>
              </w:rPr>
            </w:pPr>
            <w:r>
              <w:rPr>
                <w:rFonts w:ascii="Arial" w:cs="Arial" w:eastAsia="Arial" w:hAnsi="Arial"/>
                <w:sz w:val="18"/>
                <w:szCs w:val="18"/>
                <w:b w:val="1"/>
                <w:bCs w:val="1"/>
                <w:color w:val="auto"/>
                <w:w w:val="99"/>
              </w:rPr>
              <w:t>333 Clay Street, Suite 1600</w:t>
            </w:r>
          </w:p>
        </w:tc>
        <w:tc>
          <w:tcPr>
            <w:tcW w:w="226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Houston, Texas 77002</w:t>
            </w:r>
          </w:p>
        </w:tc>
        <w:tc>
          <w:tcPr>
            <w:tcW w:w="2940" w:type="dxa"/>
            <w:vAlign w:val="bottom"/>
            <w:gridSpan w:val="6"/>
          </w:tcPr>
          <w:p>
            <w:pPr>
              <w:jc w:val="right"/>
              <w:ind w:right="559"/>
              <w:spacing w:after="0"/>
              <w:rPr>
                <w:sz w:val="20"/>
                <w:szCs w:val="20"/>
                <w:color w:val="auto"/>
              </w:rPr>
            </w:pPr>
            <w:r>
              <w:rPr>
                <w:rFonts w:ascii="Arial" w:cs="Arial" w:eastAsia="Arial" w:hAnsi="Arial"/>
                <w:sz w:val="18"/>
                <w:szCs w:val="18"/>
                <w:b w:val="1"/>
                <w:bCs w:val="1"/>
                <w:color w:val="auto"/>
                <w:w w:val="95"/>
              </w:rPr>
              <w:t>713-646-4100 / 866-809-1291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808080"/>
            </w:tcBorders>
          </w:tcPr>
          <w:p>
            <w:pPr>
              <w:spacing w:after="0"/>
              <w:rPr>
                <w:sz w:val="24"/>
                <w:szCs w:val="24"/>
                <w:color w:val="auto"/>
              </w:rPr>
            </w:pPr>
          </w:p>
        </w:tc>
        <w:tc>
          <w:tcPr>
            <w:tcW w:w="45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Page 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3640" w:type="dxa"/>
            <w:vAlign w:val="bottom"/>
            <w:tcBorders>
              <w:bottom w:val="single" w:sz="8" w:color="CCEEFF"/>
            </w:tcBorders>
          </w:tcPr>
          <w:p>
            <w:pPr>
              <w:spacing w:after="0"/>
              <w:rPr>
                <w:sz w:val="14"/>
                <w:szCs w:val="14"/>
                <w:color w:val="auto"/>
              </w:rPr>
            </w:pPr>
          </w:p>
        </w:tc>
        <w:tc>
          <w:tcPr>
            <w:tcW w:w="18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00" w:type="dxa"/>
            <w:vAlign w:val="bottom"/>
            <w:gridSpan w:val="3"/>
          </w:tcPr>
          <w:p>
            <w:pPr>
              <w:ind w:left="184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3,533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14,787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2,521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2,566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1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2,702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Linefill and base gas</w:t>
            </w: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916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inventory</w:t>
            </w:r>
          </w:p>
        </w:tc>
        <w:tc>
          <w:tcPr>
            <w:tcW w:w="1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Other long-term assets, net</w:t>
            </w: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916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18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25,511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25,351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1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000" w:type="dxa"/>
            <w:vAlign w:val="bottom"/>
            <w:gridSpan w:val="3"/>
          </w:tcPr>
          <w:p>
            <w:pPr>
              <w:ind w:left="184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3,456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4,531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notes, net</w:t>
            </w:r>
          </w:p>
        </w:tc>
        <w:tc>
          <w:tcPr>
            <w:tcW w:w="1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8,941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Other long-term debt, net</w:t>
            </w: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202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1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910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gridSpan w:val="2"/>
          </w:tcPr>
          <w:p>
            <w:pPr>
              <w:ind w:left="160"/>
              <w:spacing w:after="0"/>
              <w:rPr>
                <w:sz w:val="20"/>
                <w:szCs w:val="20"/>
                <w:color w:val="auto"/>
              </w:rPr>
            </w:pPr>
            <w:r>
              <w:rPr>
                <w:rFonts w:ascii="Arial" w:cs="Arial" w:eastAsia="Arial" w:hAnsi="Arial"/>
                <w:sz w:val="18"/>
                <w:szCs w:val="18"/>
                <w:color w:val="auto"/>
              </w:rPr>
              <w:t>Total liabilities</w:t>
            </w: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13,509</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14,393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Partners’ capital</w:t>
            </w: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12,002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10,958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liabilities and partners’ capital</w:t>
            </w:r>
          </w:p>
        </w:tc>
        <w:tc>
          <w:tcPr>
            <w:tcW w:w="18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25,511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25,351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DEBT CAPITALIZATION RATIOS</w:t>
            </w: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460" w:type="dxa"/>
            <w:vAlign w:val="bottom"/>
            <w:gridSpan w:val="3"/>
            <w:vMerge w:val="continue"/>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36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6"/>
              </w:rPr>
              <w:t>December 31,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3640" w:type="dxa"/>
            <w:vAlign w:val="bottom"/>
            <w:tcBorders>
              <w:bottom w:val="single" w:sz="8" w:color="CCEEFF"/>
            </w:tcBorders>
          </w:tcPr>
          <w:p>
            <w:pPr>
              <w:spacing w:after="0"/>
              <w:rPr>
                <w:sz w:val="14"/>
                <w:szCs w:val="14"/>
                <w:color w:val="auto"/>
              </w:rPr>
            </w:pPr>
          </w:p>
        </w:tc>
        <w:tc>
          <w:tcPr>
            <w:tcW w:w="18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line="210" w:lineRule="exact"/>
              <w:rPr>
                <w:sz w:val="20"/>
                <w:szCs w:val="20"/>
                <w:color w:val="auto"/>
              </w:rPr>
            </w:pPr>
            <w:r>
              <w:rPr>
                <w:rFonts w:ascii="Arial" w:cs="Arial" w:eastAsia="Arial" w:hAnsi="Arial"/>
                <w:sz w:val="18"/>
                <w:szCs w:val="18"/>
                <w:color w:val="auto"/>
              </w:rPr>
              <w:t xml:space="preserve">Short-term debt </w:t>
            </w:r>
            <w:r>
              <w:rPr>
                <w:rFonts w:ascii="Arial" w:cs="Arial" w:eastAsia="Arial" w:hAnsi="Arial"/>
                <w:sz w:val="23"/>
                <w:szCs w:val="23"/>
                <w:color w:val="auto"/>
                <w:vertAlign w:val="superscript"/>
              </w:rPr>
              <w:t>(1)</w:t>
            </w:r>
          </w:p>
        </w:tc>
        <w:tc>
          <w:tcPr>
            <w:tcW w:w="18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9,143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9,183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debt</w:t>
            </w:r>
          </w:p>
        </w:tc>
        <w:tc>
          <w:tcPr>
            <w:tcW w:w="18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0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9,143</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Partners’ capital</w:t>
            </w: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12,002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10,958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book capitalization</w:t>
            </w:r>
          </w:p>
        </w:tc>
        <w:tc>
          <w:tcPr>
            <w:tcW w:w="18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gridSpan w:val="2"/>
            <w:vMerge w:val="restart"/>
          </w:tcPr>
          <w:p>
            <w:pPr>
              <w:ind w:left="340"/>
              <w:spacing w:after="0"/>
              <w:rPr>
                <w:sz w:val="20"/>
                <w:szCs w:val="20"/>
                <w:color w:val="auto"/>
              </w:rPr>
            </w:pPr>
            <w:r>
              <w:rPr>
                <w:rFonts w:ascii="Arial" w:cs="Arial" w:eastAsia="Arial" w:hAnsi="Arial"/>
                <w:sz w:val="18"/>
                <w:szCs w:val="18"/>
                <w:color w:val="auto"/>
              </w:rPr>
              <w:t>Total book capitalization, including short-term debt</w:t>
            </w:r>
          </w:p>
        </w:tc>
        <w:tc>
          <w:tcPr>
            <w:tcW w:w="1820" w:type="dxa"/>
            <w:vAlign w:val="bottom"/>
            <w:vMerge w:val="restart"/>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40" w:type="dxa"/>
            <w:vAlign w:val="bottom"/>
            <w:tcBorders>
              <w:bottom w:val="single" w:sz="8" w:color="CCEEFF"/>
            </w:tcBorders>
            <w:gridSpan w:val="2"/>
            <w:vMerge w:val="continue"/>
          </w:tcPr>
          <w:p>
            <w:pPr>
              <w:spacing w:after="0"/>
              <w:rPr>
                <w:sz w:val="20"/>
                <w:szCs w:val="20"/>
                <w:color w:val="auto"/>
              </w:rPr>
            </w:pPr>
          </w:p>
        </w:tc>
        <w:tc>
          <w:tcPr>
            <w:tcW w:w="18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21,211</w:t>
            </w:r>
          </w:p>
        </w:tc>
        <w:tc>
          <w:tcPr>
            <w:tcW w:w="6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gridSpan w:val="2"/>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20,878</w:t>
            </w:r>
          </w:p>
        </w:tc>
        <w:tc>
          <w:tcPr>
            <w:tcW w:w="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Long-term debt-to-total book capitalization</w:t>
            </w: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debt-to-total book capitalization, including short-term debt</w:t>
            </w:r>
          </w:p>
        </w:tc>
        <w:tc>
          <w:tcPr>
            <w:tcW w:w="1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220" w:hanging="332"/>
        <w:spacing w:after="0" w:line="227" w:lineRule="auto"/>
        <w:tabs>
          <w:tab w:leader="none" w:pos="328"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Includes borrowings for cash margin deposits with our clearing brokers, which are associated with financial derivatives used for hedging purposes, and for short-term hedged inventory purchases.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3" w:lineRule="exact"/>
        <w:rPr>
          <w:sz w:val="20"/>
          <w:szCs w:val="20"/>
          <w:color w:val="auto"/>
        </w:rPr>
      </w:pPr>
    </w:p>
    <w:p>
      <w:pPr>
        <w:ind w:left="2280"/>
        <w:spacing w:after="0"/>
        <w:tabs>
          <w:tab w:leader="none" w:pos="4780" w:val="left"/>
          <w:tab w:leader="none" w:pos="69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Page 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NET INCOME PER COMMON UNIT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0" w:type="dxa"/>
            <w:vAlign w:val="bottom"/>
            <w:gridSpan w:val="5"/>
          </w:tcPr>
          <w:p>
            <w:pPr>
              <w:jc w:val="right"/>
              <w:ind w:right="285"/>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505"/>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5"/>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39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jc w:val="right"/>
              <w:ind w:right="39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Income per Common Unit</w:t>
            </w:r>
          </w:p>
        </w:tc>
        <w:tc>
          <w:tcPr>
            <w:tcW w:w="8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1640" w:type="dxa"/>
            <w:vAlign w:val="bottom"/>
            <w:gridSpan w:val="2"/>
          </w:tcPr>
          <w:p>
            <w:pPr>
              <w:jc w:val="right"/>
              <w:ind w:right="667"/>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1,117</w:t>
            </w:r>
          </w:p>
        </w:tc>
        <w:tc>
          <w:tcPr>
            <w:tcW w:w="960" w:type="dxa"/>
            <w:vAlign w:val="bottom"/>
            <w:gridSpan w:val="2"/>
          </w:tcPr>
          <w:p>
            <w:pPr>
              <w:jc w:val="right"/>
              <w:ind w:right="685"/>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191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2,216</w:t>
            </w:r>
          </w:p>
        </w:tc>
        <w:tc>
          <w:tcPr>
            <w:tcW w:w="180" w:type="dxa"/>
            <w:vAlign w:val="bottom"/>
          </w:tcPr>
          <w:p>
            <w:pPr>
              <w:spacing w:after="0"/>
              <w:rPr>
                <w:sz w:val="18"/>
                <w:szCs w:val="18"/>
                <w:color w:val="auto"/>
              </w:rPr>
            </w:pP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Series A preferred unitholders</w:t>
            </w: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Distributions to Series B preferred unitholders</w:t>
            </w: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allocated to common unitholders</w:t>
            </w:r>
          </w:p>
        </w:tc>
        <w:tc>
          <w:tcPr>
            <w:tcW w:w="82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66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1,063</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68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2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Basic weighted average common units outstanding</w:t>
            </w: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725</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Basic net income per common unit</w:t>
            </w:r>
          </w:p>
        </w:tc>
        <w:tc>
          <w:tcPr>
            <w:tcW w:w="1640" w:type="dxa"/>
            <w:vAlign w:val="bottom"/>
            <w:gridSpan w:val="2"/>
          </w:tcPr>
          <w:p>
            <w:pPr>
              <w:jc w:val="right"/>
              <w:ind w:right="667"/>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1.46</w:t>
            </w:r>
          </w:p>
        </w:tc>
        <w:tc>
          <w:tcPr>
            <w:tcW w:w="960" w:type="dxa"/>
            <w:vAlign w:val="bottom"/>
            <w:gridSpan w:val="2"/>
          </w:tcPr>
          <w:p>
            <w:pPr>
              <w:jc w:val="right"/>
              <w:ind w:right="685"/>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0.19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2.77</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b w:val="1"/>
                <w:bCs w:val="1"/>
                <w:color w:val="auto"/>
              </w:rPr>
              <w:t>Diluted Net Income per Common Unit</w:t>
            </w: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1640" w:type="dxa"/>
            <w:vAlign w:val="bottom"/>
            <w:gridSpan w:val="2"/>
            <w:shd w:val="clear" w:color="auto" w:fill="CCEEFF"/>
          </w:tcPr>
          <w:p>
            <w:pPr>
              <w:jc w:val="right"/>
              <w:ind w:right="667"/>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1,117</w:t>
            </w:r>
          </w:p>
        </w:tc>
        <w:tc>
          <w:tcPr>
            <w:tcW w:w="960" w:type="dxa"/>
            <w:vAlign w:val="bottom"/>
            <w:gridSpan w:val="2"/>
            <w:shd w:val="clear" w:color="auto" w:fill="CCEEFF"/>
          </w:tcPr>
          <w:p>
            <w:pPr>
              <w:jc w:val="right"/>
              <w:ind w:right="685"/>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Distributions to Series A preferred unitholders</w:t>
            </w: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Series B preferred unitholders</w:t>
            </w: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Other</w:t>
            </w: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allocated to common unitholders</w:t>
            </w: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6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1,104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8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units outstanding</w:t>
            </w: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726</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725</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Series A preferred units </w:t>
            </w:r>
            <w:r>
              <w:rPr>
                <w:rFonts w:ascii="Arial" w:cs="Arial" w:eastAsia="Arial" w:hAnsi="Arial"/>
                <w:sz w:val="23"/>
                <w:szCs w:val="23"/>
                <w:color w:val="auto"/>
                <w:vertAlign w:val="superscript"/>
              </w:rPr>
              <w:t>(2)</w:t>
            </w: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Equity-indexed compensation plan awards </w:t>
            </w:r>
            <w:r>
              <w:rPr>
                <w:rFonts w:ascii="Arial" w:cs="Arial" w:eastAsia="Arial" w:hAnsi="Arial"/>
                <w:sz w:val="23"/>
                <w:szCs w:val="23"/>
                <w:color w:val="auto"/>
                <w:vertAlign w:val="superscript"/>
              </w:rPr>
              <w:t>(3)</w:t>
            </w: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 average common units outstanding</w:t>
            </w: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common unit</w:t>
            </w:r>
          </w:p>
        </w:tc>
        <w:tc>
          <w:tcPr>
            <w:tcW w:w="1640" w:type="dxa"/>
            <w:vAlign w:val="bottom"/>
            <w:gridSpan w:val="2"/>
            <w:shd w:val="clear" w:color="auto" w:fill="CCEEFF"/>
          </w:tcPr>
          <w:p>
            <w:pPr>
              <w:jc w:val="right"/>
              <w:ind w:right="667"/>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w:t>
            </w:r>
          </w:p>
        </w:tc>
        <w:tc>
          <w:tcPr>
            <w:tcW w:w="960" w:type="dxa"/>
            <w:vAlign w:val="bottom"/>
            <w:gridSpan w:val="2"/>
            <w:shd w:val="clear" w:color="auto" w:fill="CCEEFF"/>
          </w:tcPr>
          <w:p>
            <w:pPr>
              <w:jc w:val="right"/>
              <w:ind w:right="685"/>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2.71</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20" w:hanging="332"/>
        <w:spacing w:after="0" w:line="238" w:lineRule="auto"/>
        <w:tabs>
          <w:tab w:leader="none" w:pos="328"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We calculate net income allocated to common unitholders based on the distributions pertaining to the current period’s net income (whether paid in cash or in-kind).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ind w:left="340" w:right="520" w:hanging="332"/>
        <w:spacing w:after="0" w:line="219" w:lineRule="auto"/>
        <w:tabs>
          <w:tab w:leader="none" w:pos="328"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The possible conversion of our Series A preferred units was excluded from the calculation of diluted net income per common unit for the three and twelve months ended December 31, 2017 as the effect was antidilutive.</w:t>
      </w:r>
    </w:p>
    <w:p>
      <w:pPr>
        <w:spacing w:after="0" w:line="1" w:lineRule="exact"/>
        <w:rPr>
          <w:rFonts w:ascii="Arial" w:cs="Arial" w:eastAsia="Arial" w:hAnsi="Arial"/>
          <w:sz w:val="23"/>
          <w:szCs w:val="23"/>
          <w:color w:val="auto"/>
          <w:vertAlign w:val="superscript"/>
        </w:rPr>
      </w:pPr>
    </w:p>
    <w:p>
      <w:pPr>
        <w:ind w:left="340" w:right="260" w:hanging="332"/>
        <w:spacing w:after="0" w:line="249" w:lineRule="auto"/>
        <w:tabs>
          <w:tab w:leader="none" w:pos="328" w:val="left"/>
        </w:tabs>
        <w:numPr>
          <w:ilvl w:val="0"/>
          <w:numId w:val="8"/>
        </w:numPr>
        <w:rPr>
          <w:rFonts w:ascii="Arial" w:cs="Arial" w:eastAsia="Arial" w:hAnsi="Arial"/>
          <w:sz w:val="22"/>
          <w:szCs w:val="22"/>
          <w:color w:val="auto"/>
          <w:vertAlign w:val="superscript"/>
        </w:rPr>
      </w:pPr>
      <w:r>
        <w:rPr>
          <w:rFonts w:ascii="Arial" w:cs="Arial" w:eastAsia="Arial" w:hAnsi="Arial"/>
          <w:sz w:val="17"/>
          <w:szCs w:val="17"/>
          <w:color w:val="auto"/>
        </w:rPr>
        <w:t>Our equity-indexed compensation plan awards that contemplate the issuance of common units are considered dilutive unless (i) they become vested or earned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3" w:lineRule="exact"/>
        <w:rPr>
          <w:sz w:val="20"/>
          <w:szCs w:val="20"/>
          <w:color w:val="auto"/>
        </w:rPr>
      </w:pPr>
    </w:p>
    <w:p>
      <w:pPr>
        <w:ind w:left="2280"/>
        <w:spacing w:after="0"/>
        <w:tabs>
          <w:tab w:leader="none" w:pos="4780" w:val="left"/>
          <w:tab w:leader="none" w:pos="69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t>Page 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4"/>
          </w:tcPr>
          <w:p>
            <w:pPr>
              <w:jc w:val="right"/>
              <w:ind w:right="174"/>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1"/>
        </w:trPr>
        <w:tc>
          <w:tcPr>
            <w:tcW w:w="5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394"/>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720" w:type="dxa"/>
            <w:vAlign w:val="bottom"/>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 xml:space="preserve">Selected Items Impacting Comparability: </w:t>
            </w:r>
            <w:r>
              <w:rPr>
                <w:rFonts w:ascii="Arial" w:cs="Arial" w:eastAsia="Arial" w:hAnsi="Arial"/>
                <w:sz w:val="22"/>
                <w:szCs w:val="22"/>
                <w:b w:val="1"/>
                <w:bCs w:val="1"/>
                <w:color w:val="auto"/>
                <w:vertAlign w:val="superscript"/>
              </w:rPr>
              <w:t>(1)</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720" w:type="dxa"/>
            <w:vAlign w:val="bottom"/>
          </w:tcPr>
          <w:p>
            <w:pPr>
              <w:spacing w:after="0" w:line="201" w:lineRule="exact"/>
              <w:rPr>
                <w:sz w:val="20"/>
                <w:szCs w:val="20"/>
                <w:color w:val="auto"/>
              </w:rPr>
            </w:pPr>
            <w:r>
              <w:rPr>
                <w:rFonts w:ascii="Arial" w:cs="Arial" w:eastAsia="Arial" w:hAnsi="Arial"/>
                <w:sz w:val="18"/>
                <w:szCs w:val="18"/>
                <w:color w:val="auto"/>
              </w:rPr>
              <w:t>Gains/(losses) from derivative activities net of inventory valuation</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180"/>
              <w:spacing w:after="0" w:line="231"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(2)</w:t>
            </w:r>
          </w:p>
        </w:tc>
        <w:tc>
          <w:tcPr>
            <w:tcW w:w="960" w:type="dxa"/>
            <w:vAlign w:val="bottom"/>
            <w:gridSpan w:val="2"/>
          </w:tcPr>
          <w:p>
            <w:pPr>
              <w:jc w:val="right"/>
              <w:ind w:right="599"/>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610</w:t>
            </w:r>
          </w:p>
        </w:tc>
        <w:tc>
          <w:tcPr>
            <w:tcW w:w="760" w:type="dxa"/>
            <w:vAlign w:val="bottom"/>
          </w:tcPr>
          <w:p>
            <w:pPr>
              <w:jc w:val="right"/>
              <w:ind w:right="574"/>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505</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3"/>
                <w:szCs w:val="23"/>
                <w:color w:val="auto"/>
                <w:vertAlign w:val="superscript"/>
              </w:rPr>
              <w:t>(3)</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5720" w:type="dxa"/>
            <w:vAlign w:val="bottom"/>
          </w:tcPr>
          <w:p>
            <w:pPr>
              <w:spacing w:after="0" w:line="216"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3"/>
                <w:szCs w:val="23"/>
                <w:color w:val="auto"/>
                <w:vertAlign w:val="superscript"/>
              </w:rPr>
              <w:t>(4)</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7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(5)</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5720" w:type="dxa"/>
            <w:vAlign w:val="bottom"/>
          </w:tcPr>
          <w:p>
            <w:pPr>
              <w:spacing w:after="0" w:line="216" w:lineRule="exact"/>
              <w:rPr>
                <w:sz w:val="20"/>
                <w:szCs w:val="20"/>
                <w:color w:val="auto"/>
              </w:rPr>
            </w:pPr>
            <w:r>
              <w:rPr>
                <w:rFonts w:ascii="Arial" w:cs="Arial" w:eastAsia="Arial" w:hAnsi="Arial"/>
                <w:sz w:val="18"/>
                <w:szCs w:val="18"/>
                <w:color w:val="auto"/>
              </w:rPr>
              <w:t xml:space="preserve">Net gain on foreign currency revaluation </w:t>
            </w:r>
            <w:r>
              <w:rPr>
                <w:rFonts w:ascii="Arial" w:cs="Arial" w:eastAsia="Arial" w:hAnsi="Arial"/>
                <w:sz w:val="23"/>
                <w:szCs w:val="23"/>
                <w:color w:val="auto"/>
                <w:vertAlign w:val="superscript"/>
              </w:rPr>
              <w:t>(6)</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7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3"/>
                <w:szCs w:val="23"/>
                <w:color w:val="auto"/>
                <w:vertAlign w:val="superscript"/>
              </w:rPr>
              <w:t>(7)</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5720" w:type="dxa"/>
            <w:vAlign w:val="bottom"/>
          </w:tcPr>
          <w:p>
            <w:pPr>
              <w:spacing w:after="0" w:line="216" w:lineRule="exact"/>
              <w:rPr>
                <w:sz w:val="20"/>
                <w:szCs w:val="20"/>
                <w:color w:val="auto"/>
              </w:rPr>
            </w:pPr>
            <w:r>
              <w:rPr>
                <w:rFonts w:ascii="Arial" w:cs="Arial" w:eastAsia="Arial" w:hAnsi="Arial"/>
                <w:sz w:val="18"/>
                <w:szCs w:val="18"/>
                <w:color w:val="auto"/>
              </w:rPr>
              <w:t xml:space="preserve">Significant acquisition-related expenses </w:t>
            </w:r>
            <w:r>
              <w:rPr>
                <w:rFonts w:ascii="Arial" w:cs="Arial" w:eastAsia="Arial" w:hAnsi="Arial"/>
                <w:sz w:val="23"/>
                <w:szCs w:val="23"/>
                <w:color w:val="auto"/>
                <w:vertAlign w:val="superscript"/>
              </w:rPr>
              <w:t>(8)</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Net loss on early repayment of senior notes </w:t>
            </w:r>
            <w:r>
              <w:rPr>
                <w:rFonts w:ascii="Arial" w:cs="Arial" w:eastAsia="Arial" w:hAnsi="Arial"/>
                <w:sz w:val="23"/>
                <w:szCs w:val="23"/>
                <w:color w:val="auto"/>
                <w:vertAlign w:val="superscript"/>
              </w:rPr>
              <w:t>(9)</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5720" w:type="dxa"/>
            <w:vAlign w:val="bottom"/>
          </w:tcPr>
          <w:p>
            <w:pPr>
              <w:ind w:left="180"/>
              <w:spacing w:after="0"/>
              <w:rPr>
                <w:sz w:val="20"/>
                <w:szCs w:val="20"/>
                <w:color w:val="auto"/>
              </w:rPr>
            </w:pPr>
            <w:r>
              <w:rPr>
                <w:rFonts w:ascii="Arial" w:cs="Arial" w:eastAsia="Arial" w:hAnsi="Arial"/>
                <w:sz w:val="18"/>
                <w:szCs w:val="18"/>
                <w:color w:val="auto"/>
              </w:rPr>
              <w:t>Selected items impacting comparability - Adjusted EBITDA</w:t>
            </w:r>
          </w:p>
        </w:tc>
        <w:tc>
          <w:tcPr>
            <w:tcW w:w="180" w:type="dxa"/>
            <w:vAlign w:val="bottom"/>
          </w:tcPr>
          <w:p>
            <w:pPr>
              <w:spacing w:after="0"/>
              <w:rPr>
                <w:sz w:val="18"/>
                <w:szCs w:val="18"/>
                <w:color w:val="auto"/>
              </w:rPr>
            </w:pPr>
          </w:p>
        </w:tc>
        <w:tc>
          <w:tcPr>
            <w:tcW w:w="780" w:type="dxa"/>
            <w:vAlign w:val="bottom"/>
            <w:tcBorders>
              <w:top w:val="single" w:sz="8" w:color="auto"/>
            </w:tcBorders>
          </w:tcPr>
          <w:p>
            <w:pPr>
              <w:jc w:val="right"/>
              <w:ind w:right="59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280" w:type="dxa"/>
            <w:vAlign w:val="bottom"/>
          </w:tcPr>
          <w:p>
            <w:pPr>
              <w:spacing w:after="0"/>
              <w:rPr>
                <w:sz w:val="18"/>
                <w:szCs w:val="18"/>
                <w:color w:val="auto"/>
              </w:rPr>
            </w:pPr>
          </w:p>
        </w:tc>
        <w:tc>
          <w:tcPr>
            <w:tcW w:w="760" w:type="dxa"/>
            <w:vAlign w:val="bottom"/>
            <w:tcBorders>
              <w:top w:val="single" w:sz="8" w:color="auto"/>
            </w:tcBorders>
          </w:tcPr>
          <w:p>
            <w:pPr>
              <w:jc w:val="right"/>
              <w:ind w:right="574"/>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Gains/(losses) from derivative activities </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Gain/(loss) on sale of investment in unconsolidated entities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7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Gains/(losses) on asset sales and asset impairments, net </w:t>
            </w:r>
            <w:r>
              <w:rPr>
                <w:rFonts w:ascii="Arial" w:cs="Arial" w:eastAsia="Arial" w:hAnsi="Arial"/>
                <w:sz w:val="23"/>
                <w:szCs w:val="23"/>
                <w:color w:val="auto"/>
                <w:vertAlign w:val="superscript"/>
              </w:rPr>
              <w:t>(10)</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Tax effect on selected items impacting comparability</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(120)</w:t>
            </w: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5720" w:type="dxa"/>
            <w:vAlign w:val="bottom"/>
            <w:vMerge w:val="restart"/>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Selected items impacting comparability - Adjusted net income attributable</w:t>
            </w:r>
          </w:p>
        </w:tc>
        <w:tc>
          <w:tcPr>
            <w:tcW w:w="1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720" w:type="dxa"/>
            <w:vAlign w:val="bottom"/>
            <w:vMerge w:val="continue"/>
            <w:shd w:val="clear" w:color="auto" w:fill="CCEEFF"/>
          </w:tcPr>
          <w:p>
            <w:pPr>
              <w:spacing w:after="0"/>
              <w:rPr>
                <w:sz w:val="15"/>
                <w:szCs w:val="15"/>
                <w:color w:val="auto"/>
              </w:rPr>
            </w:pPr>
          </w:p>
        </w:tc>
        <w:tc>
          <w:tcPr>
            <w:tcW w:w="180" w:type="dxa"/>
            <w:vAlign w:val="bottom"/>
            <w:vMerge w:val="restart"/>
            <w:shd w:val="clear" w:color="auto" w:fill="CCEEFF"/>
          </w:tcPr>
          <w:p>
            <w:pPr>
              <w:spacing w:after="0"/>
              <w:rPr>
                <w:sz w:val="15"/>
                <w:szCs w:val="15"/>
                <w:color w:val="auto"/>
              </w:rPr>
            </w:pPr>
          </w:p>
        </w:tc>
        <w:tc>
          <w:tcPr>
            <w:tcW w:w="780" w:type="dxa"/>
            <w:vAlign w:val="bottom"/>
            <w:vMerge w:val="restart"/>
            <w:shd w:val="clear" w:color="auto" w:fill="CCEEFF"/>
          </w:tcPr>
          <w:p>
            <w:pPr>
              <w:jc w:val="right"/>
              <w:ind w:right="599"/>
              <w:spacing w:after="0"/>
              <w:rPr>
                <w:sz w:val="20"/>
                <w:szCs w:val="20"/>
                <w:color w:val="auto"/>
              </w:rPr>
            </w:pPr>
            <w:r>
              <w:rPr>
                <w:rFonts w:ascii="Arial" w:cs="Arial" w:eastAsia="Arial" w:hAnsi="Arial"/>
                <w:sz w:val="18"/>
                <w:szCs w:val="18"/>
                <w:color w:val="auto"/>
                <w:w w:val="79"/>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280" w:type="dxa"/>
            <w:vAlign w:val="bottom"/>
            <w:vMerge w:val="restart"/>
            <w:shd w:val="clear" w:color="auto" w:fill="CCEEFF"/>
          </w:tcPr>
          <w:p>
            <w:pPr>
              <w:spacing w:after="0"/>
              <w:rPr>
                <w:sz w:val="15"/>
                <w:szCs w:val="15"/>
                <w:color w:val="auto"/>
              </w:rPr>
            </w:pPr>
          </w:p>
        </w:tc>
        <w:tc>
          <w:tcPr>
            <w:tcW w:w="760" w:type="dxa"/>
            <w:vAlign w:val="bottom"/>
            <w:vMerge w:val="restart"/>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5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9"/>
              </w:rPr>
              <w:t>(144)</w:t>
            </w:r>
          </w:p>
        </w:tc>
        <w:tc>
          <w:tcPr>
            <w:tcW w:w="380" w:type="dxa"/>
            <w:vAlign w:val="bottom"/>
            <w:gridSpan w:val="2"/>
            <w:vMerge w:val="restart"/>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646</w:t>
            </w:r>
          </w:p>
        </w:tc>
        <w:tc>
          <w:tcPr>
            <w:tcW w:w="460" w:type="dxa"/>
            <w:vAlign w:val="bottom"/>
            <w:gridSpan w:val="2"/>
            <w:vMerge w:val="restart"/>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7"/>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 PAA</w:t>
            </w:r>
          </w:p>
        </w:tc>
        <w:tc>
          <w:tcPr>
            <w:tcW w:w="1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 w:lineRule="exact"/>
        <w:rPr>
          <w:rFonts w:ascii="Arial" w:cs="Arial" w:eastAsia="Arial" w:hAnsi="Arial"/>
          <w:sz w:val="23"/>
          <w:szCs w:val="23"/>
          <w:color w:val="auto"/>
          <w:vertAlign w:val="superscript"/>
        </w:rPr>
      </w:pPr>
    </w:p>
    <w:p>
      <w:pPr>
        <w:ind w:left="340" w:hanging="332"/>
        <w:spacing w:after="0" w:line="254" w:lineRule="auto"/>
        <w:tabs>
          <w:tab w:leader="none" w:pos="328" w:val="left"/>
        </w:tabs>
        <w:numPr>
          <w:ilvl w:val="0"/>
          <w:numId w:val="9"/>
        </w:numPr>
        <w:rPr>
          <w:rFonts w:ascii="Arial" w:cs="Arial" w:eastAsia="Arial" w:hAnsi="Arial"/>
          <w:sz w:val="22"/>
          <w:szCs w:val="22"/>
          <w:color w:val="auto"/>
          <w:vertAlign w:val="superscript"/>
        </w:rPr>
      </w:pPr>
      <w:r>
        <w:rPr>
          <w:rFonts w:ascii="Arial" w:cs="Arial" w:eastAsia="Arial" w:hAnsi="Arial"/>
          <w:sz w:val="17"/>
          <w:szCs w:val="17"/>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results. In addition, we exclude gains and losses on derivatives that are related to investing activities, such as the purchase of linefill. We also exclude the impact of corresponding inventory valuation adjustments, as applicable, as well as the mark-to-market adjustment related to our Preferred Distribution Rate Reset Option.</w:t>
      </w:r>
    </w:p>
    <w:p>
      <w:pPr>
        <w:spacing w:after="0" w:line="1" w:lineRule="exact"/>
        <w:rPr>
          <w:rFonts w:ascii="Arial" w:cs="Arial" w:eastAsia="Arial" w:hAnsi="Arial"/>
          <w:sz w:val="22"/>
          <w:szCs w:val="22"/>
          <w:color w:val="auto"/>
          <w:vertAlign w:val="superscript"/>
        </w:rPr>
      </w:pPr>
    </w:p>
    <w:p>
      <w:pPr>
        <w:ind w:left="340" w:right="180" w:hanging="332"/>
        <w:spacing w:after="0" w:line="265" w:lineRule="auto"/>
        <w:tabs>
          <w:tab w:leader="none" w:pos="328"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We carry crude oil and NGL inventory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1" w:lineRule="exact"/>
        <w:rPr>
          <w:rFonts w:ascii="Arial" w:cs="Arial" w:eastAsia="Arial" w:hAnsi="Arial"/>
          <w:sz w:val="21"/>
          <w:szCs w:val="21"/>
          <w:color w:val="auto"/>
          <w:vertAlign w:val="superscript"/>
        </w:rPr>
      </w:pPr>
    </w:p>
    <w:p>
      <w:pPr>
        <w:ind w:left="340" w:right="20" w:hanging="332"/>
        <w:spacing w:after="0" w:line="273" w:lineRule="auto"/>
        <w:tabs>
          <w:tab w:leader="none" w:pos="328"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2" w:lineRule="exact"/>
        <w:rPr>
          <w:rFonts w:ascii="Arial" w:cs="Arial" w:eastAsia="Arial" w:hAnsi="Arial"/>
          <w:sz w:val="21"/>
          <w:szCs w:val="21"/>
          <w:color w:val="auto"/>
          <w:vertAlign w:val="superscript"/>
        </w:rPr>
      </w:pPr>
    </w:p>
    <w:p>
      <w:pPr>
        <w:ind w:left="340" w:right="140" w:hanging="332"/>
        <w:spacing w:after="0" w:line="239" w:lineRule="auto"/>
        <w:tabs>
          <w:tab w:leader="none" w:pos="328"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and the majority of the awards are expected to be settled in units. The portion of compensation expense associated with awards that are certain to be settled in cash is not considered a selected item impacting comparability.</w:t>
      </w:r>
    </w:p>
    <w:p>
      <w:pPr>
        <w:spacing w:after="0" w:line="2" w:lineRule="exact"/>
        <w:rPr>
          <w:rFonts w:ascii="Arial" w:cs="Arial" w:eastAsia="Arial" w:hAnsi="Arial"/>
          <w:sz w:val="23"/>
          <w:szCs w:val="23"/>
          <w:color w:val="auto"/>
          <w:vertAlign w:val="superscript"/>
        </w:rPr>
      </w:pPr>
    </w:p>
    <w:p>
      <w:pPr>
        <w:ind w:left="340" w:right="380" w:hanging="332"/>
        <w:spacing w:after="0" w:line="231" w:lineRule="auto"/>
        <w:tabs>
          <w:tab w:leader="none" w:pos="328" w:val="left"/>
        </w:tabs>
        <w:numPr>
          <w:ilvl w:val="0"/>
          <w:numId w:val="9"/>
        </w:numPr>
        <w:rPr>
          <w:rFonts w:ascii="Arial" w:cs="Arial" w:eastAsia="Arial" w:hAnsi="Arial"/>
          <w:sz w:val="22"/>
          <w:szCs w:val="22"/>
          <w:color w:val="auto"/>
          <w:vertAlign w:val="superscript"/>
        </w:rPr>
      </w:pPr>
      <w:r>
        <w:rPr>
          <w:rFonts w:ascii="Arial" w:cs="Arial" w:eastAsia="Arial" w:hAnsi="Arial"/>
          <w:sz w:val="17"/>
          <w:szCs w:val="17"/>
          <w:color w:val="auto"/>
        </w:rPr>
        <w:t>During the periods presented, there were fluctuations in the value of the Canadian dollar to the U.S. dollar, resulting in gains and losses that were not related to our core operating results for the period and were thus classified as a selected item impacting comparability.</w:t>
      </w:r>
    </w:p>
    <w:p>
      <w:pPr>
        <w:ind w:left="340" w:right="600" w:hanging="332"/>
        <w:spacing w:after="0" w:line="219" w:lineRule="auto"/>
        <w:tabs>
          <w:tab w:leader="none" w:pos="328"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Includes costs recognized during the period related to the Line 901 incident that occurred in May 2015, net of amounts we believe are probable of recovery from insurance.</w:t>
      </w:r>
    </w:p>
    <w:p>
      <w:pPr>
        <w:spacing w:after="0" w:line="1" w:lineRule="exact"/>
        <w:rPr>
          <w:rFonts w:ascii="Arial" w:cs="Arial" w:eastAsia="Arial" w:hAnsi="Arial"/>
          <w:sz w:val="23"/>
          <w:szCs w:val="23"/>
          <w:color w:val="auto"/>
          <w:vertAlign w:val="superscript"/>
        </w:rPr>
      </w:pPr>
    </w:p>
    <w:p>
      <w:pPr>
        <w:ind w:left="320" w:hanging="312"/>
        <w:spacing w:after="0" w:line="196" w:lineRule="auto"/>
        <w:tabs>
          <w:tab w:leader="none" w:pos="32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Includes acquisition-related expenses associated with the Alpha Crude Connector acquisition.</w:t>
      </w:r>
    </w:p>
    <w:p>
      <w:pPr>
        <w:spacing w:after="0" w:line="1" w:lineRule="exact"/>
        <w:rPr>
          <w:rFonts w:ascii="Arial" w:cs="Arial" w:eastAsia="Arial" w:hAnsi="Arial"/>
          <w:sz w:val="23"/>
          <w:szCs w:val="23"/>
          <w:color w:val="auto"/>
          <w:vertAlign w:val="superscript"/>
        </w:rPr>
      </w:pPr>
    </w:p>
    <w:p>
      <w:pPr>
        <w:ind w:left="340" w:right="380" w:hanging="332"/>
        <w:spacing w:after="0" w:line="219" w:lineRule="auto"/>
        <w:tabs>
          <w:tab w:leader="none" w:pos="328"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Includes net losses incurred in connection with the early redemption of our (i) $600 million, 6.50% senior notes due May 2018 and (ii) $350 million, 8.75% senior notes due May 2019.</w:t>
      </w:r>
    </w:p>
    <w:p>
      <w:pPr>
        <w:ind w:left="340" w:right="900" w:hanging="332"/>
        <w:spacing w:after="0" w:line="231" w:lineRule="auto"/>
        <w:tabs>
          <w:tab w:leader="none" w:pos="318" w:val="left"/>
        </w:tabs>
        <w:numPr>
          <w:ilvl w:val="0"/>
          <w:numId w:val="9"/>
        </w:numPr>
        <w:rPr>
          <w:rFonts w:ascii="Arial" w:cs="Arial" w:eastAsia="Arial" w:hAnsi="Arial"/>
          <w:sz w:val="22"/>
          <w:szCs w:val="22"/>
          <w:color w:val="auto"/>
          <w:vertAlign w:val="superscript"/>
        </w:rPr>
      </w:pPr>
      <w:r>
        <w:rPr>
          <w:rFonts w:ascii="Arial" w:cs="Arial" w:eastAsia="Arial" w:hAnsi="Arial"/>
          <w:sz w:val="17"/>
          <w:szCs w:val="17"/>
          <w:color w:val="auto"/>
        </w:rPr>
        <w:t>During the fourth quarter of 2018, we began classifying net gains and losses on asset sales and asset impairments as a selected item impacting comparability in the calculation of adjusted net income. Prior period amounts have been recast to reflect this change.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3" w:lineRule="exact"/>
        <w:rPr>
          <w:sz w:val="20"/>
          <w:szCs w:val="20"/>
          <w:color w:val="auto"/>
        </w:rPr>
      </w:pPr>
    </w:p>
    <w:p>
      <w:pPr>
        <w:ind w:left="2280"/>
        <w:spacing w:after="0"/>
        <w:tabs>
          <w:tab w:leader="none" w:pos="4780" w:val="left"/>
          <w:tab w:leader="none" w:pos="69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68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Page 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ADJUSTED NET INCOME PER COMMON UNIT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4"/>
          </w:tcPr>
          <w:p>
            <w:pPr>
              <w:jc w:val="right"/>
              <w:ind w:right="172"/>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392"/>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Adjusted Net Income per Common Unit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920" w:type="dxa"/>
            <w:vAlign w:val="bottom"/>
            <w:gridSpan w:val="2"/>
          </w:tcPr>
          <w:p>
            <w:pPr>
              <w:jc w:val="right"/>
              <w:ind w:right="556"/>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1,117</w:t>
            </w:r>
          </w:p>
        </w:tc>
        <w:tc>
          <w:tcPr>
            <w:tcW w:w="760" w:type="dxa"/>
            <w:vAlign w:val="bottom"/>
          </w:tcPr>
          <w:p>
            <w:pPr>
              <w:jc w:val="right"/>
              <w:ind w:right="572"/>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191</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2,216</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Selected items impacting comparability - Adjusted net income attributable</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shd w:val="clear" w:color="auto" w:fill="CCEEFF"/>
          </w:tcPr>
          <w:p>
            <w:pPr>
              <w:ind w:left="340"/>
              <w:spacing w:after="0" w:line="231" w:lineRule="exact"/>
              <w:rPr>
                <w:sz w:val="20"/>
                <w:szCs w:val="20"/>
                <w:color w:val="auto"/>
              </w:rPr>
            </w:pPr>
            <w:r>
              <w:rPr>
                <w:rFonts w:ascii="Arial" w:cs="Arial" w:eastAsia="Arial" w:hAnsi="Arial"/>
                <w:sz w:val="18"/>
                <w:szCs w:val="18"/>
                <w:color w:val="auto"/>
              </w:rPr>
              <w:t xml:space="preserve">to PAA </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(464)</w:t>
            </w:r>
          </w:p>
        </w:tc>
        <w:tc>
          <w:tcPr>
            <w:tcW w:w="7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Adjusted net income attributable to PAA</w:t>
            </w:r>
          </w:p>
        </w:tc>
        <w:tc>
          <w:tcPr>
            <w:tcW w:w="180" w:type="dxa"/>
            <w:vAlign w:val="bottom"/>
          </w:tcPr>
          <w:p>
            <w:pPr>
              <w:spacing w:after="0"/>
              <w:rPr>
                <w:sz w:val="18"/>
                <w:szCs w:val="18"/>
                <w:color w:val="auto"/>
              </w:rPr>
            </w:pPr>
          </w:p>
        </w:tc>
        <w:tc>
          <w:tcPr>
            <w:tcW w:w="740" w:type="dxa"/>
            <w:vAlign w:val="bottom"/>
            <w:tcBorders>
              <w:top w:val="single" w:sz="8" w:color="auto"/>
            </w:tcBorders>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280" w:type="dxa"/>
            <w:vAlign w:val="bottom"/>
          </w:tcPr>
          <w:p>
            <w:pPr>
              <w:spacing w:after="0"/>
              <w:rPr>
                <w:sz w:val="18"/>
                <w:szCs w:val="18"/>
                <w:color w:val="auto"/>
              </w:rPr>
            </w:pPr>
          </w:p>
        </w:tc>
        <w:tc>
          <w:tcPr>
            <w:tcW w:w="760" w:type="dxa"/>
            <w:vAlign w:val="bottom"/>
            <w:tcBorders>
              <w:top w:val="single" w:sz="8" w:color="auto"/>
            </w:tcBorders>
          </w:tcPr>
          <w:p>
            <w:pPr>
              <w:jc w:val="right"/>
              <w:ind w:right="572"/>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Series A preferred unitholders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Distributions to Series B preferred unitholders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76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net income allocated to common unitholders</w:t>
            </w:r>
          </w:p>
        </w:tc>
        <w:tc>
          <w:tcPr>
            <w:tcW w:w="180" w:type="dxa"/>
            <w:vAlign w:val="bottom"/>
            <w:tcBorders>
              <w:bottom w:val="single" w:sz="8" w:color="CCEEFF"/>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28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1,366</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Basic weighted average common units outstanding</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726</w:t>
            </w:r>
          </w:p>
        </w:tc>
        <w:tc>
          <w:tcPr>
            <w:tcW w:w="7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Basic adjusted net income per common unit</w:t>
            </w:r>
          </w:p>
        </w:tc>
        <w:tc>
          <w:tcPr>
            <w:tcW w:w="920" w:type="dxa"/>
            <w:vAlign w:val="bottom"/>
            <w:gridSpan w:val="2"/>
          </w:tcPr>
          <w:p>
            <w:pPr>
              <w:jc w:val="right"/>
              <w:ind w:right="556"/>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0.83</w:t>
            </w:r>
          </w:p>
        </w:tc>
        <w:tc>
          <w:tcPr>
            <w:tcW w:w="760" w:type="dxa"/>
            <w:vAlign w:val="bottom"/>
          </w:tcPr>
          <w:p>
            <w:pPr>
              <w:jc w:val="right"/>
              <w:ind w:right="572"/>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0.39</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1.88</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7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Diluted Adjusted Net Income per Common Unit</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920" w:type="dxa"/>
            <w:vAlign w:val="bottom"/>
            <w:gridSpan w:val="2"/>
            <w:shd w:val="clear" w:color="auto" w:fill="CCEEFF"/>
          </w:tcPr>
          <w:p>
            <w:pPr>
              <w:jc w:val="right"/>
              <w:ind w:right="556"/>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1,117</w:t>
            </w:r>
          </w:p>
        </w:tc>
        <w:tc>
          <w:tcPr>
            <w:tcW w:w="76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2,216</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00" w:type="dxa"/>
            <w:vAlign w:val="bottom"/>
          </w:tcPr>
          <w:p>
            <w:pPr>
              <w:ind w:left="160"/>
              <w:spacing w:after="0" w:line="201" w:lineRule="exact"/>
              <w:rPr>
                <w:sz w:val="20"/>
                <w:szCs w:val="20"/>
                <w:color w:val="auto"/>
              </w:rPr>
            </w:pPr>
            <w:r>
              <w:rPr>
                <w:rFonts w:ascii="Arial" w:cs="Arial" w:eastAsia="Arial" w:hAnsi="Arial"/>
                <w:sz w:val="18"/>
                <w:szCs w:val="18"/>
                <w:color w:val="auto"/>
                <w:w w:val="94"/>
              </w:rPr>
              <w:t>Selected items impacting comparability - Adjusted net income attributable</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tcPr>
          <w:p>
            <w:pPr>
              <w:ind w:left="340"/>
              <w:spacing w:after="0" w:line="231" w:lineRule="exact"/>
              <w:rPr>
                <w:sz w:val="20"/>
                <w:szCs w:val="20"/>
                <w:color w:val="auto"/>
              </w:rPr>
            </w:pPr>
            <w:r>
              <w:rPr>
                <w:rFonts w:ascii="Arial" w:cs="Arial" w:eastAsia="Arial" w:hAnsi="Arial"/>
                <w:sz w:val="18"/>
                <w:szCs w:val="18"/>
                <w:color w:val="auto"/>
              </w:rPr>
              <w:t xml:space="preserve">to PAA </w:t>
            </w:r>
            <w:r>
              <w:rPr>
                <w:rFonts w:ascii="Arial" w:cs="Arial" w:eastAsia="Arial" w:hAnsi="Arial"/>
                <w:sz w:val="23"/>
                <w:szCs w:val="23"/>
                <w:color w:val="auto"/>
                <w:vertAlign w:val="superscript"/>
              </w:rPr>
              <w:t>(2)</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(464)</w:t>
            </w:r>
          </w:p>
        </w:tc>
        <w:tc>
          <w:tcPr>
            <w:tcW w:w="760" w:type="dxa"/>
            <w:vAlign w:val="bottom"/>
          </w:tcPr>
          <w:p>
            <w:pPr>
              <w:spacing w:after="0"/>
              <w:rPr>
                <w:sz w:val="20"/>
                <w:szCs w:val="20"/>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income attributable to PAA</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2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Distributions to Series A preferred unitholders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Series B preferred unitholders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76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income allocated to common unitholders</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units outstanding</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726</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Series A preferred units </w:t>
            </w:r>
            <w:r>
              <w:rPr>
                <w:rFonts w:ascii="Arial" w:cs="Arial" w:eastAsia="Arial" w:hAnsi="Arial"/>
                <w:sz w:val="23"/>
                <w:szCs w:val="23"/>
                <w:color w:val="auto"/>
                <w:vertAlign w:val="superscript"/>
              </w:rPr>
              <w:t>(3)</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Equity-indexed compensation plan awards </w:t>
            </w:r>
            <w:r>
              <w:rPr>
                <w:rFonts w:ascii="Arial" w:cs="Arial" w:eastAsia="Arial" w:hAnsi="Arial"/>
                <w:sz w:val="23"/>
                <w:szCs w:val="23"/>
                <w:color w:val="auto"/>
                <w:vertAlign w:val="superscript"/>
              </w:rPr>
              <w:t>(4)</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7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 average common units outstanding</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Diluted adjusted net income per common unit</w:t>
            </w:r>
          </w:p>
        </w:tc>
        <w:tc>
          <w:tcPr>
            <w:tcW w:w="920" w:type="dxa"/>
            <w:vAlign w:val="bottom"/>
            <w:gridSpan w:val="2"/>
            <w:shd w:val="clear" w:color="auto" w:fill="CCEEFF"/>
          </w:tcPr>
          <w:p>
            <w:pPr>
              <w:jc w:val="right"/>
              <w:ind w:right="556"/>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0.80</w:t>
            </w:r>
          </w:p>
        </w:tc>
        <w:tc>
          <w:tcPr>
            <w:tcW w:w="76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0.39</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20" w:hanging="332"/>
        <w:spacing w:after="0" w:line="238" w:lineRule="auto"/>
        <w:tabs>
          <w:tab w:leader="none" w:pos="328"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We calculate adjusted net income allocated to common unitholders based on the distributions pertaining to the current period’s net income (whether paid in cash or in-kind).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ind w:left="320" w:hanging="312"/>
        <w:spacing w:after="0" w:line="196" w:lineRule="auto"/>
        <w:tabs>
          <w:tab w:leader="none" w:pos="32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 w:lineRule="exact"/>
        <w:rPr>
          <w:rFonts w:ascii="Arial" w:cs="Arial" w:eastAsia="Arial" w:hAnsi="Arial"/>
          <w:sz w:val="23"/>
          <w:szCs w:val="23"/>
          <w:color w:val="auto"/>
          <w:vertAlign w:val="superscript"/>
        </w:rPr>
      </w:pPr>
    </w:p>
    <w:p>
      <w:pPr>
        <w:ind w:left="340" w:right="60" w:hanging="332"/>
        <w:spacing w:after="0" w:line="230" w:lineRule="auto"/>
        <w:tabs>
          <w:tab w:leader="none" w:pos="328" w:val="left"/>
        </w:tabs>
        <w:numPr>
          <w:ilvl w:val="0"/>
          <w:numId w:val="10"/>
        </w:numPr>
        <w:rPr>
          <w:rFonts w:ascii="Arial" w:cs="Arial" w:eastAsia="Arial" w:hAnsi="Arial"/>
          <w:sz w:val="22"/>
          <w:szCs w:val="22"/>
          <w:color w:val="auto"/>
          <w:vertAlign w:val="superscript"/>
        </w:rPr>
      </w:pPr>
      <w:r>
        <w:rPr>
          <w:rFonts w:ascii="Arial" w:cs="Arial" w:eastAsia="Arial" w:hAnsi="Arial"/>
          <w:sz w:val="17"/>
          <w:szCs w:val="17"/>
          <w:color w:val="auto"/>
        </w:rPr>
        <w:t>The possible conversion of our Series A preferred units was excluded from the calculation of diluted adjusted net income per common unit for the twelve months ended December 31, 2018 and the three and twelve months ended December 31, 2017 as the effect was antidilutive.</w:t>
      </w:r>
    </w:p>
    <w:p>
      <w:pPr>
        <w:ind w:left="340" w:right="260" w:hanging="332"/>
        <w:spacing w:after="0" w:line="249" w:lineRule="auto"/>
        <w:tabs>
          <w:tab w:leader="none" w:pos="328" w:val="left"/>
        </w:tabs>
        <w:numPr>
          <w:ilvl w:val="0"/>
          <w:numId w:val="10"/>
        </w:numPr>
        <w:rPr>
          <w:rFonts w:ascii="Arial" w:cs="Arial" w:eastAsia="Arial" w:hAnsi="Arial"/>
          <w:sz w:val="22"/>
          <w:szCs w:val="22"/>
          <w:color w:val="auto"/>
          <w:vertAlign w:val="superscript"/>
        </w:rPr>
      </w:pPr>
      <w:r>
        <w:rPr>
          <w:rFonts w:ascii="Arial" w:cs="Arial" w:eastAsia="Arial" w:hAnsi="Arial"/>
          <w:sz w:val="17"/>
          <w:szCs w:val="17"/>
          <w:color w:val="auto"/>
        </w:rPr>
        <w:t>Our equity-indexed compensation plan awards that contemplate the issuance of common units are considered dilutive unless (i) they become vested or earned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3" w:lineRule="exact"/>
        <w:rPr>
          <w:sz w:val="20"/>
          <w:szCs w:val="20"/>
          <w:color w:val="auto"/>
        </w:rPr>
      </w:pPr>
    </w:p>
    <w:p>
      <w:pPr>
        <w:ind w:left="2280"/>
        <w:spacing w:after="0"/>
        <w:tabs>
          <w:tab w:leader="none" w:pos="4780" w:val="left"/>
          <w:tab w:leader="none" w:pos="69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auto"/>
        </w:rPr>
        <w:t>Page 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ratio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6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352"/>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Income to Adjusted EBITDA and Implied DCF Reconciliation</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Net Income</w:t>
            </w:r>
          </w:p>
        </w:tc>
        <w:tc>
          <w:tcPr>
            <w:tcW w:w="940" w:type="dxa"/>
            <w:vAlign w:val="bottom"/>
            <w:gridSpan w:val="2"/>
          </w:tcPr>
          <w:p>
            <w:pPr>
              <w:jc w:val="right"/>
              <w:ind w:right="557"/>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1,117</w:t>
            </w:r>
          </w:p>
        </w:tc>
        <w:tc>
          <w:tcPr>
            <w:tcW w:w="720" w:type="dxa"/>
            <w:vAlign w:val="bottom"/>
          </w:tcPr>
          <w:p>
            <w:pPr>
              <w:jc w:val="right"/>
              <w:ind w:right="532"/>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191</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2,216</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w:t>
            </w: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163</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w:t>
            </w: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(Gains)/losses on asset sales and asset impairments, net</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(36)</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(Gain)/loss on sale of investment in unconsolidated entities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7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Selected items impacting comparability - Adjusted EBITDA </w:t>
            </w:r>
            <w:r>
              <w:rPr>
                <w:rFonts w:ascii="Arial" w:cs="Arial" w:eastAsia="Arial" w:hAnsi="Arial"/>
                <w:sz w:val="23"/>
                <w:szCs w:val="23"/>
                <w:color w:val="auto"/>
                <w:vertAlign w:val="superscript"/>
              </w:rPr>
              <w:t>(2)</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(558)</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Adjusted EBITDA</w:t>
            </w:r>
          </w:p>
        </w:tc>
        <w:tc>
          <w:tcPr>
            <w:tcW w:w="200" w:type="dxa"/>
            <w:vAlign w:val="bottom"/>
          </w:tcPr>
          <w:p>
            <w:pPr>
              <w:spacing w:after="0"/>
              <w:rPr>
                <w:sz w:val="18"/>
                <w:szCs w:val="18"/>
                <w:color w:val="auto"/>
              </w:rPr>
            </w:pPr>
          </w:p>
        </w:tc>
        <w:tc>
          <w:tcPr>
            <w:tcW w:w="740" w:type="dxa"/>
            <w:vAlign w:val="bottom"/>
            <w:tcBorders>
              <w:top w:val="single" w:sz="8" w:color="auto"/>
            </w:tcBorders>
          </w:tcPr>
          <w:p>
            <w:pPr>
              <w:jc w:val="right"/>
              <w:ind w:right="557"/>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280" w:type="dxa"/>
            <w:vAlign w:val="bottom"/>
          </w:tcPr>
          <w:p>
            <w:pPr>
              <w:spacing w:after="0"/>
              <w:rPr>
                <w:sz w:val="18"/>
                <w:szCs w:val="18"/>
                <w:color w:val="auto"/>
              </w:rPr>
            </w:pPr>
          </w:p>
        </w:tc>
        <w:tc>
          <w:tcPr>
            <w:tcW w:w="720" w:type="dxa"/>
            <w:vAlign w:val="bottom"/>
            <w:tcBorders>
              <w:top w:val="single" w:sz="8" w:color="auto"/>
            </w:tcBorders>
          </w:tcPr>
          <w:p>
            <w:pPr>
              <w:jc w:val="right"/>
              <w:ind w:right="532"/>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3"/>
                <w:szCs w:val="23"/>
                <w:color w:val="auto"/>
                <w:vertAlign w:val="superscript"/>
              </w:rPr>
              <w:t>(3)</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Maintenance capital</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7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income tax expense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w:t>
            </w: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60"/>
              <w:spacing w:after="0" w:line="216" w:lineRule="exact"/>
              <w:rPr>
                <w:sz w:val="20"/>
                <w:szCs w:val="20"/>
                <w:color w:val="auto"/>
              </w:rPr>
            </w:pPr>
            <w:r>
              <w:rPr>
                <w:rFonts w:ascii="Arial" w:cs="Arial" w:eastAsia="Arial" w:hAnsi="Arial"/>
                <w:sz w:val="18"/>
                <w:szCs w:val="18"/>
                <w:color w:val="auto"/>
                <w:w w:val="94"/>
              </w:rPr>
              <w:t xml:space="preserve">Adjusted equity earnings in unconsolidated entities, net of distributions </w:t>
            </w:r>
            <w:r>
              <w:rPr>
                <w:rFonts w:ascii="Arial" w:cs="Arial" w:eastAsia="Arial" w:hAnsi="Arial"/>
                <w:sz w:val="23"/>
                <w:szCs w:val="23"/>
                <w:color w:val="auto"/>
                <w:w w:val="94"/>
                <w:vertAlign w:val="superscript"/>
              </w:rPr>
              <w:t>(4)</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7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(5)</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Implied DCF</w:t>
            </w:r>
          </w:p>
        </w:tc>
        <w:tc>
          <w:tcPr>
            <w:tcW w:w="200" w:type="dxa"/>
            <w:vAlign w:val="bottom"/>
          </w:tcPr>
          <w:p>
            <w:pPr>
              <w:spacing w:after="0"/>
              <w:rPr>
                <w:sz w:val="18"/>
                <w:szCs w:val="18"/>
                <w:color w:val="auto"/>
              </w:rPr>
            </w:pPr>
          </w:p>
        </w:tc>
        <w:tc>
          <w:tcPr>
            <w:tcW w:w="740" w:type="dxa"/>
            <w:vAlign w:val="bottom"/>
            <w:tcBorders>
              <w:top w:val="single" w:sz="8" w:color="auto"/>
            </w:tcBorders>
          </w:tcPr>
          <w:p>
            <w:pPr>
              <w:jc w:val="right"/>
              <w:ind w:right="557"/>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280" w:type="dxa"/>
            <w:vAlign w:val="bottom"/>
          </w:tcPr>
          <w:p>
            <w:pPr>
              <w:spacing w:after="0"/>
              <w:rPr>
                <w:sz w:val="18"/>
                <w:szCs w:val="18"/>
                <w:color w:val="auto"/>
              </w:rPr>
            </w:pPr>
          </w:p>
        </w:tc>
        <w:tc>
          <w:tcPr>
            <w:tcW w:w="720" w:type="dxa"/>
            <w:vAlign w:val="bottom"/>
            <w:tcBorders>
              <w:top w:val="single" w:sz="8" w:color="auto"/>
            </w:tcBorders>
          </w:tcPr>
          <w:p>
            <w:pPr>
              <w:jc w:val="right"/>
              <w:ind w:right="532"/>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Preferred unit distributions paid </w:t>
            </w:r>
            <w:r>
              <w:rPr>
                <w:rFonts w:ascii="Arial" w:cs="Arial" w:eastAsia="Arial" w:hAnsi="Arial"/>
                <w:sz w:val="23"/>
                <w:szCs w:val="23"/>
                <w:color w:val="auto"/>
                <w:vertAlign w:val="superscript"/>
              </w:rPr>
              <w:t>(6)</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Implied DCF Available to Common Unitholders</w:t>
            </w:r>
          </w:p>
        </w:tc>
        <w:tc>
          <w:tcPr>
            <w:tcW w:w="200" w:type="dxa"/>
            <w:vAlign w:val="bottom"/>
            <w:tcBorders>
              <w:bottom w:val="single" w:sz="8" w:color="CCEEFF"/>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280" w:type="dxa"/>
            <w:vAlign w:val="bottom"/>
            <w:tcBorders>
              <w:bottom w:val="single" w:sz="8" w:color="CCEEFF"/>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1,787</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1,307</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Weighted Average Common Units Outstanding</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726</w:t>
            </w:r>
          </w:p>
        </w:tc>
        <w:tc>
          <w:tcPr>
            <w:tcW w:w="7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Units and Common Equivalent Units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797</w:t>
            </w: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Implied DCF per Common Unit </w:t>
            </w:r>
            <w:r>
              <w:rPr>
                <w:rFonts w:ascii="Arial" w:cs="Arial" w:eastAsia="Arial" w:hAnsi="Arial"/>
                <w:sz w:val="23"/>
                <w:szCs w:val="23"/>
                <w:color w:val="auto"/>
                <w:vertAlign w:val="superscript"/>
              </w:rPr>
              <w:t>(7)</w:t>
            </w:r>
          </w:p>
        </w:tc>
        <w:tc>
          <w:tcPr>
            <w:tcW w:w="940" w:type="dxa"/>
            <w:vAlign w:val="bottom"/>
            <w:gridSpan w:val="2"/>
            <w:shd w:val="clear" w:color="auto" w:fill="CCEEFF"/>
          </w:tcPr>
          <w:p>
            <w:pPr>
              <w:jc w:val="right"/>
              <w:ind w:right="557"/>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0.94</w:t>
            </w:r>
          </w:p>
        </w:tc>
        <w:tc>
          <w:tcPr>
            <w:tcW w:w="7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0.58</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line="216" w:lineRule="exact"/>
              <w:rPr>
                <w:sz w:val="20"/>
                <w:szCs w:val="20"/>
                <w:color w:val="auto"/>
              </w:rPr>
            </w:pPr>
            <w:r>
              <w:rPr>
                <w:rFonts w:ascii="Arial" w:cs="Arial" w:eastAsia="Arial" w:hAnsi="Arial"/>
                <w:sz w:val="18"/>
                <w:szCs w:val="18"/>
                <w:color w:val="auto"/>
              </w:rPr>
              <w:t xml:space="preserve">Implied DCF per Common Unit and Common Equivalent Unit </w:t>
            </w:r>
            <w:r>
              <w:rPr>
                <w:rFonts w:ascii="Arial" w:cs="Arial" w:eastAsia="Arial" w:hAnsi="Arial"/>
                <w:sz w:val="23"/>
                <w:szCs w:val="23"/>
                <w:color w:val="auto"/>
                <w:vertAlign w:val="superscript"/>
              </w:rPr>
              <w:t>(8)</w:t>
            </w:r>
          </w:p>
        </w:tc>
        <w:tc>
          <w:tcPr>
            <w:tcW w:w="940" w:type="dxa"/>
            <w:vAlign w:val="bottom"/>
            <w:gridSpan w:val="2"/>
          </w:tcPr>
          <w:p>
            <w:pPr>
              <w:jc w:val="right"/>
              <w:ind w:right="557"/>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0.90</w:t>
            </w:r>
          </w:p>
        </w:tc>
        <w:tc>
          <w:tcPr>
            <w:tcW w:w="720" w:type="dxa"/>
            <w:vAlign w:val="bottom"/>
          </w:tcPr>
          <w:p>
            <w:pPr>
              <w:jc w:val="right"/>
              <w:ind w:right="532"/>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0.53</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2.38</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Cash Distribution Paid per Common Unit</w:t>
            </w:r>
          </w:p>
        </w:tc>
        <w:tc>
          <w:tcPr>
            <w:tcW w:w="940" w:type="dxa"/>
            <w:vAlign w:val="bottom"/>
            <w:gridSpan w:val="2"/>
          </w:tcPr>
          <w:p>
            <w:pPr>
              <w:jc w:val="right"/>
              <w:ind w:right="557"/>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0.30</w:t>
            </w:r>
          </w:p>
        </w:tc>
        <w:tc>
          <w:tcPr>
            <w:tcW w:w="720" w:type="dxa"/>
            <w:vAlign w:val="bottom"/>
          </w:tcPr>
          <w:p>
            <w:pPr>
              <w:jc w:val="right"/>
              <w:ind w:right="532"/>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0.30</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1.20</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Common Unit Cash Distributions </w:t>
            </w:r>
            <w:r>
              <w:rPr>
                <w:rFonts w:ascii="Arial" w:cs="Arial" w:eastAsia="Arial" w:hAnsi="Arial"/>
                <w:sz w:val="23"/>
                <w:szCs w:val="23"/>
                <w:color w:val="auto"/>
                <w:vertAlign w:val="superscript"/>
              </w:rPr>
              <w:t>(5)</w:t>
            </w:r>
          </w:p>
        </w:tc>
        <w:tc>
          <w:tcPr>
            <w:tcW w:w="940" w:type="dxa"/>
            <w:vAlign w:val="bottom"/>
            <w:gridSpan w:val="2"/>
            <w:shd w:val="clear" w:color="auto" w:fill="CCEEFF"/>
          </w:tcPr>
          <w:p>
            <w:pPr>
              <w:jc w:val="right"/>
              <w:ind w:right="557"/>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218</w:t>
            </w:r>
          </w:p>
        </w:tc>
        <w:tc>
          <w:tcPr>
            <w:tcW w:w="7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871</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Common Unit Distribution Coverage Ratio</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3.11x</w:t>
            </w:r>
          </w:p>
        </w:tc>
        <w:tc>
          <w:tcPr>
            <w:tcW w:w="7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1.92x</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2.05x</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0.94x</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Implied DCF Excess / (Shortage)</w:t>
            </w:r>
          </w:p>
        </w:tc>
        <w:tc>
          <w:tcPr>
            <w:tcW w:w="940" w:type="dxa"/>
            <w:vAlign w:val="bottom"/>
            <w:gridSpan w:val="2"/>
          </w:tcPr>
          <w:p>
            <w:pPr>
              <w:jc w:val="right"/>
              <w:ind w:right="557"/>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461</w:t>
            </w:r>
          </w:p>
        </w:tc>
        <w:tc>
          <w:tcPr>
            <w:tcW w:w="720" w:type="dxa"/>
            <w:vAlign w:val="bottom"/>
          </w:tcPr>
          <w:p>
            <w:pPr>
              <w:jc w:val="right"/>
              <w:ind w:right="532"/>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201</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916</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340" w:right="1100" w:hanging="332"/>
        <w:spacing w:after="0" w:line="227" w:lineRule="auto"/>
        <w:tabs>
          <w:tab w:leader="none" w:pos="328"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Adjustment to add back our proportionate share of depreciation and amortization expense and gains and losses on significant asset sales by unconsolidated entities.</w:t>
      </w:r>
    </w:p>
    <w:p>
      <w:pPr>
        <w:ind w:left="320" w:hanging="312"/>
        <w:spacing w:after="0" w:line="196" w:lineRule="auto"/>
        <w:tabs>
          <w:tab w:leader="none" w:pos="32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 w:lineRule="exact"/>
        <w:rPr>
          <w:rFonts w:ascii="Arial" w:cs="Arial" w:eastAsia="Arial" w:hAnsi="Arial"/>
          <w:sz w:val="23"/>
          <w:szCs w:val="23"/>
          <w:color w:val="auto"/>
          <w:vertAlign w:val="superscript"/>
        </w:rPr>
      </w:pPr>
    </w:p>
    <w:p>
      <w:pPr>
        <w:ind w:left="320" w:hanging="312"/>
        <w:spacing w:after="0" w:line="203" w:lineRule="auto"/>
        <w:tabs>
          <w:tab w:leader="none" w:pos="320" w:val="left"/>
        </w:tabs>
        <w:numPr>
          <w:ilvl w:val="0"/>
          <w:numId w:val="11"/>
        </w:numPr>
        <w:rPr>
          <w:rFonts w:ascii="Arial" w:cs="Arial" w:eastAsia="Arial" w:hAnsi="Arial"/>
          <w:sz w:val="22"/>
          <w:szCs w:val="22"/>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2" w:lineRule="exact"/>
        <w:rPr>
          <w:rFonts w:ascii="Arial" w:cs="Arial" w:eastAsia="Arial" w:hAnsi="Arial"/>
          <w:sz w:val="22"/>
          <w:szCs w:val="22"/>
          <w:color w:val="auto"/>
          <w:vertAlign w:val="superscript"/>
        </w:rPr>
      </w:pPr>
    </w:p>
    <w:p>
      <w:pPr>
        <w:ind w:left="340" w:right="780" w:hanging="332"/>
        <w:spacing w:after="0" w:line="219" w:lineRule="auto"/>
        <w:tabs>
          <w:tab w:leader="none" w:pos="328"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Represents the difference between non-cash equity earnings in unconsolidated entities (adjusted for our proportionate share of depreciation and amortization and gains and losses on significant asset sales) and cash distributions received from such entities.</w:t>
      </w:r>
    </w:p>
    <w:p>
      <w:pPr>
        <w:ind w:left="320" w:hanging="312"/>
        <w:spacing w:after="0" w:line="196" w:lineRule="auto"/>
        <w:tabs>
          <w:tab w:leader="none" w:pos="32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during the period presented.</w:t>
      </w:r>
    </w:p>
    <w:p>
      <w:pPr>
        <w:spacing w:after="0" w:line="1" w:lineRule="exact"/>
        <w:rPr>
          <w:rFonts w:ascii="Arial" w:cs="Arial" w:eastAsia="Arial" w:hAnsi="Arial"/>
          <w:sz w:val="23"/>
          <w:szCs w:val="23"/>
          <w:color w:val="auto"/>
          <w:vertAlign w:val="superscript"/>
        </w:rPr>
      </w:pPr>
    </w:p>
    <w:p>
      <w:pPr>
        <w:ind w:left="340" w:right="140" w:hanging="332"/>
        <w:spacing w:after="0" w:line="260" w:lineRule="auto"/>
        <w:tabs>
          <w:tab w:leader="none" w:pos="328"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Cash distributions paid to our preferred unitholders during the period presented. The current $0.5250 quarterly ($2.10 annualized) per unit distribution requirement of our Series A preferred units was paid-in-kind for each quarterly distribution from their issuance through February 2018. Distributions on our Series A preferred units were paid in cash beginning with the May 2018 quarterly distribution. The current $61.25 per unit annual distribution requirement of our Series B preferred units, which were issued in October 2017, is payable semi-annually in arrears on May 15 and November 15.</w:t>
      </w:r>
    </w:p>
    <w:p>
      <w:pPr>
        <w:spacing w:after="0" w:line="3" w:lineRule="exact"/>
        <w:rPr>
          <w:rFonts w:ascii="Arial" w:cs="Arial" w:eastAsia="Arial" w:hAnsi="Arial"/>
          <w:sz w:val="21"/>
          <w:szCs w:val="21"/>
          <w:color w:val="auto"/>
          <w:vertAlign w:val="superscript"/>
        </w:rPr>
      </w:pPr>
    </w:p>
    <w:p>
      <w:pPr>
        <w:ind w:left="320" w:hanging="312"/>
        <w:spacing w:after="0" w:line="196" w:lineRule="auto"/>
        <w:tabs>
          <w:tab w:leader="none" w:pos="32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Implied DCF Available to Common Unitholders for the period divided by the weighted average common units outstanding for the period.</w:t>
      </w:r>
    </w:p>
    <w:p>
      <w:pPr>
        <w:spacing w:after="0" w:line="1" w:lineRule="exact"/>
        <w:rPr>
          <w:rFonts w:ascii="Arial" w:cs="Arial" w:eastAsia="Arial" w:hAnsi="Arial"/>
          <w:sz w:val="23"/>
          <w:szCs w:val="23"/>
          <w:color w:val="auto"/>
          <w:vertAlign w:val="superscript"/>
        </w:rPr>
      </w:pPr>
    </w:p>
    <w:p>
      <w:pPr>
        <w:ind w:left="340" w:right="80" w:hanging="332"/>
        <w:spacing w:after="0" w:line="233" w:lineRule="auto"/>
        <w:tabs>
          <w:tab w:leader="none" w:pos="328"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Implied DCF Available to Common Unitholders for the period, adjusted for Series A preferred unit cash distributions paid (if any), divided by the weighted average common units and common equivalent units outstanding for the periods. Our Series A preferred units are convertible into common units, generally on a one-for-one basis and subject to customary anti-dilution adjustments, at any time after January 28, 2018, in whole or in part, subject to certain minimum conversion amounts.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280"/>
        <w:spacing w:after="0"/>
        <w:tabs>
          <w:tab w:leader="none" w:pos="4780" w:val="left"/>
          <w:tab w:leader="none" w:pos="69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Page 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Common Unit to Adjusted Net Income Per Common Unit Reconciliation: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0" w:type="dxa"/>
            <w:vAlign w:val="bottom"/>
            <w:gridSpan w:val="4"/>
          </w:tcPr>
          <w:p>
            <w:pPr>
              <w:jc w:val="right"/>
              <w:ind w:right="174"/>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6"/>
          </w:tcPr>
          <w:p>
            <w:pPr>
              <w:ind w:left="32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394"/>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unit</w:t>
            </w: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7"/>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line="216" w:lineRule="exact"/>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23"/>
                <w:szCs w:val="23"/>
                <w:color w:val="auto"/>
                <w:vertAlign w:val="superscript"/>
              </w:rPr>
              <w:t>(1)</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(0.63)</w:t>
            </w:r>
          </w:p>
        </w:tc>
        <w:tc>
          <w:tcPr>
            <w:tcW w:w="76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0.20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(0.89)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adjusted net income per common unit</w:t>
            </w: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577"/>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common unit</w:t>
            </w:r>
          </w:p>
        </w:tc>
        <w:tc>
          <w:tcPr>
            <w:tcW w:w="1540" w:type="dxa"/>
            <w:vAlign w:val="bottom"/>
            <w:gridSpan w:val="2"/>
            <w:shd w:val="clear" w:color="auto" w:fill="CCEEFF"/>
          </w:tcPr>
          <w:p>
            <w:pPr>
              <w:jc w:val="right"/>
              <w:ind w:right="577"/>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w:t>
            </w:r>
          </w:p>
        </w:tc>
        <w:tc>
          <w:tcPr>
            <w:tcW w:w="76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0.19</w:t>
            </w:r>
          </w:p>
        </w:tc>
        <w:tc>
          <w:tcPr>
            <w:tcW w:w="4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line="216" w:lineRule="exact"/>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23"/>
                <w:szCs w:val="23"/>
                <w:color w:val="auto"/>
                <w:vertAlign w:val="superscript"/>
              </w:rPr>
              <w:t>(1)</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(0.58)</w:t>
            </w:r>
          </w:p>
        </w:tc>
        <w:tc>
          <w:tcPr>
            <w:tcW w:w="76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0.20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(0.83)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adjusted net income per common unit</w:t>
            </w: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577"/>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540" w:hanging="332"/>
        <w:spacing w:after="0" w:line="227" w:lineRule="auto"/>
        <w:tabs>
          <w:tab w:leader="none" w:pos="328"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See the “Selected Items Impacting Comparability” and the “Computation of Basic and Diluted Adjusted Net Income Per Common Unit” tables for additional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Common Unit to Implied DCF Per Common Unit and Common Equivalent Unit Reconciliation: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0" w:type="dxa"/>
            <w:vAlign w:val="bottom"/>
            <w:gridSpan w:val="4"/>
          </w:tcPr>
          <w:p>
            <w:pPr>
              <w:jc w:val="right"/>
              <w:ind w:right="174"/>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6"/>
          </w:tcPr>
          <w:p>
            <w:pPr>
              <w:ind w:left="32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394"/>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unit</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7"/>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line="216" w:lineRule="exact"/>
              <w:rPr>
                <w:sz w:val="20"/>
                <w:szCs w:val="20"/>
                <w:color w:val="auto"/>
              </w:rPr>
            </w:pPr>
            <w:r>
              <w:rPr>
                <w:rFonts w:ascii="Arial" w:cs="Arial" w:eastAsia="Arial" w:hAnsi="Arial"/>
                <w:sz w:val="18"/>
                <w:szCs w:val="18"/>
                <w:color w:val="auto"/>
              </w:rPr>
              <w:t xml:space="preserve">Reconciling items per common unit </w:t>
            </w:r>
            <w:r>
              <w:rPr>
                <w:rFonts w:ascii="Arial" w:cs="Arial" w:eastAsia="Arial" w:hAnsi="Arial"/>
                <w:sz w:val="23"/>
                <w:szCs w:val="23"/>
                <w:color w:val="auto"/>
                <w:vertAlign w:val="superscript"/>
              </w:rPr>
              <w:t>(1) (2)</w:t>
            </w: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(0.52)</w:t>
            </w:r>
          </w:p>
        </w:tc>
        <w:tc>
          <w:tcPr>
            <w:tcW w:w="76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0.39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Implied DCF per common unit</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577"/>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unit</w:t>
            </w:r>
          </w:p>
        </w:tc>
        <w:tc>
          <w:tcPr>
            <w:tcW w:w="1180" w:type="dxa"/>
            <w:vAlign w:val="bottom"/>
            <w:gridSpan w:val="2"/>
            <w:shd w:val="clear" w:color="auto" w:fill="CCEEFF"/>
          </w:tcPr>
          <w:p>
            <w:pPr>
              <w:jc w:val="right"/>
              <w:ind w:right="577"/>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w:t>
            </w:r>
          </w:p>
        </w:tc>
        <w:tc>
          <w:tcPr>
            <w:tcW w:w="76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0.19</w:t>
            </w:r>
          </w:p>
        </w:tc>
        <w:tc>
          <w:tcPr>
            <w:tcW w:w="4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2.77</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line="216" w:lineRule="exact"/>
              <w:rPr>
                <w:sz w:val="20"/>
                <w:szCs w:val="20"/>
                <w:color w:val="auto"/>
              </w:rPr>
            </w:pPr>
            <w:r>
              <w:rPr>
                <w:rFonts w:ascii="Arial" w:cs="Arial" w:eastAsia="Arial" w:hAnsi="Arial"/>
                <w:sz w:val="18"/>
                <w:szCs w:val="18"/>
                <w:color w:val="auto"/>
                <w:w w:val="97"/>
              </w:rPr>
              <w:t xml:space="preserve">Reconciling items per common unit and common equivalent unit </w:t>
            </w:r>
            <w:r>
              <w:rPr>
                <w:rFonts w:ascii="Arial" w:cs="Arial" w:eastAsia="Arial" w:hAnsi="Arial"/>
                <w:sz w:val="23"/>
                <w:szCs w:val="23"/>
                <w:color w:val="auto"/>
                <w:w w:val="97"/>
                <w:vertAlign w:val="superscript"/>
              </w:rPr>
              <w:t>(1) (3)</w:t>
            </w: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(0.56)</w:t>
            </w:r>
          </w:p>
        </w:tc>
        <w:tc>
          <w:tcPr>
            <w:tcW w:w="76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0.34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Implied DCF per common unit and common equivalent unit</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577"/>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460" w:hanging="332"/>
        <w:spacing w:after="0" w:line="227" w:lineRule="auto"/>
        <w:tabs>
          <w:tab w:leader="none" w:pos="328"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to Net Income to calculate Implied DCF Available to Common Unitholders. See the “Net Income to Adjusted EBITDA and Implied DCF Reconciliation” table for additional information.</w:t>
      </w:r>
    </w:p>
    <w:p>
      <w:pPr>
        <w:ind w:left="320" w:hanging="312"/>
        <w:spacing w:after="0" w:line="196" w:lineRule="auto"/>
        <w:tabs>
          <w:tab w:leader="none" w:pos="32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of 726 million, 725 million, 726 million and 717 million, respectively.</w:t>
      </w:r>
    </w:p>
    <w:p>
      <w:pPr>
        <w:spacing w:after="0" w:line="1" w:lineRule="exact"/>
        <w:rPr>
          <w:rFonts w:ascii="Arial" w:cs="Arial" w:eastAsia="Arial" w:hAnsi="Arial"/>
          <w:sz w:val="23"/>
          <w:szCs w:val="23"/>
          <w:color w:val="auto"/>
          <w:vertAlign w:val="superscript"/>
        </w:rPr>
      </w:pPr>
    </w:p>
    <w:p>
      <w:pPr>
        <w:ind w:left="340" w:right="200" w:hanging="332"/>
        <w:spacing w:after="0" w:line="219" w:lineRule="auto"/>
        <w:tabs>
          <w:tab w:leader="none" w:pos="328"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as well as weighted average Series A preferred units outstanding for the period of approximately 71 million, 69 million, 71 million and 67 million, respectively.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280"/>
        <w:spacing w:after="0"/>
        <w:tabs>
          <w:tab w:leader="none" w:pos="4780" w:val="left"/>
          <w:tab w:leader="none" w:pos="69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Page 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6"/>
              </w:rPr>
              <w:t>Three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91"/>
              </w:rPr>
              <w:t>December 31, 2018</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91"/>
              </w:rPr>
              <w:t>December 31, 2017</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vMerge w:val="restart"/>
          </w:tcPr>
          <w:p>
            <w:pPr>
              <w:jc w:val="right"/>
              <w:ind w:right="188"/>
              <w:spacing w:after="0"/>
              <w:rPr>
                <w:sz w:val="20"/>
                <w:szCs w:val="20"/>
                <w:color w:val="auto"/>
              </w:rPr>
            </w:pPr>
            <w:r>
              <w:rPr>
                <w:rFonts w:ascii="Arial" w:cs="Arial" w:eastAsia="Arial" w:hAnsi="Arial"/>
                <w:sz w:val="14"/>
                <w:szCs w:val="14"/>
                <w:b w:val="1"/>
                <w:bCs w:val="1"/>
                <w:color w:val="auto"/>
                <w:w w:val="97"/>
              </w:rPr>
              <w:t>Transportation</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Facilities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ind w:right="73"/>
              <w:spacing w:after="0" w:line="119" w:lineRule="exact"/>
              <w:rPr>
                <w:sz w:val="20"/>
                <w:szCs w:val="20"/>
                <w:color w:val="auto"/>
              </w:rPr>
            </w:pPr>
            <w:r>
              <w:rPr>
                <w:rFonts w:ascii="Arial" w:cs="Arial" w:eastAsia="Arial" w:hAnsi="Arial"/>
                <w:sz w:val="13"/>
                <w:szCs w:val="13"/>
                <w:b w:val="1"/>
                <w:bCs w:val="1"/>
                <w:color w:val="auto"/>
              </w:rPr>
              <w:t>Supply and</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right"/>
              <w:ind w:right="168"/>
              <w:spacing w:after="0"/>
              <w:rPr>
                <w:sz w:val="20"/>
                <w:szCs w:val="20"/>
                <w:color w:val="auto"/>
              </w:rPr>
            </w:pPr>
            <w:r>
              <w:rPr>
                <w:rFonts w:ascii="Arial" w:cs="Arial" w:eastAsia="Arial" w:hAnsi="Arial"/>
                <w:sz w:val="14"/>
                <w:szCs w:val="14"/>
                <w:b w:val="1"/>
                <w:bCs w:val="1"/>
                <w:color w:val="auto"/>
                <w:w w:val="95"/>
              </w:rPr>
              <w:t>Transportation</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Facilities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ind w:right="73"/>
              <w:spacing w:after="0" w:line="119" w:lineRule="exact"/>
              <w:rPr>
                <w:sz w:val="20"/>
                <w:szCs w:val="20"/>
                <w:color w:val="auto"/>
              </w:rPr>
            </w:pPr>
            <w:r>
              <w:rPr>
                <w:rFonts w:ascii="Arial" w:cs="Arial" w:eastAsia="Arial" w:hAnsi="Arial"/>
                <w:sz w:val="13"/>
                <w:szCs w:val="13"/>
                <w:b w:val="1"/>
                <w:bCs w:val="1"/>
                <w:color w:val="auto"/>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Logistics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8,446</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(7,411)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line="201" w:lineRule="exact"/>
              <w:rPr>
                <w:sz w:val="20"/>
                <w:szCs w:val="20"/>
                <w:color w:val="auto"/>
              </w:rPr>
            </w:pPr>
            <w:r>
              <w:rPr>
                <w:rFonts w:ascii="Arial" w:cs="Arial" w:eastAsia="Arial" w:hAnsi="Arial"/>
                <w:sz w:val="18"/>
                <w:szCs w:val="18"/>
                <w:color w:val="auto"/>
                <w:w w:val="99"/>
              </w:rPr>
              <w:t>Segment general and administrative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ind w:left="160"/>
              <w:spacing w:after="0" w:line="231"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(2) (3)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 earnings in unconsolidated</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entities</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ind w:left="160"/>
              <w:spacing w:after="0" w:line="201" w:lineRule="exact"/>
              <w:rPr>
                <w:sz w:val="20"/>
                <w:szCs w:val="20"/>
                <w:color w:val="auto"/>
              </w:rPr>
            </w:pPr>
            <w:r>
              <w:rPr>
                <w:rFonts w:ascii="Arial" w:cs="Arial" w:eastAsia="Arial" w:hAnsi="Arial"/>
                <w:sz w:val="18"/>
                <w:szCs w:val="18"/>
                <w:color w:val="auto"/>
              </w:rPr>
              <w:t>Depreciation and amortization of</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ind w:left="340"/>
              <w:spacing w:after="0"/>
              <w:rPr>
                <w:sz w:val="20"/>
                <w:szCs w:val="20"/>
                <w:color w:val="auto"/>
              </w:rPr>
            </w:pPr>
            <w:r>
              <w:rPr>
                <w:rFonts w:ascii="Arial" w:cs="Arial" w:eastAsia="Arial" w:hAnsi="Arial"/>
                <w:sz w:val="18"/>
                <w:szCs w:val="18"/>
                <w:color w:val="auto"/>
              </w:rPr>
              <w:t>unconsolidated entities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8"/>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(Gains)/losses from derivative</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activities net of inventory</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valuation adjustments</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(628)</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ind w:left="160"/>
              <w:spacing w:after="0" w:line="201" w:lineRule="exact"/>
              <w:rPr>
                <w:sz w:val="20"/>
                <w:szCs w:val="20"/>
                <w:color w:val="auto"/>
              </w:rPr>
            </w:pPr>
            <w:r>
              <w:rPr>
                <w:rFonts w:ascii="Arial" w:cs="Arial" w:eastAsia="Arial" w:hAnsi="Arial"/>
                <w:sz w:val="18"/>
                <w:szCs w:val="18"/>
                <w:color w:val="auto"/>
              </w:rPr>
              <w:t>Long-term inventory costing</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ind w:left="340"/>
              <w:spacing w:after="0"/>
              <w:rPr>
                <w:sz w:val="20"/>
                <w:szCs w:val="20"/>
                <w:color w:val="auto"/>
              </w:rPr>
            </w:pPr>
            <w:r>
              <w:rPr>
                <w:rFonts w:ascii="Arial" w:cs="Arial" w:eastAsia="Arial" w:hAnsi="Arial"/>
                <w:sz w:val="18"/>
                <w:szCs w:val="18"/>
                <w:color w:val="auto"/>
              </w:rPr>
              <w:t>adjustments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Deficiencies under minimum</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volume commitments, net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ind w:left="160"/>
              <w:spacing w:after="0" w:line="201" w:lineRule="exact"/>
              <w:rPr>
                <w:sz w:val="20"/>
                <w:szCs w:val="20"/>
                <w:color w:val="auto"/>
              </w:rPr>
            </w:pPr>
            <w:r>
              <w:rPr>
                <w:rFonts w:ascii="Arial" w:cs="Arial" w:eastAsia="Arial" w:hAnsi="Arial"/>
                <w:sz w:val="18"/>
                <w:szCs w:val="18"/>
                <w:color w:val="auto"/>
              </w:rPr>
              <w:t>Equity-indexed compensation</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ind w:left="340"/>
              <w:spacing w:after="0"/>
              <w:rPr>
                <w:sz w:val="20"/>
                <w:szCs w:val="20"/>
                <w:color w:val="auto"/>
              </w:rPr>
            </w:pPr>
            <w:r>
              <w:rPr>
                <w:rFonts w:ascii="Arial" w:cs="Arial" w:eastAsia="Arial" w:hAnsi="Arial"/>
                <w:sz w:val="18"/>
                <w:szCs w:val="18"/>
                <w:color w:val="auto"/>
              </w:rPr>
              <w:t>expense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8"/>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8"/>
              </w:rPr>
              <w:t>Net (gain)/loss on foreign currency</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revaluation</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Line 901 incident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8"/>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Adjusted EBITDA</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4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Maintenance capital</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Includes intersegment amounts.</w:t>
      </w:r>
    </w:p>
    <w:p>
      <w:pPr>
        <w:spacing w:after="0" w:line="1"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Field operating costs and Segment general and administrative expenses include equity-indexed compensation expense.</w:t>
      </w:r>
    </w:p>
    <w:p>
      <w:pPr>
        <w:spacing w:after="0" w:line="2" w:lineRule="exact"/>
        <w:rPr>
          <w:rFonts w:ascii="Arial" w:cs="Arial" w:eastAsia="Arial" w:hAnsi="Arial"/>
          <w:sz w:val="23"/>
          <w:szCs w:val="23"/>
          <w:color w:val="auto"/>
          <w:vertAlign w:val="superscript"/>
        </w:rPr>
      </w:pPr>
    </w:p>
    <w:p>
      <w:pPr>
        <w:ind w:left="340" w:right="280" w:hanging="332"/>
        <w:spacing w:after="0" w:line="242" w:lineRule="auto"/>
        <w:tabs>
          <w:tab w:leader="none" w:pos="328"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 w:lineRule="exact"/>
        <w:rPr>
          <w:rFonts w:ascii="Arial" w:cs="Arial" w:eastAsia="Arial" w:hAnsi="Arial"/>
          <w:sz w:val="21"/>
          <w:szCs w:val="21"/>
          <w:color w:val="auto"/>
          <w:vertAlign w:val="superscript"/>
        </w:rPr>
      </w:pPr>
    </w:p>
    <w:p>
      <w:pPr>
        <w:ind w:left="340" w:right="40" w:hanging="332"/>
        <w:spacing w:after="0" w:line="229" w:lineRule="auto"/>
        <w:tabs>
          <w:tab w:leader="none" w:pos="328"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utilized by our Chief Operating Decision Maker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280"/>
        <w:spacing w:after="0"/>
        <w:tabs>
          <w:tab w:leader="none" w:pos="4780" w:val="left"/>
          <w:tab w:leader="none" w:pos="69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Page 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92"/>
              </w:rPr>
              <w:t>Twelve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rPr>
              <w:t>Twelve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91"/>
              </w:rPr>
              <w:t>December 31, 2018</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w w:val="91"/>
              </w:rPr>
              <w:t>December 31, 2017</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vMerge w:val="restart"/>
          </w:tcPr>
          <w:p>
            <w:pPr>
              <w:jc w:val="right"/>
              <w:ind w:right="188"/>
              <w:spacing w:after="0"/>
              <w:rPr>
                <w:sz w:val="20"/>
                <w:szCs w:val="20"/>
                <w:color w:val="auto"/>
              </w:rPr>
            </w:pPr>
            <w:r>
              <w:rPr>
                <w:rFonts w:ascii="Arial" w:cs="Arial" w:eastAsia="Arial" w:hAnsi="Arial"/>
                <w:sz w:val="14"/>
                <w:szCs w:val="14"/>
                <w:b w:val="1"/>
                <w:bCs w:val="1"/>
                <w:color w:val="auto"/>
                <w:w w:val="97"/>
              </w:rPr>
              <w:t>Transportation</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Facilities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ind w:right="72"/>
              <w:spacing w:after="0" w:line="119" w:lineRule="exact"/>
              <w:rPr>
                <w:sz w:val="20"/>
                <w:szCs w:val="20"/>
                <w:color w:val="auto"/>
              </w:rPr>
            </w:pPr>
            <w:r>
              <w:rPr>
                <w:rFonts w:ascii="Arial" w:cs="Arial" w:eastAsia="Arial" w:hAnsi="Arial"/>
                <w:sz w:val="13"/>
                <w:szCs w:val="13"/>
                <w:b w:val="1"/>
                <w:bCs w:val="1"/>
                <w:color w:val="auto"/>
              </w:rPr>
              <w:t>Supply and</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5"/>
              </w:rPr>
              <w:t>Transportation</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Facilities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ind w:right="72"/>
              <w:spacing w:after="0" w:line="119" w:lineRule="exact"/>
              <w:rPr>
                <w:sz w:val="20"/>
                <w:szCs w:val="20"/>
                <w:color w:val="auto"/>
              </w:rPr>
            </w:pPr>
            <w:r>
              <w:rPr>
                <w:rFonts w:ascii="Arial" w:cs="Arial" w:eastAsia="Arial" w:hAnsi="Arial"/>
                <w:sz w:val="13"/>
                <w:szCs w:val="13"/>
                <w:b w:val="1"/>
                <w:bCs w:val="1"/>
                <w:color w:val="auto"/>
              </w:rPr>
              <w:t>Supply and</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Logistics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32,822</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25,065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(194)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(31,487)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(24,557)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line="201" w:lineRule="exact"/>
              <w:rPr>
                <w:sz w:val="20"/>
                <w:szCs w:val="20"/>
                <w:color w:val="auto"/>
              </w:rPr>
            </w:pPr>
            <w:r>
              <w:rPr>
                <w:rFonts w:ascii="Arial" w:cs="Arial" w:eastAsia="Arial" w:hAnsi="Arial"/>
                <w:sz w:val="18"/>
                <w:szCs w:val="18"/>
                <w:color w:val="auto"/>
                <w:w w:val="99"/>
              </w:rPr>
              <w:t>Segment general and administrative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ind w:left="160"/>
              <w:spacing w:after="0" w:line="231"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(2) (3)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 earnings in unconsolidated</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entities</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375</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290</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ind w:left="160"/>
              <w:spacing w:after="0" w:line="201" w:lineRule="exact"/>
              <w:rPr>
                <w:sz w:val="20"/>
                <w:szCs w:val="20"/>
                <w:color w:val="auto"/>
              </w:rPr>
            </w:pPr>
            <w:r>
              <w:rPr>
                <w:rFonts w:ascii="Arial" w:cs="Arial" w:eastAsia="Arial" w:hAnsi="Arial"/>
                <w:sz w:val="18"/>
                <w:szCs w:val="18"/>
                <w:color w:val="auto"/>
              </w:rPr>
              <w:t>Depreciation and amortization of</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ind w:left="340"/>
              <w:spacing w:after="0"/>
              <w:rPr>
                <w:sz w:val="20"/>
                <w:szCs w:val="20"/>
                <w:color w:val="auto"/>
              </w:rPr>
            </w:pPr>
            <w:r>
              <w:rPr>
                <w:rFonts w:ascii="Arial" w:cs="Arial" w:eastAsia="Arial" w:hAnsi="Arial"/>
                <w:sz w:val="18"/>
                <w:szCs w:val="18"/>
                <w:color w:val="auto"/>
              </w:rPr>
              <w:t>unconsolidated entities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(Gains)/losses from derivative</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activities net of inventory</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valuation adjustments</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(518)</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ind w:left="160"/>
              <w:spacing w:after="0" w:line="201" w:lineRule="exact"/>
              <w:rPr>
                <w:sz w:val="20"/>
                <w:szCs w:val="20"/>
                <w:color w:val="auto"/>
              </w:rPr>
            </w:pPr>
            <w:r>
              <w:rPr>
                <w:rFonts w:ascii="Arial" w:cs="Arial" w:eastAsia="Arial" w:hAnsi="Arial"/>
                <w:sz w:val="18"/>
                <w:szCs w:val="18"/>
                <w:color w:val="auto"/>
              </w:rPr>
              <w:t>Long-term inventory costing</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ind w:left="340"/>
              <w:spacing w:after="0"/>
              <w:rPr>
                <w:sz w:val="20"/>
                <w:szCs w:val="20"/>
                <w:color w:val="auto"/>
              </w:rPr>
            </w:pPr>
            <w:r>
              <w:rPr>
                <w:rFonts w:ascii="Arial" w:cs="Arial" w:eastAsia="Arial" w:hAnsi="Arial"/>
                <w:sz w:val="18"/>
                <w:szCs w:val="18"/>
                <w:color w:val="auto"/>
              </w:rPr>
              <w:t>adjustments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Deficiencies under minimum</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volume commitments, net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ind w:left="160"/>
              <w:spacing w:after="0" w:line="201" w:lineRule="exact"/>
              <w:rPr>
                <w:sz w:val="20"/>
                <w:szCs w:val="20"/>
                <w:color w:val="auto"/>
              </w:rPr>
            </w:pPr>
            <w:r>
              <w:rPr>
                <w:rFonts w:ascii="Arial" w:cs="Arial" w:eastAsia="Arial" w:hAnsi="Arial"/>
                <w:sz w:val="18"/>
                <w:szCs w:val="18"/>
                <w:color w:val="auto"/>
              </w:rPr>
              <w:t>Equity-indexed compensation</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ind w:left="340"/>
              <w:spacing w:after="0"/>
              <w:rPr>
                <w:sz w:val="20"/>
                <w:szCs w:val="20"/>
                <w:color w:val="auto"/>
              </w:rPr>
            </w:pPr>
            <w:r>
              <w:rPr>
                <w:rFonts w:ascii="Arial" w:cs="Arial" w:eastAsia="Arial" w:hAnsi="Arial"/>
                <w:sz w:val="18"/>
                <w:szCs w:val="18"/>
                <w:color w:val="auto"/>
              </w:rPr>
              <w:t>expense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8"/>
              </w:rPr>
              <w:t>Net (gain)/loss on foreign currency</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revaluation</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Line 901 incident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Significant acquisition-related</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expenses</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Segment Adjusted EBITDA</w:t>
            </w:r>
          </w:p>
        </w:tc>
        <w:tc>
          <w:tcPr>
            <w:tcW w:w="2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240" w:type="dxa"/>
            <w:vAlign w:val="bottom"/>
            <w:tcBorders>
              <w:bottom w:val="single" w:sz="8" w:color="CCEEFF"/>
              <w:right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1,287</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Maintenance capital</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139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right w:val="single" w:sz="8" w:color="auto"/>
            </w:tcBorders>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120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114</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Includes intersegment amounts.</w:t>
      </w:r>
    </w:p>
    <w:p>
      <w:pPr>
        <w:spacing w:after="0" w:line="1"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Field operating costs and Segment general and administrative expenses include equity-indexed compensation expense.</w:t>
      </w:r>
    </w:p>
    <w:p>
      <w:pPr>
        <w:spacing w:after="0" w:line="2" w:lineRule="exact"/>
        <w:rPr>
          <w:rFonts w:ascii="Arial" w:cs="Arial" w:eastAsia="Arial" w:hAnsi="Arial"/>
          <w:sz w:val="23"/>
          <w:szCs w:val="23"/>
          <w:color w:val="auto"/>
          <w:vertAlign w:val="superscript"/>
        </w:rPr>
      </w:pPr>
    </w:p>
    <w:p>
      <w:pPr>
        <w:ind w:left="340" w:right="280" w:hanging="332"/>
        <w:spacing w:after="0" w:line="242" w:lineRule="auto"/>
        <w:tabs>
          <w:tab w:leader="none" w:pos="328"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 w:lineRule="exact"/>
        <w:rPr>
          <w:rFonts w:ascii="Arial" w:cs="Arial" w:eastAsia="Arial" w:hAnsi="Arial"/>
          <w:sz w:val="21"/>
          <w:szCs w:val="21"/>
          <w:color w:val="auto"/>
          <w:vertAlign w:val="superscript"/>
        </w:rPr>
      </w:pPr>
    </w:p>
    <w:p>
      <w:pPr>
        <w:ind w:left="340" w:right="300" w:hanging="332"/>
        <w:spacing w:after="0" w:line="229" w:lineRule="auto"/>
        <w:tabs>
          <w:tab w:leader="none" w:pos="32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280"/>
        <w:spacing w:after="0"/>
        <w:tabs>
          <w:tab w:leader="none" w:pos="4780" w:val="left"/>
          <w:tab w:leader="none" w:pos="69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Page 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DATA BY SEGMENT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160" w:type="dxa"/>
            <w:vAlign w:val="bottom"/>
            <w:gridSpan w:val="4"/>
          </w:tcPr>
          <w:p>
            <w:pPr>
              <w:jc w:val="center"/>
              <w:ind w:left="348"/>
              <w:spacing w:after="0"/>
              <w:rPr>
                <w:sz w:val="20"/>
                <w:szCs w:val="20"/>
                <w:color w:val="auto"/>
              </w:rPr>
            </w:pPr>
            <w:r>
              <w:rPr>
                <w:rFonts w:ascii="Arial" w:cs="Arial" w:eastAsia="Arial" w:hAnsi="Arial"/>
                <w:sz w:val="14"/>
                <w:szCs w:val="14"/>
                <w:b w:val="1"/>
                <w:bCs w:val="1"/>
                <w:color w:val="auto"/>
                <w:w w:val="93"/>
              </w:rPr>
              <w:t>Three Months Ended</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3"/>
              </w:rPr>
              <w:t>Twelve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4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tcBorders>
              <w:bottom w:val="single" w:sz="8" w:color="auto"/>
            </w:tcBorders>
            <w:gridSpan w:val="3"/>
          </w:tcPr>
          <w:p>
            <w:pPr>
              <w:jc w:val="center"/>
              <w:ind w:left="712"/>
              <w:spacing w:after="0"/>
              <w:rPr>
                <w:sz w:val="20"/>
                <w:szCs w:val="20"/>
                <w:color w:val="auto"/>
              </w:rPr>
            </w:pPr>
            <w:r>
              <w:rPr>
                <w:rFonts w:ascii="Arial" w:cs="Arial" w:eastAsia="Arial" w:hAnsi="Arial"/>
                <w:sz w:val="14"/>
                <w:szCs w:val="14"/>
                <w:b w:val="1"/>
                <w:bCs w:val="1"/>
                <w:color w:val="auto"/>
                <w:w w:val="92"/>
              </w:rPr>
              <w:t>December 31,</w:t>
            </w: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00" w:type="dxa"/>
            <w:vAlign w:val="bottom"/>
            <w:gridSpan w:val="2"/>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4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jc w:val="right"/>
              <w:ind w:right="351"/>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88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5"/>
              </w:rPr>
              <w:t>Transportation segment (average daily volumes in thousands of barrels</w:t>
            </w:r>
          </w:p>
        </w:tc>
        <w:tc>
          <w:tcPr>
            <w:tcW w:w="7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per day):</w:t>
            </w:r>
          </w:p>
        </w:tc>
        <w:tc>
          <w:tcPr>
            <w:tcW w:w="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Tariff activities volumes</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Crude oil pipelines (by region):</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line="216"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(2)</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4,063</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3,219</w:t>
            </w:r>
          </w:p>
        </w:tc>
        <w:tc>
          <w:tcPr>
            <w:tcW w:w="28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3,732</w:t>
            </w: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2,855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(2)</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459</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418</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442</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line="216"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3"/>
                <w:szCs w:val="23"/>
                <w:color w:val="auto"/>
                <w:vertAlign w:val="superscript"/>
              </w:rPr>
              <w:t>(2)</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523</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424</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473</w:t>
            </w: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Gulf Coast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312</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178</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line="216"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(2)</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349</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317</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284</w:t>
            </w: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Western</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194</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179</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Canada</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326</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330</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316</w:t>
            </w: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Crude oil pipelines</w:t>
            </w: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6,082</w:t>
            </w:r>
          </w:p>
        </w:tc>
        <w:tc>
          <w:tcPr>
            <w:tcW w:w="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5,199</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5,608</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NGL pipelines</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212</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172</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183</w:t>
            </w: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Tariff activities total volumes</w:t>
            </w: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6,294</w:t>
            </w:r>
          </w:p>
        </w:tc>
        <w:tc>
          <w:tcPr>
            <w:tcW w:w="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5,371</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5,791</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Trucking volumes</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110</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106</w:t>
            </w:r>
          </w:p>
        </w:tc>
        <w:tc>
          <w:tcPr>
            <w:tcW w:w="1140" w:type="dxa"/>
            <w:vAlign w:val="bottom"/>
          </w:tcPr>
          <w:p>
            <w:pPr>
              <w:jc w:val="right"/>
              <w:spacing w:after="0"/>
              <w:rPr>
                <w:sz w:val="20"/>
                <w:szCs w:val="20"/>
                <w:color w:val="auto"/>
              </w:rPr>
            </w:pPr>
            <w:r>
              <w:rPr>
                <w:rFonts w:ascii="Arial" w:cs="Arial" w:eastAsia="Arial" w:hAnsi="Arial"/>
                <w:sz w:val="18"/>
                <w:szCs w:val="18"/>
                <w:color w:val="auto"/>
              </w:rPr>
              <w:t>98</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Transportation segment total volumes</w:t>
            </w: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6,404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5,477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Facilities segment (average monthly volumes):</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8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Liquids storage (average monthly capacity in millions of barrels)</w:t>
            </w:r>
          </w:p>
        </w:tc>
        <w:tc>
          <w:tcPr>
            <w:tcW w:w="7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8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8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80" w:type="dxa"/>
            <w:vAlign w:val="bottom"/>
            <w:shd w:val="clear" w:color="auto" w:fill="CCEEFF"/>
          </w:tcPr>
          <w:p>
            <w:pPr>
              <w:ind w:left="160"/>
              <w:spacing w:after="0" w:line="156" w:lineRule="exact"/>
              <w:rPr>
                <w:sz w:val="20"/>
                <w:szCs w:val="20"/>
                <w:color w:val="auto"/>
              </w:rPr>
            </w:pPr>
            <w:r>
              <w:rPr>
                <w:rFonts w:ascii="Arial" w:cs="Arial" w:eastAsia="Arial" w:hAnsi="Arial"/>
                <w:sz w:val="18"/>
                <w:szCs w:val="18"/>
                <w:color w:val="auto"/>
                <w:w w:val="97"/>
              </w:rPr>
              <w:t>Natural gas storage (average monthly working capacity in billions of cubic</w:t>
            </w:r>
          </w:p>
        </w:tc>
        <w:tc>
          <w:tcPr>
            <w:tcW w:w="74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65</w:t>
            </w:r>
          </w:p>
        </w:tc>
        <w:tc>
          <w:tcPr>
            <w:tcW w:w="72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feet)</w:t>
            </w:r>
          </w:p>
        </w:tc>
        <w:tc>
          <w:tcPr>
            <w:tcW w:w="700" w:type="dxa"/>
            <w:vAlign w:val="bottom"/>
            <w:gridSpan w:val="2"/>
            <w:vMerge w:val="continue"/>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NGL fractionation (average volumes in thousands of barrels per day)</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880" w:type="dxa"/>
            <w:vAlign w:val="bottom"/>
            <w:tcBorders>
              <w:bottom w:val="single" w:sz="8" w:color="CCEEFF"/>
            </w:tcBorders>
            <w:vMerge w:val="continue"/>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140</w:t>
            </w:r>
          </w:p>
        </w:tc>
        <w:tc>
          <w:tcPr>
            <w:tcW w:w="280" w:type="dxa"/>
            <w:vAlign w:val="bottom"/>
            <w:tcBorders>
              <w:bottom w:val="single" w:sz="8" w:color="CCEEFF"/>
            </w:tcBorders>
            <w:vMerge w:val="continue"/>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127</w:t>
            </w:r>
          </w:p>
        </w:tc>
        <w:tc>
          <w:tcPr>
            <w:tcW w:w="280" w:type="dxa"/>
            <w:vAlign w:val="bottom"/>
            <w:tcBorders>
              <w:bottom w:val="single" w:sz="8" w:color="CCEEFF"/>
            </w:tcBorders>
            <w:vMerge w:val="continue"/>
          </w:tcPr>
          <w:p>
            <w:pPr>
              <w:spacing w:after="0"/>
              <w:rPr>
                <w:sz w:val="20"/>
                <w:szCs w:val="20"/>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131</w:t>
            </w:r>
          </w:p>
        </w:tc>
        <w:tc>
          <w:tcPr>
            <w:tcW w:w="28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126</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8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rPr>
              <w:t>Facilities segment total volumes (average monthly volumes in millions of</w:t>
            </w:r>
          </w:p>
        </w:tc>
        <w:tc>
          <w:tcPr>
            <w:tcW w:w="74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124</w:t>
            </w:r>
          </w:p>
        </w:tc>
        <w:tc>
          <w:tcPr>
            <w:tcW w:w="72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129</w:t>
            </w:r>
          </w:p>
        </w:tc>
        <w:tc>
          <w:tcPr>
            <w:tcW w:w="14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124</w:t>
            </w:r>
          </w:p>
        </w:tc>
        <w:tc>
          <w:tcPr>
            <w:tcW w:w="34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barrels) </w:t>
            </w:r>
            <w:r>
              <w:rPr>
                <w:rFonts w:ascii="Arial" w:cs="Arial" w:eastAsia="Arial" w:hAnsi="Arial"/>
                <w:sz w:val="23"/>
                <w:szCs w:val="23"/>
                <w:color w:val="auto"/>
                <w:vertAlign w:val="superscript"/>
              </w:rPr>
              <w:t>(3)</w:t>
            </w:r>
          </w:p>
        </w:tc>
        <w:tc>
          <w:tcPr>
            <w:tcW w:w="700" w:type="dxa"/>
            <w:vAlign w:val="bottom"/>
            <w:gridSpan w:val="2"/>
            <w:vMerge w:val="continue"/>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6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Supply and Logistics segment (average daily volumes in thousands of</w:t>
            </w: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barrels per day):</w:t>
            </w:r>
          </w:p>
        </w:tc>
        <w:tc>
          <w:tcPr>
            <w:tcW w:w="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Crude oil lease gathering purchases</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1,111</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994</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1,054</w:t>
            </w: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NGL sales</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292</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335</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255</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Supply and Logistics segment total volumes</w:t>
            </w:r>
          </w:p>
        </w:tc>
        <w:tc>
          <w:tcPr>
            <w:tcW w:w="7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1,403</w:t>
            </w:r>
          </w:p>
        </w:tc>
        <w:tc>
          <w:tcPr>
            <w:tcW w:w="280" w:type="dxa"/>
            <w:vAlign w:val="bottom"/>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1,329</w:t>
            </w:r>
          </w:p>
        </w:tc>
        <w:tc>
          <w:tcPr>
            <w:tcW w:w="2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1,309</w:t>
            </w:r>
          </w:p>
        </w:tc>
        <w:tc>
          <w:tcPr>
            <w:tcW w:w="2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400"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Average volumes are calculated as the total volumes (attributable to our interest) for the period divided by the number of days or months in the period.</w:t>
      </w:r>
    </w:p>
    <w:p>
      <w:pPr>
        <w:spacing w:after="0" w:line="1" w:lineRule="exact"/>
        <w:rPr>
          <w:rFonts w:ascii="Arial" w:cs="Arial" w:eastAsia="Arial" w:hAnsi="Arial"/>
          <w:sz w:val="21"/>
          <w:szCs w:val="21"/>
          <w:color w:val="auto"/>
          <w:vertAlign w:val="superscript"/>
        </w:rPr>
      </w:pPr>
    </w:p>
    <w:p>
      <w:pPr>
        <w:ind w:left="320" w:hanging="312"/>
        <w:spacing w:after="0" w:line="194" w:lineRule="auto"/>
        <w:tabs>
          <w:tab w:leader="none" w:pos="32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Region includes volumes (attributable to our interest) from pipelines owned by unconsolidated entities.</w:t>
      </w:r>
    </w:p>
    <w:p>
      <w:pPr>
        <w:spacing w:after="0" w:line="2" w:lineRule="exact"/>
        <w:rPr>
          <w:rFonts w:ascii="Arial" w:cs="Arial" w:eastAsia="Arial" w:hAnsi="Arial"/>
          <w:sz w:val="23"/>
          <w:szCs w:val="23"/>
          <w:color w:val="auto"/>
          <w:vertAlign w:val="superscript"/>
        </w:rPr>
      </w:pPr>
    </w:p>
    <w:p>
      <w:pPr>
        <w:ind w:left="340" w:right="100" w:hanging="332"/>
        <w:spacing w:after="0" w:line="241" w:lineRule="auto"/>
        <w:tabs>
          <w:tab w:leader="none" w:pos="328" w:val="left"/>
        </w:tabs>
        <w:numPr>
          <w:ilvl w:val="0"/>
          <w:numId w:val="16"/>
        </w:numPr>
        <w:rPr>
          <w:rFonts w:ascii="Arial" w:cs="Arial" w:eastAsia="Arial" w:hAnsi="Arial"/>
          <w:sz w:val="22"/>
          <w:szCs w:val="22"/>
          <w:color w:val="auto"/>
          <w:vertAlign w:val="superscript"/>
        </w:rPr>
      </w:pPr>
      <w:r>
        <w:rPr>
          <w:rFonts w:ascii="Arial" w:cs="Arial" w:eastAsia="Arial" w:hAnsi="Arial"/>
          <w:sz w:val="17"/>
          <w:szCs w:val="17"/>
          <w:color w:val="auto"/>
        </w:rPr>
        <w:t>Facilities segment total volumes is calculated as the sum of: (i) liquids storage capacity; (ii) natural gas storage working capacity divided by 6 to account for the 6:1 mcf of natural gas to crude Btu equivalent ratio and further divided by 1,000 to convert to monthly volumes in millions; and (iii) NGL fractionation volumes multiplied by the number of days in the period and divided by the number of months in the period.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280"/>
        <w:spacing w:after="0"/>
        <w:tabs>
          <w:tab w:leader="none" w:pos="4780" w:val="left"/>
          <w:tab w:leader="none" w:pos="69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Page 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SEGMENT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Fee-based Segment Adjusted EBITDA to Adjusted EBITDA Reconciliation: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2240" w:type="dxa"/>
            <w:vAlign w:val="bottom"/>
            <w:gridSpan w:val="4"/>
          </w:tcPr>
          <w:p>
            <w:pPr>
              <w:jc w:val="right"/>
              <w:ind w:right="214"/>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7"/>
          </w:tcPr>
          <w:p>
            <w:pPr>
              <w:ind w:left="320"/>
              <w:spacing w:after="0"/>
              <w:rPr>
                <w:sz w:val="20"/>
                <w:szCs w:val="20"/>
                <w:color w:val="auto"/>
              </w:rPr>
            </w:pPr>
            <w:r>
              <w:rPr>
                <w:rFonts w:ascii="Arial" w:cs="Arial" w:eastAsia="Arial" w:hAnsi="Arial"/>
                <w:sz w:val="14"/>
                <w:szCs w:val="14"/>
                <w:b w:val="1"/>
                <w:bCs w:val="1"/>
                <w:color w:val="auto"/>
              </w:rPr>
              <w:t>Twelve Months Ended</w:t>
            </w:r>
          </w:p>
        </w:tc>
      </w:tr>
      <w:tr>
        <w:trPr>
          <w:trHeight w:val="171"/>
        </w:trPr>
        <w:tc>
          <w:tcPr>
            <w:tcW w:w="59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434"/>
              <w:spacing w:after="0"/>
              <w:rPr>
                <w:sz w:val="20"/>
                <w:szCs w:val="20"/>
                <w:color w:val="auto"/>
              </w:rPr>
            </w:pPr>
            <w:r>
              <w:rPr>
                <w:rFonts w:ascii="Arial" w:cs="Arial" w:eastAsia="Arial" w:hAnsi="Arial"/>
                <w:sz w:val="14"/>
                <w:szCs w:val="14"/>
                <w:b w:val="1"/>
                <w:bCs w:val="1"/>
                <w:color w:val="auto"/>
                <w:w w:val="98"/>
              </w:rPr>
              <w:t>December 31,</w:t>
            </w:r>
          </w:p>
        </w:tc>
        <w:tc>
          <w:tcPr>
            <w:tcW w:w="3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92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Segment Adjusted EBITDA</w:t>
            </w:r>
          </w:p>
        </w:tc>
        <w:tc>
          <w:tcPr>
            <w:tcW w:w="800" w:type="dxa"/>
            <w:vAlign w:val="bottom"/>
            <w:shd w:val="clear" w:color="auto" w:fill="CCEEFF"/>
          </w:tcPr>
          <w:p>
            <w:pPr>
              <w:jc w:val="right"/>
              <w:ind w:right="617"/>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Facilities Segment Adjusted EBITDA</w:t>
            </w:r>
          </w:p>
        </w:tc>
        <w:tc>
          <w:tcPr>
            <w:tcW w:w="8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181</w:t>
            </w:r>
          </w:p>
        </w:tc>
        <w:tc>
          <w:tcPr>
            <w:tcW w:w="80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184</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711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734</w:t>
            </w:r>
          </w:p>
        </w:tc>
        <w:tc>
          <w:tcPr>
            <w:tcW w:w="80" w:type="dxa"/>
            <w:vAlign w:val="bottom"/>
          </w:tcPr>
          <w:p>
            <w:pPr>
              <w:spacing w:after="0"/>
              <w:rPr>
                <w:sz w:val="18"/>
                <w:szCs w:val="18"/>
                <w:color w:val="auto"/>
              </w:rPr>
            </w:pPr>
          </w:p>
        </w:tc>
      </w:tr>
      <w:tr>
        <w:trPr>
          <w:trHeight w:val="210"/>
        </w:trPr>
        <w:tc>
          <w:tcPr>
            <w:tcW w:w="59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Fee-based Segment Adjusted EBITDA</w:t>
            </w:r>
          </w:p>
        </w:tc>
        <w:tc>
          <w:tcPr>
            <w:tcW w:w="800" w:type="dxa"/>
            <w:vAlign w:val="bottom"/>
            <w:tcBorders>
              <w:top w:val="single" w:sz="8" w:color="auto"/>
            </w:tcBorders>
            <w:shd w:val="clear" w:color="auto" w:fill="CCEEFF"/>
          </w:tcPr>
          <w:p>
            <w:pPr>
              <w:jc w:val="right"/>
              <w:ind w:right="617"/>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14"/>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Supply and Logistics Segment Adjusted EBITDA</w:t>
            </w:r>
          </w:p>
        </w:tc>
        <w:tc>
          <w:tcPr>
            <w:tcW w:w="8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342</w:t>
            </w: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462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Adjusted other income/(expense), net </w:t>
            </w:r>
            <w:r>
              <w:rPr>
                <w:rFonts w:ascii="Arial" w:cs="Arial" w:eastAsia="Arial" w:hAnsi="Arial"/>
                <w:sz w:val="23"/>
                <w:szCs w:val="23"/>
                <w:color w:val="auto"/>
                <w:vertAlign w:val="superscript"/>
              </w:rPr>
              <w:t>(1)</w:t>
            </w: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r>
      <w:tr>
        <w:trPr>
          <w:trHeight w:val="210"/>
        </w:trPr>
        <w:tc>
          <w:tcPr>
            <w:tcW w:w="5920" w:type="dxa"/>
            <w:vAlign w:val="bottom"/>
          </w:tcPr>
          <w:p>
            <w:pPr>
              <w:spacing w:after="0" w:line="210"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(2)</w:t>
            </w:r>
          </w:p>
        </w:tc>
        <w:tc>
          <w:tcPr>
            <w:tcW w:w="800" w:type="dxa"/>
            <w:vAlign w:val="bottom"/>
            <w:tcBorders>
              <w:top w:val="single" w:sz="8" w:color="auto"/>
              <w:bottom w:val="single" w:sz="8" w:color="auto"/>
            </w:tcBorders>
          </w:tcPr>
          <w:p>
            <w:pPr>
              <w:jc w:val="right"/>
              <w:ind w:right="617"/>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2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2,684</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9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20" w:hanging="332"/>
        <w:spacing w:after="0" w:line="234" w:lineRule="auto"/>
        <w:tabs>
          <w:tab w:leader="none" w:pos="328"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Represents “Other expense, net” as reported on our Condensed Consolidated Statements of Operations, adjusted for selected items impacting comparability of $15 million, $27 million, $10 million and $32 million for the three and twelve months ended December 31, 2018 and 2017, respectively. See the “Selected Items Impacting Comparability” table for additional information.</w:t>
      </w:r>
    </w:p>
    <w:p>
      <w:pPr>
        <w:spacing w:after="0" w:line="1" w:lineRule="exact"/>
        <w:rPr>
          <w:rFonts w:ascii="Arial" w:cs="Arial" w:eastAsia="Arial" w:hAnsi="Arial"/>
          <w:sz w:val="23"/>
          <w:szCs w:val="23"/>
          <w:color w:val="auto"/>
          <w:vertAlign w:val="superscript"/>
        </w:rPr>
      </w:pPr>
    </w:p>
    <w:p>
      <w:pPr>
        <w:ind w:left="320" w:hanging="312"/>
        <w:spacing w:after="0" w:line="196" w:lineRule="auto"/>
        <w:tabs>
          <w:tab w:leader="none" w:pos="32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See the “Net Income to Adjusted EBITDA and Implied DCF Reconciliation” table for reconciliation to Net Income.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Segment Adjusted EBITDA to Segment Adjusted EBITDA further adjusted for impact of divested assets: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60" w:type="dxa"/>
            <w:vAlign w:val="bottom"/>
            <w:gridSpan w:val="6"/>
          </w:tcPr>
          <w:p>
            <w:pPr>
              <w:jc w:val="center"/>
              <w:ind w:left="917"/>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91"/>
              </w:rPr>
              <w:t>December 31, 2018</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91"/>
              </w:rPr>
              <w:t>December 31, 2017</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vMerge w:val="restart"/>
          </w:tcPr>
          <w:p>
            <w:pPr>
              <w:jc w:val="right"/>
              <w:ind w:right="188"/>
              <w:spacing w:after="0"/>
              <w:rPr>
                <w:sz w:val="20"/>
                <w:szCs w:val="20"/>
                <w:color w:val="auto"/>
              </w:rPr>
            </w:pPr>
            <w:r>
              <w:rPr>
                <w:rFonts w:ascii="Arial" w:cs="Arial" w:eastAsia="Arial" w:hAnsi="Arial"/>
                <w:sz w:val="14"/>
                <w:szCs w:val="14"/>
                <w:b w:val="1"/>
                <w:bCs w:val="1"/>
                <w:color w:val="auto"/>
                <w:w w:val="95"/>
              </w:rPr>
              <w:t>Transportation</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Facilities</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w w:val="99"/>
              </w:rPr>
              <w:t>Supply and</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9"/>
              </w:rPr>
              <w:t>Transportation</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Facilities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w w:val="99"/>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Logistics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Adjusted EBITDA</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2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line="216" w:lineRule="exact"/>
              <w:rPr>
                <w:sz w:val="20"/>
                <w:szCs w:val="20"/>
                <w:color w:val="auto"/>
              </w:rPr>
            </w:pPr>
            <w:r>
              <w:rPr>
                <w:rFonts w:ascii="Arial" w:cs="Arial" w:eastAsia="Arial" w:hAnsi="Arial"/>
                <w:sz w:val="18"/>
                <w:szCs w:val="18"/>
                <w:color w:val="auto"/>
              </w:rPr>
              <w:t xml:space="preserve">Impact of divested assets </w:t>
            </w:r>
            <w:r>
              <w:rPr>
                <w:rFonts w:ascii="Arial" w:cs="Arial" w:eastAsia="Arial" w:hAnsi="Arial"/>
                <w:sz w:val="23"/>
                <w:szCs w:val="23"/>
                <w:color w:val="auto"/>
                <w:vertAlign w:val="superscript"/>
              </w:rPr>
              <w:t>(1)</w:t>
            </w:r>
          </w:p>
        </w:tc>
        <w:tc>
          <w:tcPr>
            <w:tcW w:w="120" w:type="dxa"/>
            <w:vAlign w:val="bottom"/>
          </w:tcPr>
          <w:p>
            <w:pPr>
              <w:spacing w:after="0"/>
              <w:rPr>
                <w:sz w:val="18"/>
                <w:szCs w:val="18"/>
                <w:color w:val="auto"/>
              </w:rPr>
            </w:pPr>
          </w:p>
        </w:tc>
        <w:tc>
          <w:tcPr>
            <w:tcW w:w="12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30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Segment Adjusted EBITDA further</w:t>
            </w: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right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adjusted for impact of divested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8"/>
                <w:szCs w:val="18"/>
                <w:color w:val="auto"/>
              </w:rPr>
              <w:t>425</w:t>
            </w:r>
          </w:p>
        </w:tc>
        <w:tc>
          <w:tcPr>
            <w:tcW w:w="3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181</w:t>
            </w:r>
          </w:p>
        </w:tc>
        <w:tc>
          <w:tcPr>
            <w:tcW w:w="2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342</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323</w:t>
            </w:r>
          </w:p>
        </w:tc>
        <w:tc>
          <w:tcPr>
            <w:tcW w:w="4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178</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7"/>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120" w:type="dxa"/>
            <w:vAlign w:val="bottom"/>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40" w:type="dxa"/>
            <w:vAlign w:val="bottom"/>
            <w:gridSpan w:val="3"/>
            <w:vMerge w:val="continue"/>
            <w:shd w:val="clear" w:color="auto" w:fill="CCEEFF"/>
          </w:tcPr>
          <w:p>
            <w:pPr>
              <w:spacing w:after="0"/>
              <w:rPr>
                <w:sz w:val="18"/>
                <w:szCs w:val="18"/>
                <w:color w:val="auto"/>
              </w:rPr>
            </w:pPr>
          </w:p>
        </w:tc>
        <w:tc>
          <w:tcPr>
            <w:tcW w:w="1120" w:type="dxa"/>
            <w:vAlign w:val="bottom"/>
            <w:tcBorders>
              <w:right w:val="single" w:sz="8" w:color="auto"/>
            </w:tcBorders>
            <w:gridSpan w:val="2"/>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Twelve Months Ended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gridSpan w:val="6"/>
          </w:tcPr>
          <w:p>
            <w:pPr>
              <w:jc w:val="center"/>
              <w:ind w:left="917"/>
              <w:spacing w:after="0"/>
              <w:rPr>
                <w:sz w:val="20"/>
                <w:szCs w:val="20"/>
                <w:color w:val="auto"/>
              </w:rPr>
            </w:pPr>
            <w:r>
              <w:rPr>
                <w:rFonts w:ascii="Arial" w:cs="Arial" w:eastAsia="Arial" w:hAnsi="Arial"/>
                <w:sz w:val="14"/>
                <w:szCs w:val="14"/>
                <w:b w:val="1"/>
                <w:bCs w:val="1"/>
                <w:color w:val="auto"/>
                <w:w w:val="93"/>
              </w:rPr>
              <w:t>Twelve Months Ended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0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91"/>
              </w:rPr>
              <w:t>December 31, 2018</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91"/>
              </w:rPr>
              <w:t>December 31, 2017</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vMerge w:val="restart"/>
          </w:tcPr>
          <w:p>
            <w:pPr>
              <w:jc w:val="right"/>
              <w:ind w:right="188"/>
              <w:spacing w:after="0"/>
              <w:rPr>
                <w:sz w:val="20"/>
                <w:szCs w:val="20"/>
                <w:color w:val="auto"/>
              </w:rPr>
            </w:pPr>
            <w:r>
              <w:rPr>
                <w:rFonts w:ascii="Arial" w:cs="Arial" w:eastAsia="Arial" w:hAnsi="Arial"/>
                <w:sz w:val="14"/>
                <w:szCs w:val="14"/>
                <w:b w:val="1"/>
                <w:bCs w:val="1"/>
                <w:color w:val="auto"/>
                <w:w w:val="95"/>
              </w:rPr>
              <w:t>Transportation</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Facilities</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w w:val="99"/>
              </w:rPr>
              <w:t>Supply and</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9"/>
              </w:rPr>
              <w:t>Transportation</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Facilities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w w:val="99"/>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Logistics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Adjusted EBITDA</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2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line="216" w:lineRule="exact"/>
              <w:rPr>
                <w:sz w:val="20"/>
                <w:szCs w:val="20"/>
                <w:color w:val="auto"/>
              </w:rPr>
            </w:pPr>
            <w:r>
              <w:rPr>
                <w:rFonts w:ascii="Arial" w:cs="Arial" w:eastAsia="Arial" w:hAnsi="Arial"/>
                <w:sz w:val="18"/>
                <w:szCs w:val="18"/>
                <w:color w:val="auto"/>
              </w:rPr>
              <w:t xml:space="preserve">Impact of divested assets </w:t>
            </w:r>
            <w:r>
              <w:rPr>
                <w:rFonts w:ascii="Arial" w:cs="Arial" w:eastAsia="Arial" w:hAnsi="Arial"/>
                <w:sz w:val="23"/>
                <w:szCs w:val="23"/>
                <w:color w:val="auto"/>
                <w:vertAlign w:val="superscript"/>
              </w:rPr>
              <w:t>(1)</w:t>
            </w: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30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Segment Adjusted EBITDA further</w:t>
            </w: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right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adjusted for impact of divested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8"/>
                <w:szCs w:val="18"/>
                <w:color w:val="auto"/>
              </w:rPr>
              <w:t>1,442</w:t>
            </w:r>
          </w:p>
        </w:tc>
        <w:tc>
          <w:tcPr>
            <w:tcW w:w="3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709</w:t>
            </w:r>
          </w:p>
        </w:tc>
        <w:tc>
          <w:tcPr>
            <w:tcW w:w="2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462</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60" w:type="dxa"/>
            <w:vAlign w:val="bottom"/>
            <w:shd w:val="clear" w:color="auto" w:fill="CCEEFF"/>
          </w:tcPr>
          <w:p>
            <w:pPr>
              <w:spacing w:after="0"/>
              <w:rPr>
                <w:sz w:val="18"/>
                <w:szCs w:val="18"/>
                <w:color w:val="auto"/>
              </w:rPr>
            </w:pPr>
          </w:p>
        </w:tc>
        <w:tc>
          <w:tcPr>
            <w:tcW w:w="4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690</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7"/>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120" w:type="dxa"/>
            <w:vAlign w:val="bottom"/>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40" w:type="dxa"/>
            <w:vAlign w:val="bottom"/>
            <w:gridSpan w:val="3"/>
            <w:vMerge w:val="continue"/>
            <w:shd w:val="clear" w:color="auto" w:fill="CCEEFF"/>
          </w:tcPr>
          <w:p>
            <w:pPr>
              <w:spacing w:after="0"/>
              <w:rPr>
                <w:sz w:val="18"/>
                <w:szCs w:val="18"/>
                <w:color w:val="auto"/>
              </w:rPr>
            </w:pPr>
          </w:p>
        </w:tc>
        <w:tc>
          <w:tcPr>
            <w:tcW w:w="1120" w:type="dxa"/>
            <w:vAlign w:val="bottom"/>
            <w:tcBorders>
              <w:right w:val="single" w:sz="8" w:color="auto"/>
            </w:tcBorders>
            <w:gridSpan w:val="2"/>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205740</wp:posOffset>
            </wp:positionV>
            <wp:extent cx="17754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40" w:hanging="332"/>
        <w:spacing w:after="0" w:line="238" w:lineRule="auto"/>
        <w:tabs>
          <w:tab w:leader="none" w:pos="328"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Estimated impact of divestitures completed during 2017 and 2018, assuming an effective date of 1/1/17. Divested assets include a 30% interest in BridgeTex Pipeline Company, LLC and certain pipelines in the Rocky Mountain and Central regions that were previously reported in our Transportation segment, and certain Bay Area, California terminal assets, a natural gas storage facility and a natural gas processing facility that were previously reported in our Facilities segment.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280"/>
        <w:spacing w:after="0"/>
        <w:tabs>
          <w:tab w:leader="none" w:pos="4780" w:val="left"/>
          <w:tab w:leader="none" w:pos="69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Page 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4"/>
          </w:tcPr>
          <w:p>
            <w:pPr>
              <w:ind w:left="60"/>
              <w:spacing w:after="0"/>
              <w:rPr>
                <w:sz w:val="20"/>
                <w:szCs w:val="20"/>
                <w:color w:val="auto"/>
              </w:rPr>
            </w:pPr>
            <w:r>
              <w:rPr>
                <w:rFonts w:ascii="Arial" w:cs="Arial" w:eastAsia="Arial" w:hAnsi="Arial"/>
                <w:sz w:val="14"/>
                <w:szCs w:val="14"/>
                <w:b w:val="1"/>
                <w:bCs w:val="1"/>
                <w:color w:val="auto"/>
                <w:w w:val="98"/>
              </w:rPr>
              <w:t>Three Months Ended</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6"/>
              </w:rPr>
              <w:t>December 31, 2018</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5"/>
              </w:rPr>
              <w:t>December 31, 2017</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PAA</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Consolidating</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PAGP</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PAA</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Consolidating</w:t>
            </w:r>
          </w:p>
        </w:tc>
        <w:tc>
          <w:tcPr>
            <w:tcW w:w="240" w:type="dxa"/>
            <w:vAlign w:val="bottom"/>
          </w:tcPr>
          <w:p>
            <w:pPr>
              <w:spacing w:after="0"/>
              <w:rPr>
                <w:sz w:val="10"/>
                <w:szCs w:val="10"/>
                <w:color w:val="auto"/>
              </w:rPr>
            </w:pPr>
          </w:p>
        </w:tc>
        <w:tc>
          <w:tcPr>
            <w:tcW w:w="10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6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34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2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8,786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8,786</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6,955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6,955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6,746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3"/>
                <w:szCs w:val="23"/>
                <w:color w:val="auto"/>
                <w:vertAlign w:val="superscript"/>
              </w:rPr>
              <w:t>(2)</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tcPr>
          <w:p>
            <w:pPr>
              <w:spacing w:after="0" w:line="201" w:lineRule="exact"/>
              <w:rPr>
                <w:sz w:val="20"/>
                <w:szCs w:val="20"/>
                <w:color w:val="auto"/>
              </w:rPr>
            </w:pPr>
            <w:r>
              <w:rPr>
                <w:rFonts w:ascii="Arial" w:cs="Arial" w:eastAsia="Arial" w:hAnsi="Arial"/>
                <w:sz w:val="18"/>
                <w:szCs w:val="18"/>
                <w:color w:val="auto"/>
                <w:w w:val="99"/>
              </w:rPr>
              <w:t>(Gains)/losses on asset sales and asset</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0" w:type="dxa"/>
            <w:vAlign w:val="bottom"/>
          </w:tcPr>
          <w:p>
            <w:pPr>
              <w:ind w:left="160"/>
              <w:spacing w:after="0" w:line="231" w:lineRule="exact"/>
              <w:rPr>
                <w:sz w:val="20"/>
                <w:szCs w:val="20"/>
                <w:color w:val="auto"/>
              </w:rPr>
            </w:pPr>
            <w:r>
              <w:rPr>
                <w:rFonts w:ascii="Arial" w:cs="Arial" w:eastAsia="Arial" w:hAnsi="Arial"/>
                <w:sz w:val="18"/>
                <w:szCs w:val="18"/>
                <w:color w:val="auto"/>
              </w:rPr>
              <w:t xml:space="preserve">impairments, net </w:t>
            </w:r>
            <w:r>
              <w:rPr>
                <w:rFonts w:ascii="Arial" w:cs="Arial" w:eastAsia="Arial" w:hAnsi="Arial"/>
                <w:sz w:val="23"/>
                <w:szCs w:val="23"/>
                <w:color w:val="auto"/>
                <w:vertAlign w:val="superscript"/>
              </w:rPr>
              <w:t>(2)</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costs and expenses</w:t>
            </w: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7,471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7,472</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7,344</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1,315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INCOME/(EXPENSE)</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6"/>
              </w:rPr>
              <w:t>Equity earnings in unconsolidated entities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Gain/(loss) on sale of investment in</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unconsolidated entities</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1,280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(expense)/benefit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(837)</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INCOME/(LOSS)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1,117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(838)</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tcPr>
          <w:p>
            <w:pPr>
              <w:ind w:left="160"/>
              <w:spacing w:after="0" w:line="201" w:lineRule="exact"/>
              <w:rPr>
                <w:sz w:val="20"/>
                <w:szCs w:val="20"/>
                <w:color w:val="auto"/>
              </w:rPr>
            </w:pPr>
            <w:r>
              <w:rPr>
                <w:rFonts w:ascii="Arial" w:cs="Arial" w:eastAsia="Arial" w:hAnsi="Arial"/>
                <w:sz w:val="18"/>
                <w:szCs w:val="18"/>
                <w:color w:val="auto"/>
              </w:rPr>
              <w:t>Net income attributable to</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0" w:type="dxa"/>
            <w:vAlign w:val="bottom"/>
          </w:tcPr>
          <w:p>
            <w:pPr>
              <w:ind w:left="340"/>
              <w:spacing w:after="0"/>
              <w:rPr>
                <w:sz w:val="20"/>
                <w:szCs w:val="20"/>
                <w:color w:val="auto"/>
              </w:rPr>
            </w:pPr>
            <w:r>
              <w:rPr>
                <w:rFonts w:ascii="Arial" w:cs="Arial" w:eastAsia="Arial" w:hAnsi="Arial"/>
                <w:sz w:val="18"/>
                <w:szCs w:val="18"/>
                <w:color w:val="auto"/>
              </w:rPr>
              <w:t>noncontrolling interests</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(882)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(882)</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(153)</w:t>
            </w:r>
          </w:p>
        </w:tc>
        <w:tc>
          <w:tcPr>
            <w:tcW w:w="24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vMerge w:val="restart"/>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INCOME/(LOSS)</w:t>
            </w:r>
          </w:p>
        </w:tc>
        <w:tc>
          <w:tcPr>
            <w:tcW w:w="1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3200" w:type="dxa"/>
            <w:vAlign w:val="bottom"/>
            <w:vMerge w:val="continue"/>
            <w:shd w:val="clear" w:color="auto" w:fill="CCEEFF"/>
          </w:tcPr>
          <w:p>
            <w:pPr>
              <w:spacing w:after="0"/>
              <w:rPr>
                <w:sz w:val="15"/>
                <w:szCs w:val="15"/>
                <w:color w:val="auto"/>
              </w:rPr>
            </w:pPr>
          </w:p>
        </w:tc>
        <w:tc>
          <w:tcPr>
            <w:tcW w:w="120" w:type="dxa"/>
            <w:vAlign w:val="bottom"/>
            <w:vMerge w:val="restart"/>
            <w:shd w:val="clear" w:color="auto" w:fill="CCEEFF"/>
          </w:tcPr>
          <w:p>
            <w:pPr>
              <w:spacing w:after="0"/>
              <w:rPr>
                <w:sz w:val="15"/>
                <w:szCs w:val="15"/>
                <w:color w:val="auto"/>
              </w:rPr>
            </w:pPr>
          </w:p>
        </w:tc>
        <w:tc>
          <w:tcPr>
            <w:tcW w:w="740" w:type="dxa"/>
            <w:vAlign w:val="bottom"/>
            <w:vMerge w:val="restart"/>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1,117</w:t>
            </w:r>
          </w:p>
        </w:tc>
        <w:tc>
          <w:tcPr>
            <w:tcW w:w="80" w:type="dxa"/>
            <w:vAlign w:val="bottom"/>
            <w:vMerge w:val="restart"/>
            <w:shd w:val="clear" w:color="auto" w:fill="CCEEFF"/>
          </w:tcPr>
          <w:p>
            <w:pPr>
              <w:spacing w:after="0"/>
              <w:rPr>
                <w:sz w:val="15"/>
                <w:szCs w:val="15"/>
                <w:color w:val="auto"/>
              </w:rPr>
            </w:pPr>
          </w:p>
        </w:tc>
        <w:tc>
          <w:tcPr>
            <w:tcW w:w="120" w:type="dxa"/>
            <w:vAlign w:val="bottom"/>
            <w:vMerge w:val="restart"/>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(937)</w:t>
            </w:r>
          </w:p>
        </w:tc>
        <w:tc>
          <w:tcPr>
            <w:tcW w:w="300" w:type="dxa"/>
            <w:vAlign w:val="bottom"/>
            <w:gridSpan w:val="2"/>
            <w:vMerge w:val="restart"/>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180</w:t>
            </w:r>
          </w:p>
        </w:tc>
        <w:tc>
          <w:tcPr>
            <w:tcW w:w="400" w:type="dxa"/>
            <w:vAlign w:val="bottom"/>
            <w:gridSpan w:val="2"/>
            <w:vMerge w:val="restart"/>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191</w:t>
            </w:r>
          </w:p>
        </w:tc>
        <w:tc>
          <w:tcPr>
            <w:tcW w:w="18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(991)</w:t>
            </w:r>
          </w:p>
        </w:tc>
        <w:tc>
          <w:tcPr>
            <w:tcW w:w="240" w:type="dxa"/>
            <w:vAlign w:val="bottom"/>
            <w:vMerge w:val="restart"/>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ATTRIBUTABLE TO PAGP</w:t>
            </w:r>
          </w:p>
        </w:tc>
        <w:tc>
          <w:tcPr>
            <w:tcW w:w="12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060" w:type="dxa"/>
            <w:vAlign w:val="bottom"/>
            <w:tcBorders>
              <w:right w:val="single" w:sz="8" w:color="auto"/>
            </w:tcBorders>
            <w:gridSpan w:val="2"/>
            <w:vMerge w:val="continue"/>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80" w:type="dxa"/>
            <w:vAlign w:val="bottom"/>
            <w:gridSpan w:val="2"/>
            <w:vMerge w:val="continue"/>
            <w:shd w:val="clear" w:color="auto" w:fill="CCEEFF"/>
          </w:tcPr>
          <w:p>
            <w:pPr>
              <w:spacing w:after="0"/>
              <w:rPr>
                <w:sz w:val="19"/>
                <w:szCs w:val="19"/>
                <w:color w:val="auto"/>
              </w:rPr>
            </w:pPr>
          </w:p>
        </w:tc>
        <w:tc>
          <w:tcPr>
            <w:tcW w:w="1280" w:type="dxa"/>
            <w:vAlign w:val="bottom"/>
            <w:tcBorders>
              <w:right w:val="single" w:sz="8" w:color="CCEEFF"/>
            </w:tcBorders>
            <w:gridSpan w:val="2"/>
            <w:vMerge w:val="continue"/>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right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2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NET INCOME/(LOSS) PER</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gridSpan w:val="2"/>
            <w:vMerge w:val="restart"/>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1.13</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40" w:type="dxa"/>
            <w:vAlign w:val="bottom"/>
            <w:vMerge w:val="restart"/>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CLASS A SHARE</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060" w:type="dxa"/>
            <w:vAlign w:val="bottom"/>
            <w:tcBorders>
              <w:right w:val="single" w:sz="8" w:color="auto"/>
            </w:tcBorders>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right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2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DILUTED NET INCOME/(LOSS) PER</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gridSpan w:val="2"/>
            <w:vMerge w:val="restart"/>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1.12</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40" w:type="dxa"/>
            <w:vAlign w:val="bottom"/>
            <w:vMerge w:val="restart"/>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CLASS A SHARE</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060" w:type="dxa"/>
            <w:vAlign w:val="bottom"/>
            <w:tcBorders>
              <w:right w:val="single" w:sz="8" w:color="auto"/>
            </w:tcBorders>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right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2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WEIGHTED AVERAGE</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159</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CLASS A SHARES OUTSTANDING</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tcBorders>
              <w:right w:val="single" w:sz="8" w:color="auto"/>
            </w:tcBorders>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right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2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DILUTED WEIGHTED AVERAGE</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160</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CLASS A SHARES OUTSTANDING</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tcBorders>
              <w:right w:val="single" w:sz="8" w:color="auto"/>
            </w:tcBorders>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1" w:lineRule="exact"/>
        <w:rPr>
          <w:rFonts w:ascii="Arial" w:cs="Arial" w:eastAsia="Arial" w:hAnsi="Arial"/>
          <w:sz w:val="23"/>
          <w:szCs w:val="23"/>
          <w:color w:val="auto"/>
          <w:vertAlign w:val="superscript"/>
        </w:rPr>
      </w:pPr>
    </w:p>
    <w:p>
      <w:pPr>
        <w:ind w:left="340" w:right="120" w:hanging="332"/>
        <w:spacing w:after="0" w:line="246" w:lineRule="auto"/>
        <w:tabs>
          <w:tab w:leader="none" w:pos="328"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Effective for the fourth quarter of 2018, we reclassified amounts related to gains and losses on asset sales and asset impairments from “Depreciation and amortization” to “(Gains)/losses on asset sales and asset impairments, net” on our Condensed Consolidated Statements of Operations.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280"/>
        <w:spacing w:after="0"/>
        <w:tabs>
          <w:tab w:leader="none" w:pos="4780" w:val="left"/>
          <w:tab w:leader="none" w:pos="69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Page 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2"/>
              </w:rPr>
              <w:t>Twelve Months Ended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5"/>
              </w:rPr>
              <w:t>Twelve Months Ended</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8"/>
              </w:rPr>
              <w:t>December 31, 2018</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5"/>
              </w:rPr>
              <w:t>December 31, 2017</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PAA</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Consolidating</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PAGP</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PAA</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Consolidating</w:t>
            </w:r>
          </w:p>
        </w:tc>
        <w:tc>
          <w:tcPr>
            <w:tcW w:w="240" w:type="dxa"/>
            <w:vAlign w:val="bottom"/>
          </w:tcPr>
          <w:p>
            <w:pPr>
              <w:spacing w:after="0"/>
              <w:rPr>
                <w:sz w:val="10"/>
                <w:szCs w:val="10"/>
                <w:color w:val="auto"/>
              </w:rPr>
            </w:pPr>
          </w:p>
        </w:tc>
        <w:tc>
          <w:tcPr>
            <w:tcW w:w="10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6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34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2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34,055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34,055</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26,223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29,793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29,793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22,985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320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3"/>
                <w:szCs w:val="23"/>
                <w:color w:val="auto"/>
                <w:vertAlign w:val="superscript"/>
              </w:rPr>
              <w:t>(2)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tcPr>
          <w:p>
            <w:pPr>
              <w:spacing w:after="0" w:line="201" w:lineRule="exact"/>
              <w:rPr>
                <w:sz w:val="20"/>
                <w:szCs w:val="20"/>
                <w:color w:val="auto"/>
              </w:rPr>
            </w:pPr>
            <w:r>
              <w:rPr>
                <w:rFonts w:ascii="Arial" w:cs="Arial" w:eastAsia="Arial" w:hAnsi="Arial"/>
                <w:sz w:val="18"/>
                <w:szCs w:val="18"/>
                <w:color w:val="auto"/>
                <w:w w:val="99"/>
              </w:rPr>
              <w:t>(Gains)/losses on asset sales and asset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0" w:type="dxa"/>
            <w:vAlign w:val="bottom"/>
          </w:tcPr>
          <w:p>
            <w:pPr>
              <w:ind w:left="160"/>
              <w:spacing w:after="0" w:line="231" w:lineRule="exact"/>
              <w:rPr>
                <w:sz w:val="20"/>
                <w:szCs w:val="20"/>
                <w:color w:val="auto"/>
              </w:rPr>
            </w:pPr>
            <w:r>
              <w:rPr>
                <w:rFonts w:ascii="Arial" w:cs="Arial" w:eastAsia="Arial" w:hAnsi="Arial"/>
                <w:sz w:val="18"/>
                <w:szCs w:val="18"/>
                <w:color w:val="auto"/>
              </w:rPr>
              <w:t xml:space="preserve">impairments, net </w:t>
            </w:r>
            <w:r>
              <w:rPr>
                <w:rFonts w:ascii="Arial" w:cs="Arial" w:eastAsia="Arial" w:hAnsi="Arial"/>
                <w:sz w:val="23"/>
                <w:szCs w:val="23"/>
                <w:color w:val="auto"/>
                <w:vertAlign w:val="superscript"/>
              </w:rPr>
              <w:t>(2)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costs and expenses</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31,778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31,783</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25,070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INCOME/(EXPENSE)</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6"/>
              </w:rPr>
              <w:t>Equity earnings in unconsolidated entities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375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Gain on sale of investment in</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unconsolidated entities</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(431)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(893)</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INCOME/(LOSS)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(899)</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tcPr>
          <w:p>
            <w:pPr>
              <w:ind w:left="160"/>
              <w:spacing w:after="0" w:line="201" w:lineRule="exact"/>
              <w:rPr>
                <w:sz w:val="20"/>
                <w:szCs w:val="20"/>
                <w:color w:val="auto"/>
              </w:rPr>
            </w:pPr>
            <w:r>
              <w:rPr>
                <w:rFonts w:ascii="Arial" w:cs="Arial" w:eastAsia="Arial" w:hAnsi="Arial"/>
                <w:sz w:val="18"/>
                <w:szCs w:val="18"/>
                <w:color w:val="auto"/>
              </w:rPr>
              <w:t>Net income attributable to</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0" w:type="dxa"/>
            <w:vAlign w:val="bottom"/>
          </w:tcPr>
          <w:p>
            <w:pPr>
              <w:ind w:left="340"/>
              <w:spacing w:after="0"/>
              <w:rPr>
                <w:sz w:val="20"/>
                <w:szCs w:val="20"/>
                <w:color w:val="auto"/>
              </w:rPr>
            </w:pPr>
            <w:r>
              <w:rPr>
                <w:rFonts w:ascii="Arial" w:cs="Arial" w:eastAsia="Arial" w:hAnsi="Arial"/>
                <w:sz w:val="18"/>
                <w:szCs w:val="18"/>
                <w:color w:val="auto"/>
              </w:rPr>
              <w:t>noncontrolling interests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(1,773)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(1,773)</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(688)</w:t>
            </w:r>
          </w:p>
        </w:tc>
        <w:tc>
          <w:tcPr>
            <w:tcW w:w="24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vMerge w:val="restart"/>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INCOME/(LOSS)</w:t>
            </w: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3200" w:type="dxa"/>
            <w:vAlign w:val="bottom"/>
            <w:vMerge w:val="continue"/>
            <w:shd w:val="clear" w:color="auto" w:fill="CCEEFF"/>
          </w:tcPr>
          <w:p>
            <w:pPr>
              <w:spacing w:after="0"/>
              <w:rPr>
                <w:sz w:val="15"/>
                <w:szCs w:val="15"/>
                <w:color w:val="auto"/>
              </w:rPr>
            </w:pPr>
          </w:p>
        </w:tc>
        <w:tc>
          <w:tcPr>
            <w:tcW w:w="120" w:type="dxa"/>
            <w:vAlign w:val="bottom"/>
            <w:vMerge w:val="restart"/>
            <w:shd w:val="clear" w:color="auto" w:fill="CCEEFF"/>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140" w:type="dxa"/>
            <w:vAlign w:val="bottom"/>
            <w:vMerge w:val="restart"/>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(1,882)</w:t>
            </w:r>
          </w:p>
        </w:tc>
        <w:tc>
          <w:tcPr>
            <w:tcW w:w="300" w:type="dxa"/>
            <w:vAlign w:val="bottom"/>
            <w:gridSpan w:val="2"/>
            <w:vMerge w:val="restart"/>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334</w:t>
            </w:r>
          </w:p>
        </w:tc>
        <w:tc>
          <w:tcPr>
            <w:tcW w:w="400" w:type="dxa"/>
            <w:vAlign w:val="bottom"/>
            <w:gridSpan w:val="2"/>
            <w:vMerge w:val="restart"/>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856</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(1,587)</w:t>
            </w:r>
          </w:p>
        </w:tc>
        <w:tc>
          <w:tcPr>
            <w:tcW w:w="240" w:type="dxa"/>
            <w:vAlign w:val="bottom"/>
            <w:vMerge w:val="restart"/>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ATTRIBUTABLE TO PAGP</w:t>
            </w:r>
          </w:p>
        </w:tc>
        <w:tc>
          <w:tcPr>
            <w:tcW w:w="120" w:type="dxa"/>
            <w:vAlign w:val="bottom"/>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60" w:type="dxa"/>
            <w:vAlign w:val="bottom"/>
            <w:tcBorders>
              <w:right w:val="single" w:sz="8" w:color="CCEEFF"/>
            </w:tcBorders>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060" w:type="dxa"/>
            <w:vAlign w:val="bottom"/>
            <w:tcBorders>
              <w:right w:val="single" w:sz="8" w:color="auto"/>
            </w:tcBorders>
            <w:gridSpan w:val="2"/>
            <w:vMerge w:val="continue"/>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1280" w:type="dxa"/>
            <w:vAlign w:val="bottom"/>
            <w:tcBorders>
              <w:right w:val="single" w:sz="8" w:color="CCEEFF"/>
            </w:tcBorders>
            <w:gridSpan w:val="2"/>
            <w:vMerge w:val="continue"/>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right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2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NET INCOME/(LOSS) PER</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gridSpan w:val="2"/>
            <w:vMerge w:val="restart"/>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40" w:type="dxa"/>
            <w:vAlign w:val="bottom"/>
            <w:vMerge w:val="restart"/>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CLASS A SHARE</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060" w:type="dxa"/>
            <w:vAlign w:val="bottom"/>
            <w:tcBorders>
              <w:right w:val="single" w:sz="8" w:color="auto"/>
            </w:tcBorders>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right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2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DILUTED NET INCOME/(LOSS) PER</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gridSpan w:val="2"/>
            <w:vMerge w:val="restart"/>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2.11</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40" w:type="dxa"/>
            <w:vAlign w:val="bottom"/>
            <w:vMerge w:val="restart"/>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CLASS A SHARE</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060" w:type="dxa"/>
            <w:vAlign w:val="bottom"/>
            <w:tcBorders>
              <w:right w:val="single" w:sz="8" w:color="auto"/>
            </w:tcBorders>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right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2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WEIGHTED AVERAGE</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158</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CLASS A SHARES OUTSTANDING</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tcBorders>
              <w:right w:val="single" w:sz="8" w:color="auto"/>
            </w:tcBorders>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right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2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DILUTED WEIGHTED AVERAGE</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282</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CLASS A SHARES OUTSTANDING</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tcBorders>
              <w:right w:val="single" w:sz="8" w:color="auto"/>
            </w:tcBorders>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1" w:lineRule="exact"/>
        <w:rPr>
          <w:rFonts w:ascii="Arial" w:cs="Arial" w:eastAsia="Arial" w:hAnsi="Arial"/>
          <w:sz w:val="23"/>
          <w:szCs w:val="23"/>
          <w:color w:val="auto"/>
          <w:vertAlign w:val="superscript"/>
        </w:rPr>
      </w:pPr>
    </w:p>
    <w:p>
      <w:pPr>
        <w:ind w:left="340" w:right="120" w:hanging="332"/>
        <w:spacing w:after="0" w:line="246" w:lineRule="auto"/>
        <w:tabs>
          <w:tab w:leader="none" w:pos="328"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Effective for the fourth quarter of 2018, we reclassified amounts related to gains and losses on asset sales and asset impairments from “Depreciation and amortization” to “(Gains)/losses on asset sales and asset impairments, net” on our Condensed Consolidated Statements of Operations.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280"/>
        <w:spacing w:after="0"/>
        <w:tabs>
          <w:tab w:leader="none" w:pos="4780" w:val="left"/>
          <w:tab w:leader="none" w:pos="69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auto"/>
        </w:rPr>
        <w:t>Page 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6"/>
              </w:rPr>
              <w:t>December 31, 2018</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5"/>
              </w:rPr>
              <w:t>December 31, 2017</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Consolidating</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PAGP</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PAA</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Consolidating</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6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34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Current assets</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3,533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3,536</w:t>
            </w:r>
          </w:p>
        </w:tc>
        <w:tc>
          <w:tcPr>
            <w:tcW w:w="4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4,003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14,802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2,521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2,521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2,566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2,702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Deferred tax asset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1,304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1,386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Linefill and base gas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Long-term inventory</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 net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1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25,511</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1,319</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26,830</w:t>
            </w:r>
          </w:p>
        </w:tc>
        <w:tc>
          <w:tcPr>
            <w:tcW w:w="200" w:type="dxa"/>
            <w:vAlign w:val="bottom"/>
            <w:tcBorders>
              <w:bottom w:val="single" w:sz="8" w:color="CCEEFF"/>
              <w:right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25,351</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1,402</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26,753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180" w:type="dxa"/>
            <w:vAlign w:val="bottom"/>
          </w:tcPr>
          <w:p>
            <w:pPr>
              <w:spacing w:after="0" w:line="198" w:lineRule="exact"/>
              <w:rPr>
                <w:sz w:val="20"/>
                <w:szCs w:val="20"/>
                <w:color w:val="auto"/>
              </w:rPr>
            </w:pPr>
            <w:r>
              <w:rPr>
                <w:rFonts w:ascii="Arial" w:cs="Arial" w:eastAsia="Arial" w:hAnsi="Arial"/>
                <w:sz w:val="18"/>
                <w:szCs w:val="18"/>
                <w:b w:val="1"/>
                <w:bCs w:val="1"/>
                <w:color w:val="auto"/>
              </w:rPr>
              <w:t>LIABILITIES AND PARTNERS’</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tcPr>
          <w:p>
            <w:pPr>
              <w:ind w:left="160"/>
              <w:spacing w:after="0"/>
              <w:rPr>
                <w:sz w:val="20"/>
                <w:szCs w:val="20"/>
                <w:color w:val="auto"/>
              </w:rPr>
            </w:pPr>
            <w:r>
              <w:rPr>
                <w:rFonts w:ascii="Arial" w:cs="Arial" w:eastAsia="Arial" w:hAnsi="Arial"/>
                <w:sz w:val="18"/>
                <w:szCs w:val="18"/>
                <w:b w:val="1"/>
                <w:bCs w:val="1"/>
                <w:color w:val="auto"/>
              </w:rPr>
              <w:t>CAPITAL</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3,456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3,458</w:t>
            </w:r>
          </w:p>
        </w:tc>
        <w:tc>
          <w:tcPr>
            <w:tcW w:w="4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Senior notes, net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8,941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8,941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8,933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8,933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 net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tcPr>
          <w:p>
            <w:pPr>
              <w:spacing w:after="0" w:line="201" w:lineRule="exact"/>
              <w:rPr>
                <w:sz w:val="20"/>
                <w:szCs w:val="20"/>
                <w:color w:val="auto"/>
              </w:rPr>
            </w:pPr>
            <w:r>
              <w:rPr>
                <w:rFonts w:ascii="Arial" w:cs="Arial" w:eastAsia="Arial" w:hAnsi="Arial"/>
                <w:sz w:val="18"/>
                <w:szCs w:val="18"/>
                <w:color w:val="auto"/>
              </w:rPr>
              <w:t>Other long-term liabilities and deferred</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credits</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910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910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679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13,511</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Partners’ capital excluding noncontrolling</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12,002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(10,156)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1,846</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10,958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(9,263)</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11,473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10,663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10,663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partners’ capital</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13,319</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Pr>
          <w:p>
            <w:pPr>
              <w:ind w:left="340"/>
              <w:spacing w:after="0"/>
              <w:rPr>
                <w:sz w:val="20"/>
                <w:szCs w:val="20"/>
                <w:color w:val="auto"/>
              </w:rPr>
            </w:pPr>
            <w:r>
              <w:rPr>
                <w:rFonts w:ascii="Arial" w:cs="Arial" w:eastAsia="Arial" w:hAnsi="Arial"/>
                <w:sz w:val="18"/>
                <w:szCs w:val="18"/>
                <w:color w:val="auto"/>
              </w:rPr>
              <w:t>Total liabilities and partners’ capital</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26,830</w:t>
            </w: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26,753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280"/>
        <w:spacing w:after="0"/>
        <w:tabs>
          <w:tab w:leader="none" w:pos="4780" w:val="left"/>
          <w:tab w:leader="none" w:pos="69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Page 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ind w:right="418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NET INCOME/(LOSS) PER CLASS A SHARE </w:t>
      </w:r>
      <w:r>
        <w:rPr>
          <w:rFonts w:ascii="Arial" w:cs="Arial" w:eastAsia="Arial" w:hAnsi="Arial"/>
          <w:sz w:val="18"/>
          <w:szCs w:val="18"/>
          <w:color w:val="auto"/>
        </w:rPr>
        <w:t>(in millions, except per 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3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w w:val="98"/>
              </w:rPr>
              <w:t>December 31,</w:t>
            </w:r>
          </w:p>
        </w:tc>
        <w:tc>
          <w:tcPr>
            <w:tcW w:w="4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94"/>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ind w:right="315"/>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Income/(Loss) per Class A Share</w:t>
            </w:r>
          </w:p>
        </w:tc>
        <w:tc>
          <w:tcPr>
            <w:tcW w:w="8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Net income/(loss) attributable to PAGP</w:t>
            </w:r>
          </w:p>
        </w:tc>
        <w:tc>
          <w:tcPr>
            <w:tcW w:w="860" w:type="dxa"/>
            <w:vAlign w:val="bottom"/>
          </w:tcPr>
          <w:p>
            <w:pPr>
              <w:jc w:val="right"/>
              <w:ind w:right="675"/>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180</w:t>
            </w:r>
          </w:p>
        </w:tc>
        <w:tc>
          <w:tcPr>
            <w:tcW w:w="9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(800)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334</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weighted average Class A shares outstanding</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net income/(loss) per Class A share</w:t>
            </w:r>
          </w:p>
        </w:tc>
        <w:tc>
          <w:tcPr>
            <w:tcW w:w="860" w:type="dxa"/>
            <w:vAlign w:val="bottom"/>
            <w:shd w:val="clear" w:color="auto" w:fill="CCEEFF"/>
          </w:tcPr>
          <w:p>
            <w:pPr>
              <w:jc w:val="right"/>
              <w:ind w:right="675"/>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w:t>
            </w:r>
          </w:p>
        </w:tc>
        <w:tc>
          <w:tcPr>
            <w:tcW w:w="9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(5.16)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Income/(Loss) per Class A Share</w:t>
            </w: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Net income/(loss) attributable to PAGP</w:t>
            </w:r>
          </w:p>
        </w:tc>
        <w:tc>
          <w:tcPr>
            <w:tcW w:w="860" w:type="dxa"/>
            <w:vAlign w:val="bottom"/>
          </w:tcPr>
          <w:p>
            <w:pPr>
              <w:jc w:val="right"/>
              <w:ind w:right="675"/>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180</w:t>
            </w:r>
          </w:p>
        </w:tc>
        <w:tc>
          <w:tcPr>
            <w:tcW w:w="9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(800)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334</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Incremental net income attributable to PAGP resulting from assumed</w:t>
            </w: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exchange of AAP units and AAP Management Units</w:t>
            </w:r>
          </w:p>
        </w:tc>
        <w:tc>
          <w:tcPr>
            <w:tcW w:w="86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262</w:t>
            </w:r>
          </w:p>
        </w:tc>
        <w:tc>
          <w:tcPr>
            <w:tcW w:w="36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vMerge w:val="restart"/>
          </w:tcPr>
          <w:p>
            <w:pPr>
              <w:ind w:left="160"/>
              <w:spacing w:after="0" w:line="201" w:lineRule="exact"/>
              <w:rPr>
                <w:sz w:val="20"/>
                <w:szCs w:val="20"/>
                <w:color w:val="auto"/>
              </w:rPr>
            </w:pPr>
            <w:r>
              <w:rPr>
                <w:rFonts w:ascii="Arial" w:cs="Arial" w:eastAsia="Arial" w:hAnsi="Arial"/>
                <w:sz w:val="18"/>
                <w:szCs w:val="18"/>
                <w:color w:val="auto"/>
                <w:w w:val="99"/>
              </w:rPr>
              <w:t>Net income/(loss) attributable to PAGP including incremental net income</w:t>
            </w:r>
          </w:p>
        </w:tc>
        <w:tc>
          <w:tcPr>
            <w:tcW w:w="8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900" w:type="dxa"/>
            <w:vAlign w:val="bottom"/>
            <w:vMerge w:val="continue"/>
          </w:tcPr>
          <w:p>
            <w:pPr>
              <w:spacing w:after="0"/>
              <w:rPr>
                <w:sz w:val="15"/>
                <w:szCs w:val="15"/>
                <w:color w:val="auto"/>
              </w:rPr>
            </w:pPr>
          </w:p>
        </w:tc>
        <w:tc>
          <w:tcPr>
            <w:tcW w:w="860" w:type="dxa"/>
            <w:vAlign w:val="bottom"/>
            <w:vMerge w:val="restart"/>
          </w:tcPr>
          <w:p>
            <w:pPr>
              <w:jc w:val="right"/>
              <w:ind w:right="675"/>
              <w:spacing w:after="0"/>
              <w:rPr>
                <w:sz w:val="20"/>
                <w:szCs w:val="20"/>
                <w:color w:val="auto"/>
              </w:rPr>
            </w:pPr>
            <w:r>
              <w:rPr>
                <w:rFonts w:ascii="Arial" w:cs="Arial" w:eastAsia="Arial" w:hAnsi="Arial"/>
                <w:sz w:val="18"/>
                <w:szCs w:val="18"/>
                <w:color w:val="auto"/>
                <w:w w:val="79"/>
              </w:rPr>
              <w:t>$</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180</w:t>
            </w:r>
          </w:p>
        </w:tc>
        <w:tc>
          <w:tcPr>
            <w:tcW w:w="140" w:type="dxa"/>
            <w:vAlign w:val="bottom"/>
            <w:vMerge w:val="restart"/>
          </w:tcPr>
          <w:p>
            <w:pPr>
              <w:spacing w:after="0"/>
              <w:rPr>
                <w:sz w:val="15"/>
                <w:szCs w:val="15"/>
                <w:color w:val="auto"/>
              </w:rPr>
            </w:pPr>
          </w:p>
        </w:tc>
        <w:tc>
          <w:tcPr>
            <w:tcW w:w="900" w:type="dxa"/>
            <w:vAlign w:val="bottom"/>
            <w:gridSpan w:val="2"/>
            <w:vMerge w:val="restart"/>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(800)</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596</w:t>
            </w:r>
          </w:p>
        </w:tc>
        <w:tc>
          <w:tcPr>
            <w:tcW w:w="360" w:type="dxa"/>
            <w:vAlign w:val="bottom"/>
            <w:vMerge w:val="restart"/>
          </w:tcPr>
          <w:p>
            <w:pPr>
              <w:jc w:val="right"/>
              <w:ind w:right="205"/>
              <w:spacing w:after="0"/>
              <w:rPr>
                <w:sz w:val="20"/>
                <w:szCs w:val="20"/>
                <w:color w:val="auto"/>
              </w:rPr>
            </w:pPr>
            <w:r>
              <w:rPr>
                <w:rFonts w:ascii="Arial" w:cs="Arial" w:eastAsia="Arial" w:hAnsi="Arial"/>
                <w:sz w:val="15"/>
                <w:szCs w:val="15"/>
                <w:color w:val="auto"/>
                <w:w w:val="71"/>
              </w:rPr>
              <w:t>$</w:t>
            </w:r>
          </w:p>
        </w:tc>
        <w:tc>
          <w:tcPr>
            <w:tcW w:w="84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from assumed exchange of AAP units and AAP Management Units</w:t>
            </w:r>
          </w:p>
        </w:tc>
        <w:tc>
          <w:tcPr>
            <w:tcW w:w="860" w:type="dxa"/>
            <w:vAlign w:val="bottom"/>
            <w:vMerge w:val="continue"/>
          </w:tcPr>
          <w:p>
            <w:pPr>
              <w:spacing w:after="0"/>
              <w:rPr>
                <w:sz w:val="22"/>
                <w:szCs w:val="22"/>
                <w:color w:val="auto"/>
              </w:rPr>
            </w:pPr>
          </w:p>
        </w:tc>
        <w:tc>
          <w:tcPr>
            <w:tcW w:w="400" w:type="dxa"/>
            <w:vAlign w:val="bottom"/>
            <w:vMerge w:val="continue"/>
          </w:tcPr>
          <w:p>
            <w:pPr>
              <w:spacing w:after="0"/>
              <w:rPr>
                <w:sz w:val="22"/>
                <w:szCs w:val="22"/>
                <w:color w:val="auto"/>
              </w:rPr>
            </w:pPr>
          </w:p>
        </w:tc>
        <w:tc>
          <w:tcPr>
            <w:tcW w:w="140" w:type="dxa"/>
            <w:vAlign w:val="bottom"/>
            <w:vMerge w:val="continue"/>
          </w:tcPr>
          <w:p>
            <w:pPr>
              <w:spacing w:after="0"/>
              <w:rPr>
                <w:sz w:val="22"/>
                <w:szCs w:val="22"/>
                <w:color w:val="auto"/>
              </w:rPr>
            </w:pPr>
          </w:p>
        </w:tc>
        <w:tc>
          <w:tcPr>
            <w:tcW w:w="900" w:type="dxa"/>
            <w:vAlign w:val="bottom"/>
            <w:gridSpan w:val="2"/>
            <w:vMerge w:val="continue"/>
          </w:tcPr>
          <w:p>
            <w:pPr>
              <w:spacing w:after="0"/>
              <w:rPr>
                <w:sz w:val="22"/>
                <w:szCs w:val="22"/>
                <w:color w:val="auto"/>
              </w:rPr>
            </w:pPr>
          </w:p>
        </w:tc>
        <w:tc>
          <w:tcPr>
            <w:tcW w:w="680" w:type="dxa"/>
            <w:vAlign w:val="bottom"/>
            <w:gridSpan w:val="2"/>
            <w:vMerge w:val="continue"/>
          </w:tcPr>
          <w:p>
            <w:pPr>
              <w:spacing w:after="0"/>
              <w:rPr>
                <w:sz w:val="22"/>
                <w:szCs w:val="22"/>
                <w:color w:val="auto"/>
              </w:rPr>
            </w:pPr>
          </w:p>
        </w:tc>
        <w:tc>
          <w:tcPr>
            <w:tcW w:w="240" w:type="dxa"/>
            <w:vAlign w:val="bottom"/>
            <w:vMerge w:val="continue"/>
          </w:tcPr>
          <w:p>
            <w:pPr>
              <w:spacing w:after="0"/>
              <w:rPr>
                <w:sz w:val="22"/>
                <w:szCs w:val="22"/>
                <w:color w:val="auto"/>
              </w:rPr>
            </w:pPr>
          </w:p>
        </w:tc>
        <w:tc>
          <w:tcPr>
            <w:tcW w:w="1080" w:type="dxa"/>
            <w:vAlign w:val="bottom"/>
            <w:gridSpan w:val="2"/>
            <w:vMerge w:val="continue"/>
          </w:tcPr>
          <w:p>
            <w:pPr>
              <w:spacing w:after="0"/>
              <w:rPr>
                <w:sz w:val="22"/>
                <w:szCs w:val="22"/>
                <w:color w:val="auto"/>
              </w:rPr>
            </w:pPr>
          </w:p>
        </w:tc>
        <w:tc>
          <w:tcPr>
            <w:tcW w:w="360" w:type="dxa"/>
            <w:vAlign w:val="bottom"/>
            <w:vMerge w:val="continue"/>
          </w:tcPr>
          <w:p>
            <w:pPr>
              <w:spacing w:after="0"/>
              <w:rPr>
                <w:sz w:val="22"/>
                <w:szCs w:val="22"/>
                <w:color w:val="auto"/>
              </w:rPr>
            </w:pPr>
          </w:p>
        </w:tc>
        <w:tc>
          <w:tcPr>
            <w:tcW w:w="84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Basic weighted average Class A shares outstanding</w:t>
            </w:r>
          </w:p>
        </w:tc>
        <w:tc>
          <w:tcPr>
            <w:tcW w:w="8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159</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155</w:t>
            </w:r>
          </w:p>
        </w:tc>
        <w:tc>
          <w:tcPr>
            <w:tcW w:w="24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158</w:t>
            </w:r>
          </w:p>
        </w:tc>
        <w:tc>
          <w:tcPr>
            <w:tcW w:w="3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6"/>
              </w:rPr>
              <w:t>Dilutive shares resulting from assumed exchange of AAP units and AAP</w:t>
            </w: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Management Units</w:t>
            </w:r>
          </w:p>
        </w:tc>
        <w:tc>
          <w:tcPr>
            <w:tcW w:w="8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w:t>
            </w:r>
          </w:p>
        </w:tc>
        <w:tc>
          <w:tcPr>
            <w:tcW w:w="36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Diluted weighted average Class A shares outstanding</w:t>
            </w:r>
          </w:p>
        </w:tc>
        <w:tc>
          <w:tcPr>
            <w:tcW w:w="86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74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2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28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tcPr>
          <w:p>
            <w:pPr>
              <w:ind w:left="160"/>
              <w:spacing w:after="0" w:line="162" w:lineRule="exact"/>
              <w:rPr>
                <w:sz w:val="20"/>
                <w:szCs w:val="20"/>
                <w:color w:val="auto"/>
              </w:rPr>
            </w:pPr>
            <w:r>
              <w:rPr>
                <w:rFonts w:ascii="Arial" w:cs="Arial" w:eastAsia="Arial" w:hAnsi="Arial"/>
                <w:sz w:val="14"/>
                <w:szCs w:val="14"/>
                <w:color w:val="auto"/>
              </w:rPr>
              <w:t xml:space="preserve">Diluted net income/(loss) per Class A share </w:t>
            </w:r>
            <w:r>
              <w:rPr>
                <w:rFonts w:ascii="Arial" w:cs="Arial" w:eastAsia="Arial" w:hAnsi="Arial"/>
                <w:sz w:val="18"/>
                <w:szCs w:val="18"/>
                <w:color w:val="auto"/>
                <w:vertAlign w:val="superscript"/>
              </w:rPr>
              <w:t>(1)</w:t>
            </w:r>
          </w:p>
        </w:tc>
        <w:tc>
          <w:tcPr>
            <w:tcW w:w="860" w:type="dxa"/>
            <w:vAlign w:val="bottom"/>
            <w:vMerge w:val="restart"/>
          </w:tcPr>
          <w:p>
            <w:pPr>
              <w:jc w:val="right"/>
              <w:ind w:right="675"/>
              <w:spacing w:after="0"/>
              <w:rPr>
                <w:sz w:val="20"/>
                <w:szCs w:val="20"/>
                <w:color w:val="auto"/>
              </w:rPr>
            </w:pPr>
            <w:r>
              <w:rPr>
                <w:rFonts w:ascii="Arial" w:cs="Arial" w:eastAsia="Arial" w:hAnsi="Arial"/>
                <w:sz w:val="18"/>
                <w:szCs w:val="18"/>
                <w:color w:val="auto"/>
                <w:w w:val="79"/>
              </w:rPr>
              <w:t>$</w:t>
            </w: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1.12</w:t>
            </w:r>
          </w:p>
        </w:tc>
        <w:tc>
          <w:tcPr>
            <w:tcW w:w="900" w:type="dxa"/>
            <w:vAlign w:val="bottom"/>
            <w:gridSpan w:val="2"/>
            <w:vMerge w:val="restart"/>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line="162" w:lineRule="exact"/>
              <w:rPr>
                <w:sz w:val="20"/>
                <w:szCs w:val="20"/>
                <w:color w:val="auto"/>
              </w:rPr>
            </w:pPr>
            <w:r>
              <w:rPr>
                <w:rFonts w:ascii="Arial" w:cs="Arial" w:eastAsia="Arial" w:hAnsi="Arial"/>
                <w:sz w:val="18"/>
                <w:szCs w:val="18"/>
                <w:color w:val="auto"/>
              </w:rPr>
              <w:t>)</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2.11</w:t>
            </w:r>
          </w:p>
        </w:tc>
        <w:tc>
          <w:tcPr>
            <w:tcW w:w="360" w:type="dxa"/>
            <w:vAlign w:val="bottom"/>
            <w:vMerge w:val="restart"/>
          </w:tcPr>
          <w:p>
            <w:pPr>
              <w:jc w:val="right"/>
              <w:ind w:right="205"/>
              <w:spacing w:after="0"/>
              <w:rPr>
                <w:sz w:val="20"/>
                <w:szCs w:val="20"/>
                <w:color w:val="auto"/>
              </w:rPr>
            </w:pPr>
            <w:r>
              <w:rPr>
                <w:rFonts w:ascii="Arial" w:cs="Arial" w:eastAsia="Arial" w:hAnsi="Arial"/>
                <w:sz w:val="15"/>
                <w:szCs w:val="15"/>
                <w:color w:val="auto"/>
                <w:w w:val="71"/>
              </w:rPr>
              <w:t>$</w:t>
            </w:r>
          </w:p>
        </w:tc>
        <w:tc>
          <w:tcPr>
            <w:tcW w:w="840" w:type="dxa"/>
            <w:vAlign w:val="bottom"/>
            <w:gridSpan w:val="3"/>
          </w:tcPr>
          <w:p>
            <w:pPr>
              <w:jc w:val="right"/>
              <w:ind w:right="40"/>
              <w:spacing w:after="0" w:line="16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590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680" w:type="dxa"/>
            <w:vAlign w:val="bottom"/>
            <w:gridSpan w:val="2"/>
          </w:tcPr>
          <w:p>
            <w:pPr>
              <w:jc w:val="right"/>
              <w:ind w:right="280"/>
              <w:spacing w:after="0" w:line="81" w:lineRule="exact"/>
              <w:rPr>
                <w:sz w:val="20"/>
                <w:szCs w:val="20"/>
                <w:color w:val="auto"/>
              </w:rPr>
            </w:pPr>
            <w:r>
              <w:rPr>
                <w:rFonts w:ascii="Arial" w:cs="Arial" w:eastAsia="Arial" w:hAnsi="Arial"/>
                <w:sz w:val="9"/>
                <w:szCs w:val="9"/>
                <w:color w:val="auto"/>
              </w:rPr>
              <w:t>(5.16</w:t>
            </w:r>
          </w:p>
        </w:tc>
        <w:tc>
          <w:tcPr>
            <w:tcW w:w="240" w:type="dxa"/>
            <w:vAlign w:val="bottom"/>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760" w:type="dxa"/>
            <w:vAlign w:val="bottom"/>
            <w:gridSpan w:val="2"/>
          </w:tcPr>
          <w:p>
            <w:pPr>
              <w:jc w:val="right"/>
              <w:ind w:right="20"/>
              <w:spacing w:after="0" w:line="81" w:lineRule="exact"/>
              <w:rPr>
                <w:sz w:val="20"/>
                <w:szCs w:val="20"/>
                <w:color w:val="auto"/>
              </w:rPr>
            </w:pPr>
            <w:r>
              <w:rPr>
                <w:rFonts w:ascii="Arial" w:cs="Arial" w:eastAsia="Arial" w:hAnsi="Arial"/>
                <w:sz w:val="9"/>
                <w:szCs w:val="9"/>
                <w:color w:val="auto"/>
              </w:rPr>
              <w:t>(5.03</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60" w:hanging="332"/>
        <w:spacing w:after="0" w:line="227" w:lineRule="auto"/>
        <w:tabs>
          <w:tab w:leader="none" w:pos="328"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For the three and twelve months ended December 31, 2017, the possible exchange of any AAP units and certain AAP Management Units would have had an antidilutive effect on basic net income/(loss) per Class A share.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gridSpan w:val="2"/>
          </w:tcPr>
          <w:p>
            <w:pPr>
              <w:spacing w:after="0"/>
              <w:rPr>
                <w:sz w:val="20"/>
                <w:szCs w:val="20"/>
                <w:color w:val="auto"/>
              </w:rPr>
            </w:pPr>
            <w:r>
              <w:rPr>
                <w:rFonts w:ascii="Arial" w:cs="Arial" w:eastAsia="Arial" w:hAnsi="Arial"/>
                <w:sz w:val="18"/>
                <w:szCs w:val="18"/>
                <w:color w:val="auto"/>
              </w:rPr>
              <w:t>Contacts:</w:t>
            </w:r>
          </w:p>
        </w:tc>
        <w:tc>
          <w:tcPr>
            <w:tcW w:w="1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8"/>
        </w:trPr>
        <w:tc>
          <w:tcPr>
            <w:tcW w:w="4580" w:type="dxa"/>
            <w:vAlign w:val="bottom"/>
            <w:gridSpan w:val="2"/>
          </w:tcPr>
          <w:p>
            <w:pPr>
              <w:spacing w:after="0"/>
              <w:rPr>
                <w:sz w:val="20"/>
                <w:szCs w:val="20"/>
                <w:color w:val="auto"/>
              </w:rPr>
            </w:pPr>
            <w:r>
              <w:rPr>
                <w:rFonts w:ascii="Arial" w:cs="Arial" w:eastAsia="Arial" w:hAnsi="Arial"/>
                <w:sz w:val="18"/>
                <w:szCs w:val="18"/>
                <w:color w:val="auto"/>
              </w:rPr>
              <w:t>Roy Lamoreaux</w:t>
            </w:r>
          </w:p>
        </w:tc>
        <w:tc>
          <w:tcPr>
            <w:tcW w:w="2280" w:type="dxa"/>
            <w:vAlign w:val="bottom"/>
            <w:gridSpan w:val="2"/>
          </w:tcPr>
          <w:p>
            <w:pPr>
              <w:ind w:left="1040"/>
              <w:spacing w:after="0"/>
              <w:rPr>
                <w:sz w:val="20"/>
                <w:szCs w:val="20"/>
                <w:color w:val="auto"/>
              </w:rPr>
            </w:pPr>
            <w:r>
              <w:rPr>
                <w:rFonts w:ascii="Arial" w:cs="Arial" w:eastAsia="Arial" w:hAnsi="Arial"/>
                <w:sz w:val="18"/>
                <w:szCs w:val="18"/>
                <w:color w:val="auto"/>
              </w:rPr>
              <w:t>Brett Magill</w:t>
            </w:r>
          </w:p>
        </w:tc>
        <w:tc>
          <w:tcPr>
            <w:tcW w:w="4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Vice President, Investor Relations &amp; Communications</w:t>
            </w:r>
          </w:p>
        </w:tc>
        <w:tc>
          <w:tcPr>
            <w:tcW w:w="6840" w:type="dxa"/>
            <w:vAlign w:val="bottom"/>
            <w:gridSpan w:val="3"/>
          </w:tcPr>
          <w:p>
            <w:pPr>
              <w:ind w:left="1040"/>
              <w:spacing w:after="0"/>
              <w:rPr>
                <w:sz w:val="20"/>
                <w:szCs w:val="20"/>
                <w:color w:val="auto"/>
              </w:rPr>
            </w:pPr>
            <w:r>
              <w:rPr>
                <w:rFonts w:ascii="Arial" w:cs="Arial" w:eastAsia="Arial" w:hAnsi="Arial"/>
                <w:sz w:val="18"/>
                <w:szCs w:val="18"/>
                <w:color w:val="auto"/>
              </w:rPr>
              <w:t>Director, Investor Relations</w:t>
            </w:r>
          </w:p>
        </w:tc>
        <w:tc>
          <w:tcPr>
            <w:tcW w:w="40" w:type="dxa"/>
            <w:vAlign w:val="bottom"/>
          </w:tcPr>
          <w:p>
            <w:pPr>
              <w:spacing w:after="0"/>
              <w:rPr>
                <w:sz w:val="18"/>
                <w:szCs w:val="18"/>
                <w:color w:val="auto"/>
              </w:rPr>
            </w:pP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(866) 809-1291</w:t>
            </w:r>
          </w:p>
        </w:tc>
        <w:tc>
          <w:tcPr>
            <w:tcW w:w="1460" w:type="dxa"/>
            <w:vAlign w:val="bottom"/>
          </w:tcPr>
          <w:p>
            <w:pPr>
              <w:ind w:left="1040"/>
              <w:spacing w:after="0"/>
              <w:rPr>
                <w:sz w:val="20"/>
                <w:szCs w:val="20"/>
                <w:color w:val="auto"/>
              </w:rPr>
            </w:pPr>
            <w:r>
              <w:rPr>
                <w:rFonts w:ascii="Arial" w:cs="Arial" w:eastAsia="Arial" w:hAnsi="Arial"/>
                <w:sz w:val="18"/>
                <w:szCs w:val="18"/>
                <w:color w:val="auto"/>
                <w:w w:val="95"/>
              </w:rPr>
              <w:t>(866)</w:t>
            </w:r>
          </w:p>
        </w:tc>
        <w:tc>
          <w:tcPr>
            <w:tcW w:w="820" w:type="dxa"/>
            <w:vAlign w:val="bottom"/>
          </w:tcPr>
          <w:p>
            <w:pPr>
              <w:ind w:left="20"/>
              <w:spacing w:after="0"/>
              <w:rPr>
                <w:sz w:val="20"/>
                <w:szCs w:val="20"/>
                <w:color w:val="auto"/>
              </w:rPr>
            </w:pPr>
            <w:r>
              <w:rPr>
                <w:rFonts w:ascii="Arial" w:cs="Arial" w:eastAsia="Arial" w:hAnsi="Arial"/>
                <w:sz w:val="18"/>
                <w:szCs w:val="18"/>
                <w:color w:val="auto"/>
              </w:rPr>
              <w:t>809-1291</w:t>
            </w:r>
          </w:p>
        </w:tc>
        <w:tc>
          <w:tcPr>
            <w:tcW w:w="45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9"/>
        </w:trPr>
        <w:tc>
          <w:tcPr>
            <w:tcW w:w="64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640" w:type="dxa"/>
            <w:vAlign w:val="bottom"/>
          </w:tcPr>
          <w:p>
            <w:pPr>
              <w:spacing w:after="0"/>
              <w:rPr>
                <w:sz w:val="20"/>
                <w:szCs w:val="20"/>
                <w:color w:val="auto"/>
              </w:rPr>
            </w:pPr>
          </w:p>
        </w:tc>
        <w:tc>
          <w:tcPr>
            <w:tcW w:w="3940" w:type="dxa"/>
            <w:vAlign w:val="bottom"/>
          </w:tcPr>
          <w:p>
            <w:pPr>
              <w:ind w:left="1640"/>
              <w:spacing w:after="0"/>
              <w:rPr>
                <w:sz w:val="20"/>
                <w:szCs w:val="20"/>
                <w:color w:val="auto"/>
              </w:rPr>
            </w:pPr>
            <w:r>
              <w:rPr>
                <w:rFonts w:ascii="Arial" w:cs="Arial" w:eastAsia="Arial" w:hAnsi="Arial"/>
                <w:sz w:val="18"/>
                <w:szCs w:val="18"/>
                <w:b w:val="1"/>
                <w:bCs w:val="1"/>
                <w:color w:val="auto"/>
                <w:w w:val="99"/>
              </w:rPr>
              <w:t>333 Clay Street, Suite 1600</w:t>
            </w:r>
          </w:p>
        </w:tc>
        <w:tc>
          <w:tcPr>
            <w:tcW w:w="1460" w:type="dxa"/>
            <w:vAlign w:val="bottom"/>
          </w:tcPr>
          <w:p>
            <w:pPr>
              <w:ind w:left="220"/>
              <w:spacing w:after="0"/>
              <w:rPr>
                <w:sz w:val="20"/>
                <w:szCs w:val="20"/>
                <w:color w:val="auto"/>
              </w:rPr>
            </w:pPr>
            <w:r>
              <w:rPr>
                <w:rFonts w:ascii="Arial" w:cs="Arial" w:eastAsia="Arial" w:hAnsi="Arial"/>
                <w:sz w:val="18"/>
                <w:szCs w:val="18"/>
                <w:b w:val="1"/>
                <w:bCs w:val="1"/>
                <w:color w:val="auto"/>
                <w:w w:val="90"/>
              </w:rPr>
              <w:t>Houston, Texas</w:t>
            </w:r>
          </w:p>
        </w:tc>
        <w:tc>
          <w:tcPr>
            <w:tcW w:w="820" w:type="dxa"/>
            <w:vAlign w:val="bottom"/>
          </w:tcPr>
          <w:p>
            <w:pPr>
              <w:ind w:left="20"/>
              <w:spacing w:after="0"/>
              <w:rPr>
                <w:sz w:val="20"/>
                <w:szCs w:val="20"/>
                <w:color w:val="auto"/>
              </w:rPr>
            </w:pPr>
            <w:r>
              <w:rPr>
                <w:rFonts w:ascii="Arial" w:cs="Arial" w:eastAsia="Arial" w:hAnsi="Arial"/>
                <w:sz w:val="18"/>
                <w:szCs w:val="18"/>
                <w:b w:val="1"/>
                <w:bCs w:val="1"/>
                <w:color w:val="auto"/>
              </w:rPr>
              <w:t>77002</w:t>
            </w:r>
          </w:p>
        </w:tc>
        <w:tc>
          <w:tcPr>
            <w:tcW w:w="4560" w:type="dxa"/>
            <w:vAlign w:val="bottom"/>
          </w:tcPr>
          <w:p>
            <w:pPr>
              <w:jc w:val="right"/>
              <w:ind w:right="2190"/>
              <w:spacing w:after="0"/>
              <w:rPr>
                <w:sz w:val="20"/>
                <w:szCs w:val="20"/>
                <w:color w:val="auto"/>
              </w:rPr>
            </w:pPr>
            <w:r>
              <w:rPr>
                <w:rFonts w:ascii="Arial" w:cs="Arial" w:eastAsia="Arial" w:hAnsi="Arial"/>
                <w:sz w:val="18"/>
                <w:szCs w:val="18"/>
                <w:b w:val="1"/>
                <w:bCs w:val="1"/>
                <w:color w:val="auto"/>
                <w:w w:val="94"/>
              </w:rPr>
              <w:t>713-646-4100 / 866-809-1291</w:t>
            </w:r>
          </w:p>
        </w:tc>
        <w:tc>
          <w:tcPr>
            <w:tcW w:w="40" w:type="dxa"/>
            <w:vAlign w:val="bottom"/>
          </w:tcPr>
          <w:p>
            <w:pPr>
              <w:spacing w:after="0"/>
              <w:rPr>
                <w:sz w:val="20"/>
                <w:szCs w:val="20"/>
                <w:color w:val="auto"/>
              </w:rPr>
            </w:pPr>
          </w:p>
        </w:tc>
      </w:tr>
      <w:tr>
        <w:trPr>
          <w:trHeight w:val="330"/>
        </w:trPr>
        <w:tc>
          <w:tcPr>
            <w:tcW w:w="640" w:type="dxa"/>
            <w:vAlign w:val="bottom"/>
            <w:tcBorders>
              <w:bottom w:val="single" w:sz="8" w:color="808080"/>
            </w:tcBorders>
          </w:tcPr>
          <w:p>
            <w:pPr>
              <w:spacing w:after="0"/>
              <w:rPr>
                <w:sz w:val="24"/>
                <w:szCs w:val="24"/>
                <w:color w:val="auto"/>
              </w:rPr>
            </w:pPr>
          </w:p>
        </w:tc>
        <w:tc>
          <w:tcPr>
            <w:tcW w:w="39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45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4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o"/>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1)"/>
      <w:numFmt w:val="decimal"/>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2020-01-09T18:31:38Z</dcterms:created>
  <dcterms:modified xsi:type="dcterms:W3CDTF">2020-01-09T18:31:38Z</dcterms:modified>
</cp:coreProperties>
</file>