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8460" w:type="dxa"/>
            <w:vAlign w:val="bottom"/>
          </w:tcPr>
          <w:p>
            <w:pPr>
              <w:jc w:val="right"/>
              <w:spacing w:after="0"/>
              <w:rPr>
                <w:sz w:val="20"/>
                <w:szCs w:val="20"/>
                <w:color w:val="auto"/>
              </w:rPr>
            </w:pPr>
            <w:r>
              <w:rPr>
                <w:rFonts w:ascii="Arial" w:cs="Arial" w:eastAsia="Arial" w:hAnsi="Arial"/>
                <w:sz w:val="18"/>
                <w:szCs w:val="18"/>
                <w:color w:val="auto"/>
              </w:rPr>
              <w:t>Filed Pursuant to Rule 433</w:t>
            </w:r>
          </w:p>
        </w:tc>
      </w:tr>
      <w:tr>
        <w:trPr>
          <w:trHeight w:val="216"/>
        </w:trPr>
        <w:tc>
          <w:tcPr>
            <w:tcW w:w="2960" w:type="dxa"/>
            <w:vAlign w:val="bottom"/>
          </w:tcPr>
          <w:p>
            <w:pPr>
              <w:spacing w:after="0"/>
              <w:rPr>
                <w:sz w:val="18"/>
                <w:szCs w:val="18"/>
                <w:color w:val="auto"/>
              </w:rPr>
            </w:pPr>
          </w:p>
        </w:tc>
        <w:tc>
          <w:tcPr>
            <w:tcW w:w="8460" w:type="dxa"/>
            <w:vAlign w:val="bottom"/>
          </w:tcPr>
          <w:p>
            <w:pPr>
              <w:jc w:val="right"/>
              <w:spacing w:after="0"/>
              <w:rPr>
                <w:sz w:val="20"/>
                <w:szCs w:val="20"/>
                <w:color w:val="auto"/>
              </w:rPr>
            </w:pPr>
            <w:r>
              <w:rPr>
                <w:rFonts w:ascii="Arial" w:cs="Arial" w:eastAsia="Arial" w:hAnsi="Arial"/>
                <w:sz w:val="18"/>
                <w:szCs w:val="18"/>
                <w:color w:val="auto"/>
              </w:rPr>
              <w:t>Registration No. 333-162475</w:t>
            </w:r>
          </w:p>
        </w:tc>
      </w:tr>
      <w:tr>
        <w:trPr>
          <w:trHeight w:val="230"/>
        </w:trPr>
        <w:tc>
          <w:tcPr>
            <w:tcW w:w="2960" w:type="dxa"/>
            <w:vAlign w:val="bottom"/>
          </w:tcPr>
          <w:p>
            <w:pPr>
              <w:spacing w:after="0"/>
              <w:rPr>
                <w:sz w:val="20"/>
                <w:szCs w:val="20"/>
                <w:color w:val="auto"/>
              </w:rPr>
            </w:pPr>
          </w:p>
        </w:tc>
        <w:tc>
          <w:tcPr>
            <w:tcW w:w="8460" w:type="dxa"/>
            <w:vAlign w:val="bottom"/>
          </w:tcPr>
          <w:p>
            <w:pPr>
              <w:jc w:val="right"/>
              <w:spacing w:after="0"/>
              <w:rPr>
                <w:sz w:val="20"/>
                <w:szCs w:val="20"/>
                <w:color w:val="auto"/>
              </w:rPr>
            </w:pPr>
            <w:r>
              <w:rPr>
                <w:rFonts w:ascii="Arial" w:cs="Arial" w:eastAsia="Arial" w:hAnsi="Arial"/>
                <w:sz w:val="18"/>
                <w:szCs w:val="18"/>
                <w:color w:val="auto"/>
              </w:rPr>
              <w:t>July 7, 2010</w:t>
            </w:r>
          </w:p>
        </w:tc>
      </w:tr>
      <w:tr>
        <w:trPr>
          <w:trHeight w:val="540"/>
        </w:trPr>
        <w:tc>
          <w:tcPr>
            <w:tcW w:w="2960" w:type="dxa"/>
            <w:vAlign w:val="bottom"/>
          </w:tcPr>
          <w:p>
            <w:pPr>
              <w:spacing w:after="0"/>
              <w:rPr>
                <w:sz w:val="24"/>
                <w:szCs w:val="24"/>
                <w:color w:val="auto"/>
              </w:rPr>
            </w:pPr>
          </w:p>
        </w:tc>
        <w:tc>
          <w:tcPr>
            <w:tcW w:w="8460" w:type="dxa"/>
            <w:vAlign w:val="bottom"/>
          </w:tcPr>
          <w:p>
            <w:pPr>
              <w:ind w:left="1860"/>
              <w:spacing w:after="0"/>
              <w:rPr>
                <w:sz w:val="20"/>
                <w:szCs w:val="20"/>
                <w:color w:val="auto"/>
              </w:rPr>
            </w:pPr>
            <w:r>
              <w:rPr>
                <w:rFonts w:ascii="Arial" w:cs="Arial" w:eastAsia="Arial" w:hAnsi="Arial"/>
                <w:sz w:val="18"/>
                <w:szCs w:val="18"/>
                <w:b w:val="1"/>
                <w:bCs w:val="1"/>
                <w:color w:val="auto"/>
              </w:rPr>
              <w:t>FINAL TERM SHEET</w:t>
            </w:r>
          </w:p>
        </w:tc>
      </w:tr>
      <w:tr>
        <w:trPr>
          <w:trHeight w:val="540"/>
        </w:trPr>
        <w:tc>
          <w:tcPr>
            <w:tcW w:w="2960" w:type="dxa"/>
            <w:vAlign w:val="bottom"/>
          </w:tcPr>
          <w:p>
            <w:pPr>
              <w:spacing w:after="0"/>
              <w:rPr>
                <w:sz w:val="24"/>
                <w:szCs w:val="24"/>
                <w:color w:val="auto"/>
              </w:rPr>
            </w:pPr>
          </w:p>
        </w:tc>
        <w:tc>
          <w:tcPr>
            <w:tcW w:w="8460" w:type="dxa"/>
            <w:vAlign w:val="bottom"/>
          </w:tcPr>
          <w:p>
            <w:pPr>
              <w:ind w:left="1060"/>
              <w:spacing w:after="0"/>
              <w:rPr>
                <w:sz w:val="20"/>
                <w:szCs w:val="20"/>
                <w:color w:val="auto"/>
              </w:rPr>
            </w:pPr>
            <w:r>
              <w:rPr>
                <w:rFonts w:ascii="Arial" w:cs="Arial" w:eastAsia="Arial" w:hAnsi="Arial"/>
                <w:sz w:val="18"/>
                <w:szCs w:val="18"/>
                <w:b w:val="1"/>
                <w:bCs w:val="1"/>
                <w:color w:val="auto"/>
              </w:rPr>
              <w:t>3.95% Senior Notes due September 15, 2015</w:t>
            </w: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Issuers:</w:t>
            </w:r>
          </w:p>
        </w:tc>
        <w:tc>
          <w:tcPr>
            <w:tcW w:w="8460" w:type="dxa"/>
            <w:vAlign w:val="bottom"/>
          </w:tcPr>
          <w:p>
            <w:pPr>
              <w:ind w:left="480"/>
              <w:spacing w:after="0"/>
              <w:rPr>
                <w:sz w:val="20"/>
                <w:szCs w:val="20"/>
                <w:color w:val="auto"/>
              </w:rPr>
            </w:pPr>
            <w:r>
              <w:rPr>
                <w:rFonts w:ascii="Arial" w:cs="Arial" w:eastAsia="Arial" w:hAnsi="Arial"/>
                <w:sz w:val="18"/>
                <w:szCs w:val="18"/>
                <w:color w:val="auto"/>
              </w:rPr>
              <w:t>Plains All American Pipeline, L.P. and PAA Finance Corp.</w:t>
            </w: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Guarantee:</w:t>
            </w:r>
          </w:p>
        </w:tc>
        <w:tc>
          <w:tcPr>
            <w:tcW w:w="8460" w:type="dxa"/>
            <w:vAlign w:val="bottom"/>
          </w:tcPr>
          <w:p>
            <w:pPr>
              <w:ind w:left="480"/>
              <w:spacing w:after="0"/>
              <w:rPr>
                <w:sz w:val="20"/>
                <w:szCs w:val="20"/>
                <w:color w:val="auto"/>
              </w:rPr>
            </w:pPr>
            <w:r>
              <w:rPr>
                <w:rFonts w:ascii="Arial" w:cs="Arial" w:eastAsia="Arial" w:hAnsi="Arial"/>
                <w:sz w:val="18"/>
                <w:szCs w:val="18"/>
                <w:color w:val="auto"/>
              </w:rPr>
              <w:t>Unconditionally guaranteed by certain subsidiaries of Plains All American Pipeline, L.P.</w:t>
            </w: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Trade Date:</w:t>
            </w:r>
          </w:p>
        </w:tc>
        <w:tc>
          <w:tcPr>
            <w:tcW w:w="8460" w:type="dxa"/>
            <w:vAlign w:val="bottom"/>
          </w:tcPr>
          <w:p>
            <w:pPr>
              <w:ind w:left="480"/>
              <w:spacing w:after="0"/>
              <w:rPr>
                <w:sz w:val="20"/>
                <w:szCs w:val="20"/>
                <w:color w:val="auto"/>
              </w:rPr>
            </w:pPr>
            <w:r>
              <w:rPr>
                <w:rFonts w:ascii="Arial" w:cs="Arial" w:eastAsia="Arial" w:hAnsi="Arial"/>
                <w:sz w:val="18"/>
                <w:szCs w:val="18"/>
                <w:color w:val="auto"/>
              </w:rPr>
              <w:t>July 7, 2010</w:t>
            </w: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Expected Settlement Date*:</w:t>
            </w:r>
          </w:p>
        </w:tc>
        <w:tc>
          <w:tcPr>
            <w:tcW w:w="8460" w:type="dxa"/>
            <w:vAlign w:val="bottom"/>
          </w:tcPr>
          <w:p>
            <w:pPr>
              <w:ind w:left="480"/>
              <w:spacing w:after="0"/>
              <w:rPr>
                <w:sz w:val="20"/>
                <w:szCs w:val="20"/>
                <w:color w:val="auto"/>
              </w:rPr>
            </w:pPr>
            <w:r>
              <w:rPr>
                <w:rFonts w:ascii="Arial" w:cs="Arial" w:eastAsia="Arial" w:hAnsi="Arial"/>
                <w:sz w:val="18"/>
                <w:szCs w:val="18"/>
                <w:color w:val="auto"/>
              </w:rPr>
              <w:t>July 14, 2010 (T+5)</w:t>
            </w: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Note Type:</w:t>
            </w:r>
          </w:p>
        </w:tc>
        <w:tc>
          <w:tcPr>
            <w:tcW w:w="8460" w:type="dxa"/>
            <w:vAlign w:val="bottom"/>
          </w:tcPr>
          <w:p>
            <w:pPr>
              <w:ind w:left="480"/>
              <w:spacing w:after="0"/>
              <w:rPr>
                <w:sz w:val="20"/>
                <w:szCs w:val="20"/>
                <w:color w:val="auto"/>
              </w:rPr>
            </w:pPr>
            <w:r>
              <w:rPr>
                <w:rFonts w:ascii="Arial" w:cs="Arial" w:eastAsia="Arial" w:hAnsi="Arial"/>
                <w:sz w:val="18"/>
                <w:szCs w:val="18"/>
                <w:color w:val="auto"/>
              </w:rPr>
              <w:t>Senior Unsecured Notes</w:t>
            </w: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Legal Format:</w:t>
            </w:r>
          </w:p>
        </w:tc>
        <w:tc>
          <w:tcPr>
            <w:tcW w:w="8460" w:type="dxa"/>
            <w:vAlign w:val="bottom"/>
          </w:tcPr>
          <w:p>
            <w:pPr>
              <w:ind w:left="480"/>
              <w:spacing w:after="0"/>
              <w:rPr>
                <w:sz w:val="20"/>
                <w:szCs w:val="20"/>
                <w:color w:val="auto"/>
              </w:rPr>
            </w:pPr>
            <w:r>
              <w:rPr>
                <w:rFonts w:ascii="Arial" w:cs="Arial" w:eastAsia="Arial" w:hAnsi="Arial"/>
                <w:sz w:val="18"/>
                <w:szCs w:val="18"/>
                <w:color w:val="auto"/>
              </w:rPr>
              <w:t>SEC Registered</w:t>
            </w: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Size:</w:t>
            </w:r>
          </w:p>
        </w:tc>
        <w:tc>
          <w:tcPr>
            <w:tcW w:w="8460" w:type="dxa"/>
            <w:vAlign w:val="bottom"/>
          </w:tcPr>
          <w:p>
            <w:pPr>
              <w:ind w:left="480"/>
              <w:spacing w:after="0"/>
              <w:rPr>
                <w:sz w:val="20"/>
                <w:szCs w:val="20"/>
                <w:color w:val="auto"/>
              </w:rPr>
            </w:pPr>
            <w:r>
              <w:rPr>
                <w:rFonts w:ascii="Arial" w:cs="Arial" w:eastAsia="Arial" w:hAnsi="Arial"/>
                <w:sz w:val="18"/>
                <w:szCs w:val="18"/>
                <w:color w:val="auto"/>
              </w:rPr>
              <w:t>$400,000,000</w:t>
            </w: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8460" w:type="dxa"/>
            <w:vAlign w:val="bottom"/>
          </w:tcPr>
          <w:p>
            <w:pPr>
              <w:ind w:left="480"/>
              <w:spacing w:after="0"/>
              <w:rPr>
                <w:sz w:val="20"/>
                <w:szCs w:val="20"/>
                <w:color w:val="auto"/>
              </w:rPr>
            </w:pPr>
            <w:r>
              <w:rPr>
                <w:rFonts w:ascii="Arial" w:cs="Arial" w:eastAsia="Arial" w:hAnsi="Arial"/>
                <w:sz w:val="18"/>
                <w:szCs w:val="18"/>
                <w:color w:val="auto"/>
              </w:rPr>
              <w:t>September 15, 2015</w:t>
            </w: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Coupon:</w:t>
            </w:r>
          </w:p>
        </w:tc>
        <w:tc>
          <w:tcPr>
            <w:tcW w:w="8460" w:type="dxa"/>
            <w:vAlign w:val="bottom"/>
          </w:tcPr>
          <w:p>
            <w:pPr>
              <w:ind w:left="480"/>
              <w:spacing w:after="0"/>
              <w:rPr>
                <w:sz w:val="20"/>
                <w:szCs w:val="20"/>
                <w:color w:val="auto"/>
              </w:rPr>
            </w:pPr>
            <w:r>
              <w:rPr>
                <w:rFonts w:ascii="Arial" w:cs="Arial" w:eastAsia="Arial" w:hAnsi="Arial"/>
                <w:sz w:val="18"/>
                <w:szCs w:val="18"/>
                <w:color w:val="auto"/>
              </w:rPr>
              <w:t>3.95%</w:t>
            </w: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Yield to Maturity:</w:t>
            </w:r>
          </w:p>
        </w:tc>
        <w:tc>
          <w:tcPr>
            <w:tcW w:w="8460" w:type="dxa"/>
            <w:vAlign w:val="bottom"/>
          </w:tcPr>
          <w:p>
            <w:pPr>
              <w:ind w:left="480"/>
              <w:spacing w:after="0"/>
              <w:rPr>
                <w:sz w:val="20"/>
                <w:szCs w:val="20"/>
                <w:color w:val="auto"/>
              </w:rPr>
            </w:pPr>
            <w:r>
              <w:rPr>
                <w:rFonts w:ascii="Arial" w:cs="Arial" w:eastAsia="Arial" w:hAnsi="Arial"/>
                <w:sz w:val="18"/>
                <w:szCs w:val="18"/>
                <w:color w:val="auto"/>
              </w:rPr>
              <w:t>3.975%</w:t>
            </w: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8460" w:type="dxa"/>
            <w:vAlign w:val="bottom"/>
          </w:tcPr>
          <w:p>
            <w:pPr>
              <w:ind w:left="480"/>
              <w:spacing w:after="0"/>
              <w:rPr>
                <w:sz w:val="20"/>
                <w:szCs w:val="20"/>
                <w:color w:val="auto"/>
              </w:rPr>
            </w:pPr>
            <w:r>
              <w:rPr>
                <w:rFonts w:ascii="Arial" w:cs="Arial" w:eastAsia="Arial" w:hAnsi="Arial"/>
                <w:sz w:val="18"/>
                <w:szCs w:val="18"/>
                <w:color w:val="auto"/>
              </w:rPr>
              <w:t>March 15 and September 15, commencing September 15, 2010</w:t>
            </w: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8460" w:type="dxa"/>
            <w:vAlign w:val="bottom"/>
          </w:tcPr>
          <w:p>
            <w:pPr>
              <w:ind w:left="480"/>
              <w:spacing w:after="0"/>
              <w:rPr>
                <w:sz w:val="20"/>
                <w:szCs w:val="20"/>
                <w:color w:val="auto"/>
              </w:rPr>
            </w:pPr>
            <w:r>
              <w:rPr>
                <w:rFonts w:ascii="Arial" w:cs="Arial" w:eastAsia="Arial" w:hAnsi="Arial"/>
                <w:sz w:val="18"/>
                <w:szCs w:val="18"/>
                <w:color w:val="auto"/>
              </w:rPr>
              <w:t>99.889%</w:t>
            </w:r>
          </w:p>
        </w:tc>
      </w:tr>
      <w:tr>
        <w:trPr>
          <w:trHeight w:val="414"/>
        </w:trPr>
        <w:tc>
          <w:tcPr>
            <w:tcW w:w="2960" w:type="dxa"/>
            <w:vAlign w:val="bottom"/>
          </w:tcPr>
          <w:p>
            <w:pPr>
              <w:spacing w:after="0"/>
              <w:rPr>
                <w:sz w:val="20"/>
                <w:szCs w:val="20"/>
                <w:color w:val="auto"/>
              </w:rPr>
            </w:pPr>
            <w:r>
              <w:rPr>
                <w:rFonts w:ascii="Arial" w:cs="Arial" w:eastAsia="Arial" w:hAnsi="Arial"/>
                <w:sz w:val="18"/>
                <w:szCs w:val="18"/>
                <w:b w:val="1"/>
                <w:bCs w:val="1"/>
                <w:color w:val="auto"/>
              </w:rPr>
              <w:t>Net Proceeds (after expenses) to</w:t>
            </w:r>
          </w:p>
        </w:tc>
        <w:tc>
          <w:tcPr>
            <w:tcW w:w="846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8460" w:type="dxa"/>
            <w:vAlign w:val="bottom"/>
          </w:tcPr>
          <w:p>
            <w:pPr>
              <w:ind w:left="480"/>
              <w:spacing w:after="0"/>
              <w:rPr>
                <w:sz w:val="20"/>
                <w:szCs w:val="20"/>
                <w:color w:val="auto"/>
              </w:rPr>
            </w:pPr>
            <w:r>
              <w:rPr>
                <w:rFonts w:ascii="Arial" w:cs="Arial" w:eastAsia="Arial" w:hAnsi="Arial"/>
                <w:sz w:val="18"/>
                <w:szCs w:val="18"/>
                <w:color w:val="auto"/>
              </w:rPr>
              <w:t>$396,456,000</w:t>
            </w:r>
          </w:p>
        </w:tc>
      </w:tr>
      <w:tr>
        <w:trPr>
          <w:trHeight w:val="418"/>
        </w:trPr>
        <w:tc>
          <w:tcPr>
            <w:tcW w:w="296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8460" w:type="dxa"/>
            <w:vAlign w:val="bottom"/>
          </w:tcPr>
          <w:p>
            <w:pPr>
              <w:ind w:left="480"/>
              <w:spacing w:after="0"/>
              <w:rPr>
                <w:sz w:val="20"/>
                <w:szCs w:val="20"/>
                <w:color w:val="auto"/>
              </w:rPr>
            </w:pPr>
            <w:r>
              <w:rPr>
                <w:rFonts w:ascii="Arial" w:cs="Arial" w:eastAsia="Arial" w:hAnsi="Arial"/>
                <w:sz w:val="18"/>
                <w:szCs w:val="18"/>
                <w:color w:val="auto"/>
                <w:w w:val="96"/>
              </w:rPr>
              <w:t>We expect to use the net proceeds from this offering to repay outstanding indebtedness under our credit</w:t>
            </w:r>
          </w:p>
        </w:tc>
      </w:tr>
      <w:tr>
        <w:trPr>
          <w:trHeight w:val="230"/>
        </w:trPr>
        <w:tc>
          <w:tcPr>
            <w:tcW w:w="2960" w:type="dxa"/>
            <w:vAlign w:val="bottom"/>
          </w:tcPr>
          <w:p>
            <w:pPr>
              <w:spacing w:after="0"/>
              <w:rPr>
                <w:sz w:val="20"/>
                <w:szCs w:val="20"/>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facilities.</w:t>
            </w: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Benchmark Treasury:</w:t>
            </w:r>
          </w:p>
        </w:tc>
        <w:tc>
          <w:tcPr>
            <w:tcW w:w="8460" w:type="dxa"/>
            <w:vAlign w:val="bottom"/>
          </w:tcPr>
          <w:p>
            <w:pPr>
              <w:ind w:left="480"/>
              <w:spacing w:after="0"/>
              <w:rPr>
                <w:sz w:val="20"/>
                <w:szCs w:val="20"/>
                <w:color w:val="auto"/>
              </w:rPr>
            </w:pPr>
            <w:r>
              <w:rPr>
                <w:rFonts w:ascii="Arial" w:cs="Arial" w:eastAsia="Arial" w:hAnsi="Arial"/>
                <w:sz w:val="18"/>
                <w:szCs w:val="18"/>
                <w:color w:val="auto"/>
              </w:rPr>
              <w:t>UST 1.875% due June 30, 2015</w:t>
            </w: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Spread to Benchmark Treasury:</w:t>
            </w:r>
          </w:p>
        </w:tc>
        <w:tc>
          <w:tcPr>
            <w:tcW w:w="8460" w:type="dxa"/>
            <w:vAlign w:val="bottom"/>
          </w:tcPr>
          <w:p>
            <w:pPr>
              <w:ind w:left="480"/>
              <w:spacing w:after="0"/>
              <w:rPr>
                <w:sz w:val="20"/>
                <w:szCs w:val="20"/>
                <w:color w:val="auto"/>
              </w:rPr>
            </w:pPr>
            <w:r>
              <w:rPr>
                <w:rFonts w:ascii="Arial" w:cs="Arial" w:eastAsia="Arial" w:hAnsi="Arial"/>
                <w:sz w:val="18"/>
                <w:szCs w:val="18"/>
                <w:color w:val="auto"/>
              </w:rPr>
              <w:t>+220 bps</w:t>
            </w: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Benchmark Treasury Yield:</w:t>
            </w:r>
          </w:p>
        </w:tc>
        <w:tc>
          <w:tcPr>
            <w:tcW w:w="8460" w:type="dxa"/>
            <w:vAlign w:val="bottom"/>
          </w:tcPr>
          <w:p>
            <w:pPr>
              <w:ind w:left="480"/>
              <w:spacing w:after="0"/>
              <w:rPr>
                <w:sz w:val="20"/>
                <w:szCs w:val="20"/>
                <w:color w:val="auto"/>
              </w:rPr>
            </w:pPr>
            <w:r>
              <w:rPr>
                <w:rFonts w:ascii="Arial" w:cs="Arial" w:eastAsia="Arial" w:hAnsi="Arial"/>
                <w:sz w:val="18"/>
                <w:szCs w:val="18"/>
                <w:color w:val="auto"/>
              </w:rPr>
              <w:t>1.775%</w:t>
            </w: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Make-Whole Call:</w:t>
            </w:r>
          </w:p>
        </w:tc>
        <w:tc>
          <w:tcPr>
            <w:tcW w:w="8460" w:type="dxa"/>
            <w:vAlign w:val="bottom"/>
          </w:tcPr>
          <w:p>
            <w:pPr>
              <w:ind w:left="480"/>
              <w:spacing w:after="0"/>
              <w:rPr>
                <w:sz w:val="20"/>
                <w:szCs w:val="20"/>
                <w:color w:val="auto"/>
              </w:rPr>
            </w:pPr>
            <w:r>
              <w:rPr>
                <w:rFonts w:ascii="Arial" w:cs="Arial" w:eastAsia="Arial" w:hAnsi="Arial"/>
                <w:sz w:val="18"/>
                <w:szCs w:val="18"/>
                <w:color w:val="auto"/>
              </w:rPr>
              <w:t>T + 35 bps</w:t>
            </w: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CUSIP:</w:t>
            </w:r>
          </w:p>
        </w:tc>
        <w:tc>
          <w:tcPr>
            <w:tcW w:w="8460" w:type="dxa"/>
            <w:vAlign w:val="bottom"/>
          </w:tcPr>
          <w:p>
            <w:pPr>
              <w:ind w:left="480"/>
              <w:spacing w:after="0"/>
              <w:rPr>
                <w:sz w:val="20"/>
                <w:szCs w:val="20"/>
                <w:color w:val="auto"/>
              </w:rPr>
            </w:pPr>
            <w:r>
              <w:rPr>
                <w:rFonts w:ascii="Arial" w:cs="Arial" w:eastAsia="Arial" w:hAnsi="Arial"/>
                <w:sz w:val="18"/>
                <w:szCs w:val="18"/>
                <w:color w:val="auto"/>
              </w:rPr>
              <w:t>72650RAX0</w:t>
            </w: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ISIN:</w:t>
            </w:r>
          </w:p>
        </w:tc>
        <w:tc>
          <w:tcPr>
            <w:tcW w:w="8460" w:type="dxa"/>
            <w:vAlign w:val="bottom"/>
          </w:tcPr>
          <w:p>
            <w:pPr>
              <w:ind w:left="480"/>
              <w:spacing w:after="0"/>
              <w:rPr>
                <w:sz w:val="20"/>
                <w:szCs w:val="20"/>
                <w:color w:val="auto"/>
              </w:rPr>
            </w:pPr>
            <w:r>
              <w:rPr>
                <w:rFonts w:ascii="Arial" w:cs="Arial" w:eastAsia="Arial" w:hAnsi="Arial"/>
                <w:sz w:val="18"/>
                <w:szCs w:val="18"/>
                <w:color w:val="auto"/>
              </w:rPr>
              <w:t>US72650RAX08</w:t>
            </w:r>
          </w:p>
        </w:tc>
      </w:tr>
      <w:tr>
        <w:trPr>
          <w:trHeight w:val="418"/>
        </w:trPr>
        <w:tc>
          <w:tcPr>
            <w:tcW w:w="2960" w:type="dxa"/>
            <w:vAlign w:val="bottom"/>
          </w:tcPr>
          <w:p>
            <w:pPr>
              <w:spacing w:after="0"/>
              <w:rPr>
                <w:sz w:val="20"/>
                <w:szCs w:val="20"/>
                <w:color w:val="auto"/>
              </w:rPr>
            </w:pPr>
            <w:r>
              <w:rPr>
                <w:rFonts w:ascii="Arial" w:cs="Arial" w:eastAsia="Arial" w:hAnsi="Arial"/>
                <w:sz w:val="18"/>
                <w:szCs w:val="18"/>
                <w:b w:val="1"/>
                <w:bCs w:val="1"/>
                <w:color w:val="auto"/>
              </w:rPr>
              <w:t>Ratings**:</w:t>
            </w:r>
          </w:p>
        </w:tc>
        <w:tc>
          <w:tcPr>
            <w:tcW w:w="8460" w:type="dxa"/>
            <w:vAlign w:val="bottom"/>
          </w:tcPr>
          <w:p>
            <w:pPr>
              <w:ind w:left="480"/>
              <w:spacing w:after="0"/>
              <w:rPr>
                <w:sz w:val="20"/>
                <w:szCs w:val="20"/>
                <w:color w:val="auto"/>
              </w:rPr>
            </w:pPr>
            <w:r>
              <w:rPr>
                <w:rFonts w:ascii="Arial" w:cs="Arial" w:eastAsia="Arial" w:hAnsi="Arial"/>
                <w:sz w:val="18"/>
                <w:szCs w:val="18"/>
                <w:color w:val="auto"/>
              </w:rPr>
              <w:t>Baa3 (stable) by Moody’s Investors Service, Inc.</w:t>
            </w:r>
          </w:p>
        </w:tc>
      </w:tr>
      <w:tr>
        <w:trPr>
          <w:trHeight w:val="230"/>
        </w:trPr>
        <w:tc>
          <w:tcPr>
            <w:tcW w:w="2960" w:type="dxa"/>
            <w:vAlign w:val="bottom"/>
          </w:tcPr>
          <w:p>
            <w:pPr>
              <w:spacing w:after="0"/>
              <w:rPr>
                <w:sz w:val="20"/>
                <w:szCs w:val="20"/>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BBB- (stable) by Standard &amp; Poor’s Ratings Services</w:t>
            </w:r>
          </w:p>
        </w:tc>
      </w:tr>
      <w:tr>
        <w:trPr>
          <w:trHeight w:val="418"/>
        </w:trPr>
        <w:tc>
          <w:tcPr>
            <w:tcW w:w="2960" w:type="dxa"/>
            <w:vAlign w:val="bottom"/>
          </w:tcPr>
          <w:p>
            <w:pPr>
              <w:spacing w:after="0"/>
              <w:rPr>
                <w:sz w:val="20"/>
                <w:szCs w:val="20"/>
                <w:color w:val="auto"/>
              </w:rPr>
            </w:pPr>
            <w:r>
              <w:rPr>
                <w:rFonts w:ascii="Arial" w:cs="Arial" w:eastAsia="Arial" w:hAnsi="Arial"/>
                <w:sz w:val="18"/>
                <w:szCs w:val="18"/>
                <w:b w:val="1"/>
                <w:bCs w:val="1"/>
                <w:color w:val="auto"/>
              </w:rPr>
              <w:t>Joint Book-Running Managers:</w:t>
            </w:r>
          </w:p>
        </w:tc>
        <w:tc>
          <w:tcPr>
            <w:tcW w:w="8460" w:type="dxa"/>
            <w:vAlign w:val="bottom"/>
          </w:tcPr>
          <w:p>
            <w:pPr>
              <w:ind w:left="480"/>
              <w:spacing w:after="0"/>
              <w:rPr>
                <w:sz w:val="20"/>
                <w:szCs w:val="20"/>
                <w:color w:val="auto"/>
              </w:rPr>
            </w:pPr>
            <w:r>
              <w:rPr>
                <w:rFonts w:ascii="Arial" w:cs="Arial" w:eastAsia="Arial" w:hAnsi="Arial"/>
                <w:sz w:val="18"/>
                <w:szCs w:val="18"/>
                <w:color w:val="auto"/>
              </w:rPr>
              <w:t>J.P. Morgan Securities Inc.</w:t>
            </w:r>
          </w:p>
        </w:tc>
      </w:tr>
      <w:tr>
        <w:trPr>
          <w:trHeight w:val="216"/>
        </w:trPr>
        <w:tc>
          <w:tcPr>
            <w:tcW w:w="296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Banc of America Securities LLC</w:t>
            </w:r>
          </w:p>
        </w:tc>
      </w:tr>
      <w:tr>
        <w:trPr>
          <w:trHeight w:val="230"/>
        </w:trPr>
        <w:tc>
          <w:tcPr>
            <w:tcW w:w="2960" w:type="dxa"/>
            <w:vAlign w:val="bottom"/>
          </w:tcPr>
          <w:p>
            <w:pPr>
              <w:spacing w:after="0"/>
              <w:rPr>
                <w:sz w:val="20"/>
                <w:szCs w:val="20"/>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BNP Paribas Securities Corp.</w:t>
            </w:r>
          </w:p>
        </w:tc>
      </w:tr>
      <w:tr>
        <w:trPr>
          <w:trHeight w:val="418"/>
        </w:trPr>
        <w:tc>
          <w:tcPr>
            <w:tcW w:w="2960" w:type="dxa"/>
            <w:vAlign w:val="bottom"/>
          </w:tcPr>
          <w:p>
            <w:pPr>
              <w:spacing w:after="0"/>
              <w:rPr>
                <w:sz w:val="20"/>
                <w:szCs w:val="20"/>
                <w:color w:val="auto"/>
              </w:rPr>
            </w:pPr>
            <w:r>
              <w:rPr>
                <w:rFonts w:ascii="Arial" w:cs="Arial" w:eastAsia="Arial" w:hAnsi="Arial"/>
                <w:sz w:val="18"/>
                <w:szCs w:val="18"/>
                <w:b w:val="1"/>
                <w:bCs w:val="1"/>
                <w:color w:val="auto"/>
              </w:rPr>
              <w:t>Co-Managers:</w:t>
            </w:r>
          </w:p>
        </w:tc>
        <w:tc>
          <w:tcPr>
            <w:tcW w:w="8460" w:type="dxa"/>
            <w:vAlign w:val="bottom"/>
          </w:tcPr>
          <w:p>
            <w:pPr>
              <w:ind w:left="480"/>
              <w:spacing w:after="0"/>
              <w:rPr>
                <w:sz w:val="20"/>
                <w:szCs w:val="20"/>
                <w:color w:val="auto"/>
              </w:rPr>
            </w:pPr>
            <w:r>
              <w:rPr>
                <w:rFonts w:ascii="Arial" w:cs="Arial" w:eastAsia="Arial" w:hAnsi="Arial"/>
                <w:sz w:val="18"/>
                <w:szCs w:val="18"/>
                <w:color w:val="auto"/>
              </w:rPr>
              <w:t>Mizuho Securities USA Inc.</w:t>
            </w:r>
          </w:p>
        </w:tc>
      </w:tr>
      <w:tr>
        <w:trPr>
          <w:trHeight w:val="216"/>
        </w:trPr>
        <w:tc>
          <w:tcPr>
            <w:tcW w:w="296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Scotia Capital (USA) Inc.</w:t>
            </w:r>
          </w:p>
        </w:tc>
      </w:tr>
      <w:tr>
        <w:trPr>
          <w:trHeight w:val="216"/>
        </w:trPr>
        <w:tc>
          <w:tcPr>
            <w:tcW w:w="296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ING Financial Markets LLC</w:t>
            </w:r>
          </w:p>
        </w:tc>
      </w:tr>
      <w:tr>
        <w:trPr>
          <w:trHeight w:val="216"/>
        </w:trPr>
        <w:tc>
          <w:tcPr>
            <w:tcW w:w="296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SG Americas Securities, LLC</w:t>
            </w:r>
          </w:p>
        </w:tc>
      </w:tr>
      <w:tr>
        <w:trPr>
          <w:trHeight w:val="216"/>
        </w:trPr>
        <w:tc>
          <w:tcPr>
            <w:tcW w:w="296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U.S. Bancorp Investments, Inc.</w:t>
            </w:r>
          </w:p>
        </w:tc>
      </w:tr>
      <w:tr>
        <w:trPr>
          <w:trHeight w:val="216"/>
        </w:trPr>
        <w:tc>
          <w:tcPr>
            <w:tcW w:w="296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BBVA Securities Inc.</w:t>
            </w:r>
          </w:p>
        </w:tc>
      </w:tr>
      <w:tr>
        <w:trPr>
          <w:trHeight w:val="216"/>
        </w:trPr>
        <w:tc>
          <w:tcPr>
            <w:tcW w:w="296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BMO Capital Markets Corp.</w:t>
            </w:r>
          </w:p>
        </w:tc>
      </w:tr>
      <w:tr>
        <w:trPr>
          <w:trHeight w:val="216"/>
        </w:trPr>
        <w:tc>
          <w:tcPr>
            <w:tcW w:w="296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Comerica Securities, Inc.</w:t>
            </w:r>
          </w:p>
        </w:tc>
      </w:tr>
      <w:tr>
        <w:trPr>
          <w:trHeight w:val="216"/>
        </w:trPr>
        <w:tc>
          <w:tcPr>
            <w:tcW w:w="296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Daiwa Capital Markets America Inc.</w:t>
            </w:r>
          </w:p>
        </w:tc>
      </w:tr>
      <w:tr>
        <w:trPr>
          <w:trHeight w:val="216"/>
        </w:trPr>
        <w:tc>
          <w:tcPr>
            <w:tcW w:w="296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Morgan Stanley &amp; Co. Incorporated</w:t>
            </w:r>
          </w:p>
        </w:tc>
      </w:tr>
      <w:tr>
        <w:trPr>
          <w:trHeight w:val="216"/>
        </w:trPr>
        <w:tc>
          <w:tcPr>
            <w:tcW w:w="296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Natixis Bleichroeder LLC</w:t>
            </w:r>
          </w:p>
        </w:tc>
      </w:tr>
      <w:tr>
        <w:trPr>
          <w:trHeight w:val="230"/>
        </w:trPr>
        <w:tc>
          <w:tcPr>
            <w:tcW w:w="2960" w:type="dxa"/>
            <w:vAlign w:val="bottom"/>
          </w:tcPr>
          <w:p>
            <w:pPr>
              <w:spacing w:after="0"/>
              <w:rPr>
                <w:sz w:val="20"/>
                <w:szCs w:val="20"/>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The Williams Capital Group, L.P.</w:t>
            </w:r>
          </w:p>
        </w:tc>
      </w:tr>
      <w:tr>
        <w:trPr>
          <w:trHeight w:val="618"/>
        </w:trPr>
        <w:tc>
          <w:tcPr>
            <w:tcW w:w="2960" w:type="dxa"/>
            <w:vAlign w:val="bottom"/>
            <w:tcBorders>
              <w:bottom w:val="single" w:sz="8" w:color="808080"/>
            </w:tcBorders>
          </w:tcPr>
          <w:p>
            <w:pPr>
              <w:spacing w:after="0"/>
              <w:rPr>
                <w:sz w:val="24"/>
                <w:szCs w:val="24"/>
                <w:color w:val="auto"/>
              </w:rPr>
            </w:pPr>
          </w:p>
        </w:tc>
        <w:tc>
          <w:tcPr>
            <w:tcW w:w="84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54" w:gutter="0" w:footer="0" w:header="0"/>
        </w:sectPr>
      </w:pPr>
    </w:p>
    <w:bookmarkStart w:id="1" w:name="page2"/>
    <w:bookmarkEnd w:id="1"/>
    <w:p>
      <w:pPr>
        <w:spacing w:after="0" w:line="255" w:lineRule="auto"/>
        <w:rPr>
          <w:sz w:val="20"/>
          <w:szCs w:val="20"/>
          <w:color w:val="auto"/>
        </w:rPr>
      </w:pPr>
      <w:r>
        <w:rPr>
          <w:rFonts w:ascii="Arial" w:cs="Arial" w:eastAsia="Arial" w:hAnsi="Arial"/>
          <w:sz w:val="18"/>
          <w:szCs w:val="18"/>
          <w:b w:val="1"/>
          <w:bCs w:val="1"/>
          <w:color w:val="auto"/>
        </w:rPr>
        <w:t>*We expect that delivery of the notes will be made against payment therefor on or about the expected settlement date specified above, which will be the fifth business day following the date of this term sheet. Under Rule 15c6-1 of the Securities and Exchange Commission under the Securities Exchange Act of 1934, trades in the secondary market generally are required to settle in three business days, unless the parties to any such trade expressly agree otherwise. Accordingly, purchasers who wish to trade the notes on the date of this term sheet or the following business day will be required, by virtue of the fact that the notes initially will settle in T+5, to specify an alternate settlement cycle at the time of any such trade to prevent a failed settlement. Purchasers of the notes who wish to trade the notes on the date hereof or the following business day should consult their own advisor.</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securities rating is not a recommendation to buy, sell or hold securities and may be subject to revision or withdrawal at any time.</w:t>
      </w:r>
    </w:p>
    <w:p>
      <w:pPr>
        <w:spacing w:after="0" w:line="1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The issuers have filed a registration statement (including a prospectus) with the SEC for the offering to which this communication relates. Before you invest, you should read the prospectus in that registration statement and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if you request it by calling collect J.P. Morgan Securities Inc. at 1-212-834-4533, Banc of America Securities LLC at 1-800-294-1322 or BNP Paribas Securities Corp. at 1-800-854-5674.</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2020-01-30T10:02:34Z</dcterms:created>
  <dcterms:modified xsi:type="dcterms:W3CDTF">2020-01-30T10:02:34Z</dcterms:modified>
</cp:coreProperties>
</file>