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25,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25, 2021, the Board of Directors of PAA GP Holdings LLC (“PAGP GP”), the general partner of Plains GP Holdings, L.P. (“PAGP”) and Plains All American Pipeline, L.P. (the “Registrant” and, collectively with PAGP, “Plains”), approved the promotion, effective March 1, 2021, of Jeremy L. Goebel from Executive Vice President, Commercial to Executive Vice President and Chief Commercial Officer. Harry N. Pefanis, who previously served as President and Chief Commercial Officer, will continue to serve as President. Biographical information regarding Mr. Goebel, including his business experience, as well as information regarding Mr. Goebel’s compensation is included in PAA’s proxy statement dated April 15, 2020. Mr. Goebel’s compensation did not change as a result of his promotion.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our continuing effort to further strengthen our governance structure and our focus on sustainability and “ESG” matters, the Board took the following actions on February 25, 2021:</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approved Amendment No. 4 to the Third Amended and Restated Limited Liability Company Agreement of PAGP GP (the “Amendment”) that adds the three Directors who are current or former members of management to the pool of Directors that are subject to public election. Prior to the Amendment, such Directors (who are Greg Armstrong (former CEO), Harry Pefanis (President) and Willie Chiang (current CEO and Chairman of the Board)) were not subject to public election. As a result of the Amendment, each of these Directors has been added to an existing Class and will stand for re-election at the end of the term for that Class: Mr. Armstrong has been added to Class III (term expiring at the 2021 Annual Meeting), Mr. Pefanis has been added to Class II (term expiring at the 2022 Annual Meeting) and Mr. Chiang has been added to Class I (term expiring at the 2023 Annual Meeting). In connection with these actions, should Mr. Armstrong be elected at the 2021 Annual Meeting and effective concurrently therewith, the Board also approved an extension of the term of Mr. Armstrong’s current employment agreement so that the term thereof ends upon the conclusion of the 2024 Annual Meeting. Capitalized terms used but not defined in this Form 8-K shall have the definitions as set forth in the Third Amended and Restated Limited Liability Company Agreement of the Company, as amended. A copy of the Amendment is filed as Exhibit 3.1 to this Current Report on Form 8-K and incorporated into this item by reference.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approved the formation of a Health, Safety, Environmental and Sustainability (“HSES”) Committee and appointed Larry Ziemba and Chris Temple, both of whom are Independent Directors, to serve as members of that committee. Mr. Ziemba will chair the new committee. The charter for the HSES Committee requires that all of its members shall be Independent Directors. Although not required pursuant to applicable stock exchange requirements for limited partnerships, the Board also mandated that all members of its Compensation Committee and Governance Committee shall be Independent Directors. Consistent with such independence requirements, the current members of these committees have been determined by the Board to be Independent Directors.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 2021, the Registrant issued a press release announcing Mr. Goebel’s promotion as described above in Item 5.02. A copy of the press release is furnished as Exhibit 99.1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jc w:val="both"/>
        <w:ind w:left="1300" w:hanging="1295"/>
        <w:spacing w:after="0" w:line="258" w:lineRule="auto"/>
        <w:tabs>
          <w:tab w:leader="none" w:pos="128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3.1 –</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Amendment No. 4 dated February 25, 2021 to the Third Amended and Restated Limited Liability Company Agreement of PAA GP</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Holdings LLC.</w:t>
        </w:r>
      </w:hyperlink>
    </w:p>
    <w:p>
      <w:pPr>
        <w:spacing w:after="0" w:line="1" w:lineRule="exact"/>
        <w:rPr>
          <w:rFonts w:ascii="Arial" w:cs="Arial" w:eastAsia="Arial" w:hAnsi="Arial"/>
          <w:sz w:val="18"/>
          <w:szCs w:val="18"/>
          <w:u w:val="single" w:color="auto"/>
          <w:color w:val="0000EE"/>
        </w:rPr>
      </w:pPr>
    </w:p>
    <w:p>
      <w:pPr>
        <w:spacing w:after="0"/>
        <w:tabs>
          <w:tab w:leader="none" w:pos="1280" w:val="left"/>
        </w:tabs>
        <w:rPr>
          <w:rFonts w:ascii="Arial" w:cs="Arial" w:eastAsia="Arial" w:hAnsi="Arial"/>
          <w:sz w:val="15"/>
          <w:szCs w:val="15"/>
          <w:u w:val="single" w:color="auto"/>
          <w:color w:val="0000EE"/>
        </w:rPr>
      </w:pPr>
      <w:hyperlink w:anchor="page13">
        <w:r>
          <w:rPr>
            <w:rFonts w:ascii="Arial" w:cs="Arial" w:eastAsia="Arial" w:hAnsi="Arial"/>
            <w:sz w:val="18"/>
            <w:szCs w:val="18"/>
            <w:u w:val="single" w:color="auto"/>
            <w:color w:val="0000EE"/>
          </w:rPr>
          <w:t>Exhibit 99.1 –</w:t>
        </w:r>
      </w:hyperlink>
      <w:r>
        <w:rPr>
          <w:rFonts w:ascii="Arial" w:cs="Arial" w:eastAsia="Arial" w:hAnsi="Arial"/>
          <w:sz w:val="18"/>
          <w:szCs w:val="18"/>
          <w:u w:val="single" w:color="auto"/>
          <w:color w:val="0000EE"/>
        </w:rPr>
        <w:tab/>
      </w:r>
      <w:hyperlink w:anchor="page13">
        <w:r>
          <w:rPr>
            <w:rFonts w:ascii="Arial" w:cs="Arial" w:eastAsia="Arial" w:hAnsi="Arial"/>
            <w:sz w:val="15"/>
            <w:szCs w:val="15"/>
            <w:u w:val="single" w:color="auto"/>
            <w:color w:val="0000EE"/>
          </w:rPr>
          <w:t>Press Release dated March 1, 2021.</w:t>
        </w:r>
      </w:hyperlink>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 –</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3, 2021</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4 TO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Amendment No. 4 (this “Amendment”) to the Third Amended and Restated Limited Liability Company Agreement of PAA GP Holdings LLC, a Delaware limited liability company (the “Company”), dated as of February 16, 2017 (the “LLC Agreement”), is hereby adopted on February 25, 2021. Capitalized terms used but not defined herein are used as defined in the LLC Agreement.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Article 1 of the LLC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definition of Eligible Directors is amended and restated to read in full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means any Director who is not (a) designated by a Designating Member, or (b) a Series A Designated Director.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Article 6 of the LLC Agreement is hereby amended and restated in its entirety as follows: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9" w:lineRule="auto"/>
        <w:tabs>
          <w:tab w:leader="none" w:pos="1099"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consist of up to thirteen (plus up to one additional Director which may be appointed by the Series A Preferred Unitholders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individuals designated as directors of the Company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One member of the Board shall be designated to serve as Chairman of the Board and will have the duties described in Section 6.1(i) below. In the event that the roles of Chief Executive Officer of the Company and Chairman of the Board are held by the same person, the Non-Management Directors will also designate an Independent Director to serve as Lead Director (the </w:t>
      </w:r>
      <w:r>
        <w:rPr>
          <w:rFonts w:ascii="Arial" w:cs="Arial" w:eastAsia="Arial" w:hAnsi="Arial"/>
          <w:sz w:val="17"/>
          <w:szCs w:val="17"/>
          <w:b w:val="1"/>
          <w:bCs w:val="1"/>
          <w:i w:val="1"/>
          <w:iCs w:val="1"/>
          <w:color w:val="auto"/>
        </w:rPr>
        <w:t>“Lead Director”</w:t>
      </w:r>
      <w:r>
        <w:rPr>
          <w:rFonts w:ascii="Arial" w:cs="Arial" w:eastAsia="Arial" w:hAnsi="Arial"/>
          <w:sz w:val="17"/>
          <w:szCs w:val="17"/>
          <w:color w:val="auto"/>
        </w:rPr>
        <w:t xml:space="preserve">), who will have the duties described in Section 6.1(j) below, as applicable.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660" w:firstLine="644"/>
        <w:spacing w:after="0" w:line="287" w:lineRule="auto"/>
        <w:tabs>
          <w:tab w:leader="none" w:pos="1788"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the Chief Executive Officer of the Company shall be a Director. Subject to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a majority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shall be fewer than two Independent Directors qualified to serve on the Conflicts Committee of Plains All American GP LLC, the Board may take such actions as may be necessary to cause the Board to have at least two Independent Directors qualified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Each Director shall hold office until his or her successor is elected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left="-460" w:firstLine="644"/>
        <w:spacing w:after="0" w:line="286" w:lineRule="auto"/>
        <w:tabs>
          <w:tab w:leader="none" w:pos="66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6.1(a)(iv)</w:t>
      </w:r>
      <w:r>
        <w:rPr>
          <w:rFonts w:ascii="Arial" w:cs="Arial" w:eastAsia="Arial" w:hAnsi="Arial"/>
          <w:sz w:val="16"/>
          <w:szCs w:val="16"/>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designated Director may also be removed by majority vote of the remaining Directors if such removal is for Cause. Subject to </w:t>
      </w:r>
      <w:r>
        <w:rPr>
          <w:rFonts w:ascii="Arial" w:cs="Arial" w:eastAsia="Arial" w:hAnsi="Arial"/>
          <w:sz w:val="16"/>
          <w:szCs w:val="16"/>
          <w:u w:val="single" w:color="auto"/>
          <w:color w:val="auto"/>
        </w:rPr>
        <w:t>Section 6.1(a)(iv)</w:t>
      </w:r>
      <w:r>
        <w:rPr>
          <w:rFonts w:ascii="Arial" w:cs="Arial" w:eastAsia="Arial" w:hAnsi="Arial"/>
          <w:sz w:val="16"/>
          <w:szCs w:val="16"/>
          <w:color w:val="auto"/>
        </w:rPr>
        <w:t>, in the event of the death, resignation or removal of a Director designated by a Designating Member, such Designating Member may designate a replacement Director. Except with respect to a Director designated by a Designating Member, in the event of the death, resignation or removal of a Director or any vacancy relating to a Director, including a vacancy that arises by virtue of the expiration of the term of a Director,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to the Board by such majority vote). In the event of the death, resignation or removal of a Director serving as Chairman of the Board or Lead Director (or the expiration of such Director’s term without reappointment), the Board shall designate a new Chairman and the Non-Management Directors shall designate a new Lead Director, who may or may not be the same individual designated to fill the Board vacancy resulting from such death, resignation or removal.</w:t>
      </w:r>
    </w:p>
    <w:p>
      <w:pPr>
        <w:spacing w:after="0" w:line="170" w:lineRule="exact"/>
        <w:rPr>
          <w:rFonts w:ascii="Arial" w:cs="Arial" w:eastAsia="Arial" w:hAnsi="Arial"/>
          <w:sz w:val="16"/>
          <w:szCs w:val="16"/>
          <w:color w:val="auto"/>
        </w:rPr>
      </w:pPr>
    </w:p>
    <w:p>
      <w:pPr>
        <w:jc w:val="both"/>
        <w:ind w:left="-460" w:firstLine="644"/>
        <w:spacing w:after="0" w:line="270" w:lineRule="auto"/>
        <w:tabs>
          <w:tab w:leader="none" w:pos="57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at all times there shall be no more than three Directors designated by the Designating Members. Accordingly, if a Member 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0" w:lineRule="exact"/>
        <w:rPr>
          <w:rFonts w:ascii="Arial" w:cs="Arial" w:eastAsia="Arial" w:hAnsi="Arial"/>
          <w:sz w:val="17"/>
          <w:szCs w:val="17"/>
          <w:color w:val="auto"/>
        </w:rPr>
      </w:pPr>
    </w:p>
    <w:p>
      <w:pPr>
        <w:jc w:val="both"/>
        <w:ind w:left="-460" w:firstLine="644"/>
        <w:spacing w:after="0" w:line="291"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57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38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 w:name="page6"/>
    <w:bookmarkEnd w:id="5"/>
    <w:p>
      <w:pPr>
        <w:jc w:val="both"/>
        <w:ind w:firstLine="656"/>
        <w:spacing w:after="0" w:line="254" w:lineRule="auto"/>
        <w:tabs>
          <w:tab w:leader="none" w:pos="1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1" w:lineRule="exact"/>
        <w:rPr>
          <w:rFonts w:ascii="Arial" w:cs="Arial" w:eastAsia="Arial" w:hAnsi="Arial"/>
          <w:sz w:val="18"/>
          <w:szCs w:val="18"/>
          <w:color w:val="auto"/>
        </w:rPr>
      </w:pPr>
    </w:p>
    <w:p>
      <w:pPr>
        <w:ind w:left="660" w:right="20" w:firstLine="644"/>
        <w:spacing w:after="0" w:line="277" w:lineRule="auto"/>
        <w:tabs>
          <w:tab w:leader="none" w:pos="184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721"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7" w:lineRule="exact"/>
        <w:rPr>
          <w:rFonts w:ascii="Arial" w:cs="Arial" w:eastAsia="Arial" w:hAnsi="Arial"/>
          <w:sz w:val="18"/>
          <w:szCs w:val="18"/>
          <w:color w:val="auto"/>
        </w:rPr>
      </w:pPr>
    </w:p>
    <w:p>
      <w:pPr>
        <w:jc w:val="both"/>
        <w:ind w:left="660" w:firstLine="644"/>
        <w:spacing w:after="0" w:line="293" w:lineRule="auto"/>
        <w:tabs>
          <w:tab w:leader="none" w:pos="1722" w:val="left"/>
        </w:tabs>
        <w:numPr>
          <w:ilvl w:val="1"/>
          <w:numId w:val="4"/>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60" w:firstLine="644"/>
        <w:spacing w:after="0" w:line="293" w:lineRule="auto"/>
        <w:tabs>
          <w:tab w:leader="none" w:pos="1756" w:val="left"/>
        </w:tabs>
        <w:numPr>
          <w:ilvl w:val="1"/>
          <w:numId w:val="4"/>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60" w:firstLine="644"/>
        <w:spacing w:after="0" w:line="275" w:lineRule="auto"/>
        <w:tabs>
          <w:tab w:leader="none" w:pos="1846" w:val="left"/>
        </w:tabs>
        <w:numPr>
          <w:ilvl w:val="1"/>
          <w:numId w:val="4"/>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660" w:firstLine="644"/>
        <w:spacing w:after="0" w:line="273" w:lineRule="auto"/>
        <w:tabs>
          <w:tab w:leader="none" w:pos="1743"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6.2(b)(v)</w:t>
      </w:r>
      <w:r>
        <w:rPr>
          <w:rFonts w:ascii="Arial" w:cs="Arial" w:eastAsia="Arial" w:hAnsi="Arial"/>
          <w:sz w:val="17"/>
          <w:szCs w:val="17"/>
          <w:color w:val="auto"/>
        </w:rPr>
        <w:t xml:space="preserve"> or otherwise provided upon an Initial Designating Member’s request.</w:t>
      </w:r>
    </w:p>
    <w:p>
      <w:pPr>
        <w:spacing w:after="0" w:line="177" w:lineRule="exact"/>
        <w:rPr>
          <w:rFonts w:ascii="Arial" w:cs="Arial" w:eastAsia="Arial" w:hAnsi="Arial"/>
          <w:sz w:val="17"/>
          <w:szCs w:val="17"/>
          <w:color w:val="auto"/>
        </w:rPr>
      </w:pPr>
    </w:p>
    <w:p>
      <w:pPr>
        <w:ind w:left="660" w:right="20" w:firstLine="644"/>
        <w:spacing w:after="0" w:line="308" w:lineRule="auto"/>
        <w:tabs>
          <w:tab w:leader="none" w:pos="1668" w:val="left"/>
        </w:tabs>
        <w:numPr>
          <w:ilvl w:val="1"/>
          <w:numId w:val="5"/>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086"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Any Series A Designated Director shall have all the rights and duties of a Director otherwise serving hereunder.</w:t>
      </w:r>
    </w:p>
    <w:p>
      <w:pPr>
        <w:spacing w:after="0" w:line="170" w:lineRule="exact"/>
        <w:rPr>
          <w:rFonts w:ascii="Arial" w:cs="Arial" w:eastAsia="Arial" w:hAnsi="Arial"/>
          <w:sz w:val="16"/>
          <w:szCs w:val="16"/>
          <w:color w:val="auto"/>
        </w:rPr>
      </w:pPr>
    </w:p>
    <w:p>
      <w:pPr>
        <w:jc w:val="both"/>
        <w:ind w:firstLine="656"/>
        <w:spacing w:after="0" w:line="286" w:lineRule="auto"/>
        <w:tabs>
          <w:tab w:leader="none" w:pos="1092"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56"/>
        <w:spacing w:after="0" w:line="273" w:lineRule="auto"/>
        <w:tabs>
          <w:tab w:leader="none" w:pos="1072"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w:t>
      </w:r>
      <w:r>
        <w:rPr>
          <w:rFonts w:ascii="Arial" w:cs="Arial" w:eastAsia="Arial" w:hAnsi="Arial"/>
          <w:sz w:val="17"/>
          <w:szCs w:val="17"/>
          <w:color w:val="auto"/>
        </w:rPr>
        <w:t xml:space="preserve"> Right Termination Event”),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6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73"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3" w:lineRule="exact"/>
        <w:rPr>
          <w:rFonts w:ascii="Arial" w:cs="Arial" w:eastAsia="Arial" w:hAnsi="Arial"/>
          <w:sz w:val="18"/>
          <w:szCs w:val="18"/>
          <w:color w:val="auto"/>
        </w:rPr>
      </w:pPr>
    </w:p>
    <w:p>
      <w:pPr>
        <w:ind w:right="20" w:firstLine="656"/>
        <w:spacing w:after="0" w:line="308" w:lineRule="auto"/>
        <w:tabs>
          <w:tab w:leader="none" w:pos="112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Chairman of the Board will provide leadership to the Board and coordinate the activities of the Board. Specific responsibilities of the Chairman of the Board will vary as follows depending on whether the roles of CEO and Chairman of the Board are held by the same person:</w:t>
      </w:r>
    </w:p>
    <w:p>
      <w:pPr>
        <w:spacing w:after="0" w:line="146" w:lineRule="exact"/>
        <w:rPr>
          <w:rFonts w:ascii="Arial" w:cs="Arial" w:eastAsia="Arial" w:hAnsi="Arial"/>
          <w:sz w:val="17"/>
          <w:szCs w:val="17"/>
          <w:color w:val="auto"/>
        </w:rPr>
      </w:pPr>
    </w:p>
    <w:p>
      <w:pPr>
        <w:ind w:left="660" w:firstLine="644"/>
        <w:spacing w:after="0" w:line="277" w:lineRule="auto"/>
        <w:tabs>
          <w:tab w:leader="none" w:pos="1761"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2300" w:hanging="340"/>
        <w:spacing w:after="0"/>
        <w:tabs>
          <w:tab w:leader="none" w:pos="2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and at annual and special meetings of equity holders;</w:t>
      </w:r>
    </w:p>
    <w:p>
      <w:pPr>
        <w:spacing w:after="0" w:line="225" w:lineRule="exact"/>
        <w:rPr>
          <w:rFonts w:ascii="Arial" w:cs="Arial" w:eastAsia="Arial" w:hAnsi="Arial"/>
          <w:sz w:val="18"/>
          <w:szCs w:val="18"/>
          <w:color w:val="auto"/>
        </w:rPr>
      </w:pPr>
    </w:p>
    <w:p>
      <w:pPr>
        <w:ind w:left="2320" w:hanging="368"/>
        <w:spacing w:after="0"/>
        <w:tabs>
          <w:tab w:leader="none" w:pos="2320" w:val="left"/>
        </w:tabs>
        <w:numPr>
          <w:ilvl w:val="2"/>
          <w:numId w:val="7"/>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2320" w:hanging="368"/>
        <w:spacing w:after="0"/>
        <w:tabs>
          <w:tab w:leader="none" w:pos="2320" w:val="left"/>
        </w:tabs>
        <w:numPr>
          <w:ilvl w:val="2"/>
          <w:numId w:val="7"/>
        </w:numPr>
        <w:rPr>
          <w:rFonts w:ascii="Arial" w:cs="Arial" w:eastAsia="Arial" w:hAnsi="Arial"/>
          <w:sz w:val="18"/>
          <w:szCs w:val="18"/>
          <w:color w:val="auto"/>
        </w:rPr>
      </w:pPr>
      <w:r>
        <w:rPr>
          <w:rFonts w:ascii="Arial" w:cs="Arial" w:eastAsia="Arial" w:hAnsi="Arial"/>
          <w:sz w:val="18"/>
          <w:szCs w:val="18"/>
          <w:color w:val="auto"/>
        </w:rPr>
        <w:t>in consultation with the Lead Director, developing and communicating Board meeting schedules and agendas;</w:t>
      </w:r>
    </w:p>
    <w:p>
      <w:pPr>
        <w:spacing w:after="0" w:line="225" w:lineRule="exact"/>
        <w:rPr>
          <w:rFonts w:ascii="Arial" w:cs="Arial" w:eastAsia="Arial" w:hAnsi="Arial"/>
          <w:sz w:val="18"/>
          <w:szCs w:val="18"/>
          <w:color w:val="auto"/>
        </w:rPr>
      </w:pPr>
    </w:p>
    <w:p>
      <w:pPr>
        <w:jc w:val="both"/>
        <w:ind w:left="1960" w:hanging="8"/>
        <w:spacing w:after="0" w:line="263" w:lineRule="auto"/>
        <w:tabs>
          <w:tab w:leader="none" w:pos="2399" w:val="left"/>
        </w:tabs>
        <w:numPr>
          <w:ilvl w:val="2"/>
          <w:numId w:val="7"/>
        </w:numPr>
        <w:rPr>
          <w:rFonts w:ascii="Arial" w:cs="Arial" w:eastAsia="Arial" w:hAnsi="Arial"/>
          <w:sz w:val="18"/>
          <w:szCs w:val="18"/>
          <w:color w:val="auto"/>
        </w:rPr>
      </w:pPr>
      <w:r>
        <w:rPr>
          <w:rFonts w:ascii="Arial" w:cs="Arial" w:eastAsia="Arial" w:hAnsi="Arial"/>
          <w:sz w:val="18"/>
          <w:szCs w:val="18"/>
          <w:color w:val="auto"/>
        </w:rPr>
        <w:t>working with the Lead Director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83" w:lineRule="exact"/>
        <w:rPr>
          <w:rFonts w:ascii="Arial" w:cs="Arial" w:eastAsia="Arial" w:hAnsi="Arial"/>
          <w:sz w:val="18"/>
          <w:szCs w:val="18"/>
          <w:color w:val="auto"/>
        </w:rPr>
      </w:pPr>
    </w:p>
    <w:p>
      <w:pPr>
        <w:jc w:val="both"/>
        <w:ind w:left="1960" w:hanging="8"/>
        <w:spacing w:after="0" w:line="263" w:lineRule="auto"/>
        <w:tabs>
          <w:tab w:leader="none" w:pos="2464" w:val="left"/>
        </w:tabs>
        <w:numPr>
          <w:ilvl w:val="2"/>
          <w:numId w:val="7"/>
        </w:numPr>
        <w:rPr>
          <w:rFonts w:ascii="Arial" w:cs="Arial" w:eastAsia="Arial" w:hAnsi="Arial"/>
          <w:sz w:val="18"/>
          <w:szCs w:val="18"/>
          <w:color w:val="auto"/>
        </w:rPr>
      </w:pPr>
      <w:r>
        <w:rPr>
          <w:rFonts w:ascii="Arial" w:cs="Arial" w:eastAsia="Arial" w:hAnsi="Arial"/>
          <w:sz w:val="18"/>
          <w:szCs w:val="18"/>
          <w:color w:val="auto"/>
        </w:rPr>
        <w:t>conferring with the Lead Director regarding the development, implementation and monitoring of near- and long-term strategic plans and major activities of the Company and confirming with the Lead Director that Board decisions and policies have been implemented; and</w:t>
      </w:r>
    </w:p>
    <w:p>
      <w:pPr>
        <w:spacing w:after="0" w:line="183" w:lineRule="exact"/>
        <w:rPr>
          <w:rFonts w:ascii="Arial" w:cs="Arial" w:eastAsia="Arial" w:hAnsi="Arial"/>
          <w:sz w:val="18"/>
          <w:szCs w:val="18"/>
          <w:color w:val="auto"/>
        </w:rPr>
      </w:pPr>
    </w:p>
    <w:p>
      <w:pPr>
        <w:ind w:left="1960" w:hanging="8"/>
        <w:spacing w:after="0" w:line="277" w:lineRule="auto"/>
        <w:tabs>
          <w:tab w:leader="none" w:pos="2400" w:val="left"/>
        </w:tabs>
        <w:numPr>
          <w:ilvl w:val="2"/>
          <w:numId w:val="7"/>
        </w:numPr>
        <w:rPr>
          <w:rFonts w:ascii="Arial" w:cs="Arial" w:eastAsia="Arial" w:hAnsi="Arial"/>
          <w:sz w:val="18"/>
          <w:szCs w:val="18"/>
          <w:color w:val="auto"/>
        </w:rPr>
      </w:pPr>
      <w:r>
        <w:rPr>
          <w:rFonts w:ascii="Arial" w:cs="Arial" w:eastAsia="Arial" w:hAnsi="Arial"/>
          <w:sz w:val="18"/>
          <w:szCs w:val="18"/>
          <w:color w:val="auto"/>
        </w:rPr>
        <w:t>working cooperatively and collaboratively with the Lead Director as necessary to support and facilitate the discharge by the Lead Director of his or her duties as outlined in Section 6.1(j) below; and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4" w:firstLine="644"/>
        <w:spacing w:after="0" w:line="277" w:lineRule="auto"/>
        <w:tabs>
          <w:tab w:leader="none" w:pos="1133"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not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1304" w:hanging="8"/>
        <w:spacing w:after="0" w:line="277" w:lineRule="auto"/>
        <w:tabs>
          <w:tab w:leader="none" w:pos="1743" w:val="left"/>
        </w:tabs>
        <w:numPr>
          <w:ilvl w:val="2"/>
          <w:numId w:val="8"/>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meetings of the Non-Management Directors, and at annual and special meetings of equity holders;</w:t>
      </w:r>
    </w:p>
    <w:p>
      <w:pPr>
        <w:spacing w:after="0" w:line="170" w:lineRule="exact"/>
        <w:rPr>
          <w:rFonts w:ascii="Arial" w:cs="Arial" w:eastAsia="Arial" w:hAnsi="Arial"/>
          <w:sz w:val="18"/>
          <w:szCs w:val="18"/>
          <w:color w:val="auto"/>
        </w:rPr>
      </w:pPr>
    </w:p>
    <w:p>
      <w:pPr>
        <w:ind w:left="1664" w:hanging="368"/>
        <w:spacing w:after="0"/>
        <w:tabs>
          <w:tab w:leader="none" w:pos="1664" w:val="left"/>
        </w:tabs>
        <w:numPr>
          <w:ilvl w:val="2"/>
          <w:numId w:val="8"/>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1664" w:hanging="368"/>
        <w:spacing w:after="0"/>
        <w:tabs>
          <w:tab w:leader="none" w:pos="1664"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consultation with the CEO, developing and communicating Board meeting schedules and agendas;</w:t>
      </w:r>
    </w:p>
    <w:p>
      <w:pPr>
        <w:spacing w:after="0" w:line="225" w:lineRule="exact"/>
        <w:rPr>
          <w:rFonts w:ascii="Arial" w:cs="Arial" w:eastAsia="Arial" w:hAnsi="Arial"/>
          <w:sz w:val="18"/>
          <w:szCs w:val="18"/>
          <w:color w:val="auto"/>
        </w:rPr>
      </w:pPr>
    </w:p>
    <w:p>
      <w:pPr>
        <w:ind w:left="1684" w:hanging="388"/>
        <w:spacing w:after="0"/>
        <w:tabs>
          <w:tab w:leader="none" w:pos="1684" w:val="left"/>
        </w:tabs>
        <w:numPr>
          <w:ilvl w:val="2"/>
          <w:numId w:val="8"/>
        </w:numPr>
        <w:rPr>
          <w:rFonts w:ascii="Arial" w:cs="Arial" w:eastAsia="Arial" w:hAnsi="Arial"/>
          <w:sz w:val="18"/>
          <w:szCs w:val="18"/>
          <w:color w:val="auto"/>
        </w:rPr>
      </w:pPr>
      <w:r>
        <w:rPr>
          <w:rFonts w:ascii="Arial" w:cs="Arial" w:eastAsia="Arial" w:hAnsi="Arial"/>
          <w:sz w:val="18"/>
          <w:szCs w:val="18"/>
          <w:color w:val="auto"/>
        </w:rPr>
        <w:t>acting as a liaison between management and the Board;</w:t>
      </w:r>
    </w:p>
    <w:p>
      <w:pPr>
        <w:spacing w:after="0" w:line="225" w:lineRule="exact"/>
        <w:rPr>
          <w:rFonts w:ascii="Arial" w:cs="Arial" w:eastAsia="Arial" w:hAnsi="Arial"/>
          <w:sz w:val="18"/>
          <w:szCs w:val="18"/>
          <w:color w:val="auto"/>
        </w:rPr>
      </w:pPr>
    </w:p>
    <w:p>
      <w:pPr>
        <w:ind w:left="1704" w:hanging="408"/>
        <w:spacing w:after="0"/>
        <w:tabs>
          <w:tab w:leader="none" w:pos="1704" w:val="left"/>
        </w:tabs>
        <w:numPr>
          <w:ilvl w:val="2"/>
          <w:numId w:val="8"/>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25" w:lineRule="exact"/>
        <w:rPr>
          <w:rFonts w:ascii="Arial" w:cs="Arial" w:eastAsia="Arial" w:hAnsi="Arial"/>
          <w:sz w:val="18"/>
          <w:szCs w:val="18"/>
          <w:color w:val="auto"/>
        </w:rPr>
      </w:pPr>
    </w:p>
    <w:p>
      <w:pPr>
        <w:jc w:val="both"/>
        <w:ind w:left="1304" w:hanging="8"/>
        <w:spacing w:after="0" w:line="263" w:lineRule="auto"/>
        <w:tabs>
          <w:tab w:leader="none" w:pos="1704" w:val="left"/>
        </w:tabs>
        <w:numPr>
          <w:ilvl w:val="2"/>
          <w:numId w:val="8"/>
        </w:numPr>
        <w:rPr>
          <w:rFonts w:ascii="Arial" w:cs="Arial" w:eastAsia="Arial" w:hAnsi="Arial"/>
          <w:sz w:val="18"/>
          <w:szCs w:val="18"/>
          <w:color w:val="auto"/>
        </w:rPr>
      </w:pPr>
      <w:r>
        <w:rPr>
          <w:rFonts w:ascii="Arial" w:cs="Arial" w:eastAsia="Arial" w:hAnsi="Arial"/>
          <w:sz w:val="18"/>
          <w:szCs w:val="18"/>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83" w:lineRule="exact"/>
        <w:rPr>
          <w:rFonts w:ascii="Arial" w:cs="Arial" w:eastAsia="Arial" w:hAnsi="Arial"/>
          <w:sz w:val="18"/>
          <w:szCs w:val="18"/>
          <w:color w:val="auto"/>
        </w:rPr>
      </w:pPr>
    </w:p>
    <w:p>
      <w:pPr>
        <w:ind w:left="1304" w:hanging="8"/>
        <w:spacing w:after="0" w:line="342" w:lineRule="auto"/>
        <w:tabs>
          <w:tab w:leader="none" w:pos="1689" w:val="left"/>
        </w:tabs>
        <w:numPr>
          <w:ilvl w:val="2"/>
          <w:numId w:val="8"/>
        </w:numPr>
        <w:rPr>
          <w:rFonts w:ascii="Arial" w:cs="Arial" w:eastAsia="Arial" w:hAnsi="Arial"/>
          <w:sz w:val="16"/>
          <w:szCs w:val="16"/>
          <w:color w:val="auto"/>
        </w:rPr>
      </w:pPr>
      <w:r>
        <w:rPr>
          <w:rFonts w:ascii="Arial" w:cs="Arial" w:eastAsia="Arial" w:hAnsi="Arial"/>
          <w:sz w:val="16"/>
          <w:szCs w:val="16"/>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23" w:lineRule="exact"/>
        <w:rPr>
          <w:rFonts w:ascii="Arial" w:cs="Arial" w:eastAsia="Arial" w:hAnsi="Arial"/>
          <w:sz w:val="16"/>
          <w:szCs w:val="16"/>
          <w:color w:val="auto"/>
        </w:rPr>
      </w:pPr>
    </w:p>
    <w:p>
      <w:pPr>
        <w:ind w:left="1684" w:hanging="388"/>
        <w:spacing w:after="0"/>
        <w:tabs>
          <w:tab w:leader="none" w:pos="1684" w:val="left"/>
        </w:tabs>
        <w:numPr>
          <w:ilvl w:val="2"/>
          <w:numId w:val="8"/>
        </w:numPr>
        <w:rPr>
          <w:rFonts w:ascii="Arial" w:cs="Arial" w:eastAsia="Arial" w:hAnsi="Arial"/>
          <w:sz w:val="17"/>
          <w:szCs w:val="17"/>
          <w:color w:val="auto"/>
        </w:rPr>
      </w:pPr>
      <w:r>
        <w:rPr>
          <w:rFonts w:ascii="Arial" w:cs="Arial" w:eastAsia="Arial" w:hAnsi="Arial"/>
          <w:sz w:val="17"/>
          <w:szCs w:val="17"/>
          <w:color w:val="auto"/>
        </w:rPr>
        <w:t>assuring that the Board provides resources to both the CEO and management to achieve the Company’s stated goals;</w:t>
      </w:r>
    </w:p>
    <w:p>
      <w:pPr>
        <w:spacing w:after="0" w:line="236" w:lineRule="exact"/>
        <w:rPr>
          <w:rFonts w:ascii="Arial" w:cs="Arial" w:eastAsia="Arial" w:hAnsi="Arial"/>
          <w:sz w:val="17"/>
          <w:szCs w:val="17"/>
          <w:color w:val="auto"/>
        </w:rPr>
      </w:pPr>
    </w:p>
    <w:p>
      <w:pPr>
        <w:jc w:val="both"/>
        <w:ind w:left="1304" w:hanging="8"/>
        <w:spacing w:after="0" w:line="263" w:lineRule="auto"/>
        <w:tabs>
          <w:tab w:leader="none" w:pos="1862" w:val="left"/>
        </w:tabs>
        <w:numPr>
          <w:ilvl w:val="2"/>
          <w:numId w:val="8"/>
        </w:numPr>
        <w:rPr>
          <w:rFonts w:ascii="Arial" w:cs="Arial" w:eastAsia="Arial" w:hAnsi="Arial"/>
          <w:sz w:val="18"/>
          <w:szCs w:val="18"/>
          <w:color w:val="auto"/>
        </w:rPr>
      </w:pPr>
      <w:r>
        <w:rPr>
          <w:rFonts w:ascii="Arial" w:cs="Arial" w:eastAsia="Arial" w:hAnsi="Arial"/>
          <w:sz w:val="18"/>
          <w:szCs w:val="18"/>
          <w:color w:val="auto"/>
        </w:rPr>
        <w:t>guiding the Board in discharging its responsibilities (including with respect to the retention of outside advisors where needed) and directing the Board toward Board matters and away from management matters that are clearly the responsibility of the CEO; and</w:t>
      </w:r>
    </w:p>
    <w:p>
      <w:pPr>
        <w:spacing w:after="0" w:line="183" w:lineRule="exact"/>
        <w:rPr>
          <w:rFonts w:ascii="Arial" w:cs="Arial" w:eastAsia="Arial" w:hAnsi="Arial"/>
          <w:sz w:val="18"/>
          <w:szCs w:val="18"/>
          <w:color w:val="auto"/>
        </w:rPr>
      </w:pPr>
    </w:p>
    <w:p>
      <w:pPr>
        <w:ind w:left="1704" w:hanging="408"/>
        <w:spacing w:after="0"/>
        <w:tabs>
          <w:tab w:leader="none" w:pos="1704" w:val="left"/>
        </w:tabs>
        <w:numPr>
          <w:ilvl w:val="2"/>
          <w:numId w:val="8"/>
        </w:numPr>
        <w:rPr>
          <w:rFonts w:ascii="Arial" w:cs="Arial" w:eastAsia="Arial" w:hAnsi="Arial"/>
          <w:sz w:val="18"/>
          <w:szCs w:val="18"/>
          <w:color w:val="auto"/>
        </w:rPr>
      </w:pPr>
      <w:r>
        <w:rPr>
          <w:rFonts w:ascii="Arial" w:cs="Arial" w:eastAsia="Arial" w:hAnsi="Arial"/>
          <w:sz w:val="18"/>
          <w:szCs w:val="18"/>
          <w:color w:val="auto"/>
        </w:rPr>
        <w:t>supporting and promoting business relationships as appropriately requested by management.</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for so long as a Lead Director is serving, his or her specific responsibilities will include the following:</w:t>
      </w:r>
    </w:p>
    <w:p>
      <w:pPr>
        <w:spacing w:after="0" w:line="225" w:lineRule="exact"/>
        <w:rPr>
          <w:rFonts w:ascii="Arial" w:cs="Arial" w:eastAsia="Arial" w:hAnsi="Arial"/>
          <w:sz w:val="18"/>
          <w:szCs w:val="18"/>
          <w:color w:val="auto"/>
        </w:rPr>
      </w:pPr>
    </w:p>
    <w:p>
      <w:pPr>
        <w:ind w:left="4" w:firstLine="644"/>
        <w:spacing w:after="0" w:line="277" w:lineRule="auto"/>
        <w:tabs>
          <w:tab w:leader="none" w:pos="1119"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when the Chairman of the Board is not present or able to do so, and calling and/or presiding at meetings of the Non-Management Directors (and briefing the Chairman of the Board on discussions);</w:t>
      </w:r>
    </w:p>
    <w:p>
      <w:pPr>
        <w:spacing w:after="0" w:line="170" w:lineRule="exact"/>
        <w:rPr>
          <w:sz w:val="20"/>
          <w:szCs w:val="20"/>
          <w:color w:val="auto"/>
        </w:rPr>
      </w:pPr>
    </w:p>
    <w:p>
      <w:pPr>
        <w:ind w:left="1044" w:hanging="396"/>
        <w:spacing w:after="0"/>
        <w:tabs>
          <w:tab w:leader="none" w:pos="10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and communicating the agenda for executive sessions of the Board and meetings of the Non-Management Directors;</w:t>
      </w:r>
    </w:p>
    <w:p>
      <w:pPr>
        <w:spacing w:after="0" w:line="248" w:lineRule="exact"/>
        <w:rPr>
          <w:rFonts w:ascii="Arial" w:cs="Arial" w:eastAsia="Arial" w:hAnsi="Arial"/>
          <w:sz w:val="16"/>
          <w:szCs w:val="16"/>
          <w:color w:val="auto"/>
        </w:rPr>
      </w:pPr>
    </w:p>
    <w:p>
      <w:pPr>
        <w:ind w:left="1004" w:hanging="356"/>
        <w:spacing w:after="0"/>
        <w:tabs>
          <w:tab w:leader="none" w:pos="10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collaborating with the Chairman of the Board on Board meeting schedules and agendas;</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with the Chairman of the Board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83" w:lineRule="exact"/>
        <w:rPr>
          <w:rFonts w:ascii="Arial" w:cs="Arial" w:eastAsia="Arial" w:hAnsi="Arial"/>
          <w:sz w:val="18"/>
          <w:szCs w:val="18"/>
          <w:color w:val="auto"/>
        </w:rPr>
      </w:pPr>
    </w:p>
    <w:p>
      <w:pPr>
        <w:ind w:left="1044" w:hanging="396"/>
        <w:spacing w:after="0"/>
        <w:tabs>
          <w:tab w:leader="none" w:pos="10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that the Non-Management Directors have proper input into meeting agendas and materials sent to the Board;</w:t>
      </w:r>
    </w:p>
    <w:p>
      <w:pPr>
        <w:spacing w:after="0" w:line="225" w:lineRule="exact"/>
        <w:rPr>
          <w:rFonts w:ascii="Arial" w:cs="Arial" w:eastAsia="Arial" w:hAnsi="Arial"/>
          <w:sz w:val="18"/>
          <w:szCs w:val="18"/>
          <w:color w:val="auto"/>
        </w:rPr>
      </w:pPr>
    </w:p>
    <w:p>
      <w:pPr>
        <w:ind w:left="1044" w:hanging="396"/>
        <w:spacing w:after="0"/>
        <w:tabs>
          <w:tab w:leader="none" w:pos="10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acting as a liaison between the Non-Management Directors and the Chairman of the Board;</w:t>
      </w:r>
    </w:p>
    <w:p>
      <w:pPr>
        <w:spacing w:after="0" w:line="225" w:lineRule="exact"/>
        <w:rPr>
          <w:rFonts w:ascii="Arial" w:cs="Arial" w:eastAsia="Arial" w:hAnsi="Arial"/>
          <w:sz w:val="18"/>
          <w:szCs w:val="18"/>
          <w:color w:val="auto"/>
        </w:rPr>
      </w:pPr>
    </w:p>
    <w:p>
      <w:pPr>
        <w:ind w:left="1004" w:hanging="356"/>
        <w:spacing w:after="0"/>
        <w:tabs>
          <w:tab w:leader="none" w:pos="10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00" w:lineRule="exact"/>
        <w:rPr>
          <w:sz w:val="20"/>
          <w:szCs w:val="20"/>
          <w:color w:val="auto"/>
        </w:rPr>
      </w:pPr>
    </w:p>
    <w:p>
      <w:pPr>
        <w:spacing w:after="0" w:line="24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jc w:val="both"/>
        <w:ind w:left="660" w:firstLine="644"/>
        <w:spacing w:after="0" w:line="263" w:lineRule="auto"/>
        <w:tabs>
          <w:tab w:leader="none" w:pos="18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conferring with the Chairman of the Board regarding the development, implementation and monitoring of near- and long-term strategic plans and major activities of the Company and confirming with the Chairman of the Board that Board decisions and policies have been implemented;</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together with the chairman of the Governance Committee (if separate), guiding the annual board self-assessment process;</w:t>
      </w:r>
    </w:p>
    <w:p>
      <w:pPr>
        <w:spacing w:after="0" w:line="236" w:lineRule="exact"/>
        <w:rPr>
          <w:rFonts w:ascii="Arial" w:cs="Arial" w:eastAsia="Arial" w:hAnsi="Arial"/>
          <w:sz w:val="17"/>
          <w:szCs w:val="17"/>
          <w:color w:val="auto"/>
        </w:rPr>
      </w:pPr>
    </w:p>
    <w:p>
      <w:pPr>
        <w:ind w:left="1700" w:hanging="396"/>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guiding the CEO succession planning process and the Board’s consideration of CEO compensation;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performing any other function as the Board may direct or request, to the extent consistent with the foregoing.</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01" w:lineRule="auto"/>
        <w:tabs>
          <w:tab w:leader="none" w:pos="10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Eligible Directors and each Director that has been designated by a Designating Member shall be divided into three classes denominated as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spacing w:after="0" w:line="157" w:lineRule="exact"/>
        <w:rPr>
          <w:rFonts w:ascii="Arial" w:cs="Arial" w:eastAsia="Arial" w:hAnsi="Arial"/>
          <w:sz w:val="16"/>
          <w:szCs w:val="16"/>
          <w:color w:val="auto"/>
        </w:rPr>
      </w:pPr>
    </w:p>
    <w:p>
      <w:pPr>
        <w:jc w:val="both"/>
        <w:ind w:firstLine="656"/>
        <w:spacing w:after="0" w:line="296" w:lineRule="auto"/>
        <w:tabs>
          <w:tab w:leader="none" w:pos="11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Each Director that has been designated by a Designating Member shall continue to be a Director until such Director’s removal or replacement in accordance with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Any Series A Designated Director shall continue to be a Director until his or her removal or replacement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Each Eligible Director shall serve for a term of three years following the most recent annual meeting at which such Eligible Director was elected, subject to earlier death, resignation or removal as provided herein. At each annual meeting of PAGP Limited Partners, successors to the class of Directors whose term expires at that annual meeting shall be elected or designated for a three-year term.</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0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(it being understood that the designated Director whose term is expiring shall be eligible for re-appointment by the applicable Designating Member). Each such designated Director shall hold office, subject to Section 6.1(a), for such term or until such Director’s earlier death, resignation or removal.</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Eligible Director may be removed with or without Cause upon a vote of a majority of the remaining Directors then in office.</w:t>
      </w:r>
    </w:p>
    <w:p>
      <w:pPr>
        <w:spacing w:after="0" w:line="225" w:lineRule="exact"/>
        <w:rPr>
          <w:rFonts w:ascii="Arial" w:cs="Arial" w:eastAsia="Arial" w:hAnsi="Arial"/>
          <w:sz w:val="18"/>
          <w:szCs w:val="18"/>
          <w:color w:val="auto"/>
        </w:rPr>
      </w:pPr>
    </w:p>
    <w:p>
      <w:pPr>
        <w:ind w:firstLine="65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Chairman of the Board, the Lead Director (as appropriate), the Chief Executive Officer or two or more of the Directors upon delivery of written Notice to the remainder of the Board at least five days prior to the date of such meeting. Special meetings of the Board may be called at the request of the Chairman of the Board, the Lead Director (as appropriate), the Chief Executive Officer or any two or more of the Directors upon delivery of written Notice sent to each other Director by the means most likely to reach such Director as may be determined by the Secretary in his or her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2" w:lineRule="auto"/>
        <w:tabs>
          <w:tab w:leader="none" w:pos="10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(or include as a part of the Board’s minutes) regular minutes of its meetings and report the same to the Board when required.</w:t>
      </w:r>
    </w:p>
    <w:p>
      <w:pPr>
        <w:spacing w:after="0" w:line="177" w:lineRule="exact"/>
        <w:rPr>
          <w:rFonts w:ascii="Arial" w:cs="Arial" w:eastAsia="Arial" w:hAnsi="Arial"/>
          <w:sz w:val="17"/>
          <w:szCs w:val="17"/>
          <w:color w:val="auto"/>
        </w:rPr>
      </w:pPr>
    </w:p>
    <w:p>
      <w:pPr>
        <w:jc w:val="both"/>
        <w:ind w:firstLine="656"/>
        <w:spacing w:after="0" w:line="275" w:lineRule="auto"/>
        <w:tabs>
          <w:tab w:leader="none" w:pos="10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76" w:lineRule="exact"/>
        <w:rPr>
          <w:rFonts w:ascii="Arial" w:cs="Arial" w:eastAsia="Arial" w:hAnsi="Arial"/>
          <w:sz w:val="17"/>
          <w:szCs w:val="17"/>
          <w:color w:val="auto"/>
        </w:rPr>
      </w:pPr>
    </w:p>
    <w:p>
      <w:pPr>
        <w:jc w:val="both"/>
        <w:ind w:firstLine="656"/>
        <w:spacing w:after="0" w:line="311" w:lineRule="auto"/>
        <w:tabs>
          <w:tab w:leader="none" w:pos="11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Directors as Agents</w:t>
      </w:r>
      <w:r>
        <w:rPr>
          <w:rFonts w:ascii="Arial" w:cs="Arial" w:eastAsia="Arial" w:hAnsi="Arial"/>
          <w:sz w:val="17"/>
          <w:szCs w:val="17"/>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Officers; Agents</w:t>
      </w:r>
      <w:r>
        <w:rPr>
          <w:rFonts w:ascii="Arial" w:cs="Arial" w:eastAsia="Arial" w:hAnsi="Arial"/>
          <w:sz w:val="16"/>
          <w:szCs w:val="16"/>
          <w:color w:val="auto"/>
        </w:rPr>
        <w:t>.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Except as hereby amended, the LLC Agreement shall remain in full force and effect.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this Amendment has been executed effective as of February 25,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6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46015"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Officer Promotion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March 1, 2021 – Houston – In connection with the company’s long-term succession plans, Plains All American Pipeline, L.P. (Nasdaq: </w:t>
      </w:r>
      <w:r>
        <w:rPr>
          <w:rFonts w:ascii="Arial" w:cs="Arial" w:eastAsia="Arial" w:hAnsi="Arial"/>
          <w:sz w:val="18"/>
          <w:szCs w:val="18"/>
          <w:u w:val="single" w:color="auto"/>
          <w:color w:val="auto"/>
        </w:rPr>
        <w:t>PAA</w:t>
      </w:r>
      <w:r>
        <w:rPr>
          <w:rFonts w:ascii="Arial" w:cs="Arial" w:eastAsia="Arial" w:hAnsi="Arial"/>
          <w:sz w:val="18"/>
          <w:szCs w:val="18"/>
          <w:color w:val="auto"/>
        </w:rPr>
        <w:t xml:space="preserve">) and Plains GP Holdings (Nasdaq: </w:t>
      </w:r>
      <w:r>
        <w:rPr>
          <w:rFonts w:ascii="Arial" w:cs="Arial" w:eastAsia="Arial" w:hAnsi="Arial"/>
          <w:sz w:val="18"/>
          <w:szCs w:val="18"/>
          <w:u w:val="single" w:color="auto"/>
          <w:color w:val="auto"/>
        </w:rPr>
        <w:t>PAGP</w:t>
      </w:r>
      <w:r>
        <w:rPr>
          <w:rFonts w:ascii="Arial" w:cs="Arial" w:eastAsia="Arial" w:hAnsi="Arial"/>
          <w:sz w:val="18"/>
          <w:szCs w:val="18"/>
          <w:color w:val="auto"/>
        </w:rPr>
        <w:t>) announced that effective today, its Board of Directors has approved the appointment of Jeremy Goebel to an expanded role of Executive Vice President and Chief Commercial Officer.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announce Jeremy’s expanded role as EVP &amp; Chief Commercial Officer,” stated Willie Chiang, Chairman and CEO of Plains. “Jeremy has played a critical leadership role in strategic planning, fundamental and commercial analysis, acquisitions and divestitures, and developing long-term strategic customer relationships. As a member of our Executive Committee for the past two years, Jeremy’s contributions have been significant, and we look forward to his continued leadership in the years to come.”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Goebel will continue to report to Harry Pefanis, who will retain the role of company President. As Chief Commercial Officer, Mr. Goebel will assume full responsibility for commercial activities in the U.S. and Canada.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Goebel has more than 20 years of energy and investment banking experience, and for the past eight years at Plains has served in roles of increasing responsibility, from Managing Director, Strategic Planning and Acquisitions, Sr. Group Vice President, Commercial, and to his most recent role as Executive Vice President, Commercial.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Arial" w:cs="Arial" w:eastAsia="Arial" w:hAnsi="Arial"/>
          <w:sz w:val="18"/>
          <w:szCs w:val="18"/>
          <w:u w:val="single" w:color="auto"/>
          <w:color w:val="auto"/>
        </w:rPr>
        <w:t>www.plainsallamerican.com.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Arial" w:cs="Arial" w:eastAsia="Arial" w:hAnsi="Arial"/>
          <w:sz w:val="18"/>
          <w:szCs w:val="18"/>
          <w:u w:val="single" w:color="auto"/>
          <w:color w:val="auto"/>
        </w:rPr>
        <w:t>www.plainsallamerican.com.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lvl w:ilvl="1">
      <w:lvlJc w:val="left"/>
      <w:lvlText w:val="(%2)"/>
      <w:numFmt w:val="lowerLetter"/>
      <w:start w:val="9"/>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lowerLetter"/>
      <w:start w:val="2"/>
    </w:lvl>
    <w:lvl w:ilvl="1">
      <w:lvlJc w:val="left"/>
      <w:lvlText w:val="(%2)"/>
      <w:numFmt w:val="lowerRoman"/>
      <w:start w:val="1"/>
    </w:lvl>
  </w:abstractNum>
  <w:abstractNum w:abstractNumId="4">
    <w:nsid w:val="5BD062C2"/>
    <w:multiLevelType w:val="hybridMultilevel"/>
    <w:lvl w:ilvl="0">
      <w:lvlJc w:val="left"/>
      <w:lvlText w:val="%1"/>
      <w:numFmt w:val="lowerLetter"/>
      <w:start w:val="1"/>
    </w:lvl>
    <w:lvl w:ilvl="1">
      <w:lvlJc w:val="left"/>
      <w:lvlText w:val="(%2)"/>
      <w:numFmt w:val="lowerRoman"/>
      <w:start w:val="6"/>
    </w:lvl>
  </w:abstractNum>
  <w:abstractNum w:abstractNumId="5">
    <w:nsid w:val="12200854"/>
    <w:multiLevelType w:val="hybridMultilevel"/>
    <w:lvl w:ilvl="0">
      <w:lvlJc w:val="left"/>
      <w:lvlText w:val="(%1)"/>
      <w:numFmt w:val="lowerLetter"/>
      <w:start w:val="3"/>
    </w:lvl>
    <w:lvl w:ilvl="1">
      <w:lvlJc w:val="left"/>
      <w:lvlText w:val="%2"/>
      <w:numFmt w:val="lowerRoman"/>
      <w:start w:val="1"/>
    </w:lvl>
  </w:abstractNum>
  <w:abstractNum w:abstractNumId="6">
    <w:nsid w:val="4DB127F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
    <w:nsid w:val="216231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
    <w:nsid w:val="1F16E9E8"/>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2021-03-03T15:24:07Z</dcterms:created>
  <dcterms:modified xsi:type="dcterms:W3CDTF">2021-03-03T15:24:07Z</dcterms:modified>
</cp:coreProperties>
</file>