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-238125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5290185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-1609090</wp:posOffset>
            </wp:positionH>
            <wp:positionV relativeFrom="paragraph">
              <wp:posOffset>24765</wp:posOffset>
            </wp:positionV>
            <wp:extent cx="6991985" cy="4733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473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20"/>
            <w:col w:w="856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Pruner Alexandra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60"/>
              <w:spacing w:after="0" w:line="105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333 CLAY STREET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2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TX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2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08/18/2022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6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 of Phantom Class A shares under Long-Term Incentive Plan (includes associated dividend equivalent rights payable in cash).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One Class A share is deliverable for each Phantom Class A share that vests.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Upon termination of service as director, other than because of death disability or retirement.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Alexandra Pruner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-3110865</wp:posOffset>
            </wp:positionV>
            <wp:extent cx="29210" cy="2059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59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40" w:right="3480" w:firstLine="4"/>
        <w:spacing w:after="0" w:line="314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9034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2022-08-18T16:29:45Z</dcterms:created>
  <dcterms:modified xsi:type="dcterms:W3CDTF">2022-08-18T16:29:45Z</dcterms:modified>
</cp:coreProperties>
</file>