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320"/>
        <w:spacing w:after="0"/>
        <w:rPr>
          <w:sz w:val="20"/>
          <w:szCs w:val="20"/>
          <w:color w:val="auto"/>
        </w:rPr>
      </w:pPr>
      <w:r>
        <w:rPr>
          <w:rFonts w:ascii="Courier New" w:cs="Courier New" w:eastAsia="Courier New" w:hAnsi="Courier New"/>
          <w:sz w:val="18"/>
          <w:szCs w:val="18"/>
          <w:color w:val="auto"/>
        </w:rPr>
        <w:t>OMB APPROVAL</w:t>
      </w:r>
    </w:p>
    <w:p>
      <w:pPr>
        <w:ind w:left="5600"/>
        <w:spacing w:after="0" w:line="238" w:lineRule="auto"/>
        <w:rPr>
          <w:sz w:val="20"/>
          <w:szCs w:val="20"/>
          <w:color w:val="auto"/>
        </w:rPr>
      </w:pPr>
      <w:r>
        <w:rPr>
          <w:rFonts w:ascii="Courier New" w:cs="Courier New" w:eastAsia="Courier New" w:hAnsi="Courier New"/>
          <w:sz w:val="18"/>
          <w:szCs w:val="18"/>
          <w:color w:val="auto"/>
        </w:rPr>
        <w:t>--------------------------</w:t>
      </w:r>
    </w:p>
    <w:p>
      <w:pPr>
        <w:ind w:left="5600"/>
        <w:spacing w:after="0"/>
        <w:tabs>
          <w:tab w:leader="none" w:pos="7360" w:val="left"/>
        </w:tabs>
        <w:rPr>
          <w:sz w:val="20"/>
          <w:szCs w:val="20"/>
          <w:color w:val="auto"/>
        </w:rPr>
      </w:pPr>
      <w:r>
        <w:rPr>
          <w:rFonts w:ascii="Courier New" w:cs="Courier New" w:eastAsia="Courier New" w:hAnsi="Courier New"/>
          <w:sz w:val="18"/>
          <w:szCs w:val="18"/>
          <w:color w:val="auto"/>
        </w:rPr>
        <w:t>OMB Number:</w:t>
      </w:r>
      <w:r>
        <w:rPr>
          <w:sz w:val="20"/>
          <w:szCs w:val="20"/>
          <w:color w:val="auto"/>
        </w:rPr>
        <w:tab/>
      </w:r>
      <w:r>
        <w:rPr>
          <w:rFonts w:ascii="Courier New" w:cs="Courier New" w:eastAsia="Courier New" w:hAnsi="Courier New"/>
          <w:sz w:val="16"/>
          <w:szCs w:val="16"/>
          <w:color w:val="auto"/>
        </w:rPr>
        <w:t>3235-0145</w:t>
      </w:r>
    </w:p>
    <w:p>
      <w:pPr>
        <w:ind w:left="5600"/>
        <w:spacing w:after="0"/>
        <w:tabs>
          <w:tab w:leader="none" w:pos="6620" w:val="left"/>
        </w:tabs>
        <w:rPr>
          <w:sz w:val="20"/>
          <w:szCs w:val="20"/>
          <w:color w:val="auto"/>
        </w:rPr>
      </w:pPr>
      <w:r>
        <w:rPr>
          <w:rFonts w:ascii="Courier New" w:cs="Courier New" w:eastAsia="Courier New" w:hAnsi="Courier New"/>
          <w:sz w:val="18"/>
          <w:szCs w:val="18"/>
          <w:color w:val="auto"/>
        </w:rPr>
        <w:t>Expires:</w:t>
      </w:r>
      <w:r>
        <w:rPr>
          <w:sz w:val="20"/>
          <w:szCs w:val="20"/>
          <w:color w:val="auto"/>
        </w:rPr>
        <w:tab/>
      </w:r>
      <w:r>
        <w:rPr>
          <w:rFonts w:ascii="Courier New" w:cs="Courier New" w:eastAsia="Courier New" w:hAnsi="Courier New"/>
          <w:sz w:val="16"/>
          <w:szCs w:val="16"/>
          <w:color w:val="auto"/>
        </w:rPr>
        <w:t>December 31, 2005</w:t>
      </w:r>
    </w:p>
    <w:p>
      <w:pPr>
        <w:ind w:left="5600"/>
        <w:spacing w:after="0" w:line="238" w:lineRule="auto"/>
        <w:rPr>
          <w:sz w:val="20"/>
          <w:szCs w:val="20"/>
          <w:color w:val="auto"/>
        </w:rPr>
      </w:pPr>
      <w:r>
        <w:rPr>
          <w:rFonts w:ascii="Courier New" w:cs="Courier New" w:eastAsia="Courier New" w:hAnsi="Courier New"/>
          <w:sz w:val="18"/>
          <w:szCs w:val="18"/>
          <w:color w:val="auto"/>
        </w:rPr>
        <w:t>Estimated average burden</w:t>
      </w:r>
    </w:p>
    <w:p>
      <w:pPr>
        <w:ind w:left="5600"/>
        <w:spacing w:after="0"/>
        <w:tabs>
          <w:tab w:leader="dot" w:pos="7880" w:val="left"/>
        </w:tabs>
        <w:rPr>
          <w:sz w:val="20"/>
          <w:szCs w:val="20"/>
          <w:color w:val="auto"/>
        </w:rPr>
      </w:pPr>
      <w:r>
        <w:rPr>
          <w:rFonts w:ascii="Courier New" w:cs="Courier New" w:eastAsia="Courier New" w:hAnsi="Courier New"/>
          <w:sz w:val="18"/>
          <w:szCs w:val="18"/>
          <w:color w:val="auto"/>
        </w:rPr>
        <w:t>hours per response</w:t>
      </w:r>
      <w:r>
        <w:rPr>
          <w:sz w:val="20"/>
          <w:szCs w:val="20"/>
          <w:color w:val="auto"/>
        </w:rPr>
        <w:tab/>
      </w:r>
      <w:r>
        <w:rPr>
          <w:rFonts w:ascii="Courier New" w:cs="Courier New" w:eastAsia="Courier New" w:hAnsi="Courier New"/>
          <w:sz w:val="18"/>
          <w:szCs w:val="18"/>
          <w:color w:val="auto"/>
        </w:rPr>
        <w:t>15</w:t>
      </w:r>
    </w:p>
    <w:p>
      <w:pPr>
        <w:spacing w:after="0" w:line="200" w:lineRule="exact"/>
        <w:rPr>
          <w:sz w:val="24"/>
          <w:szCs w:val="24"/>
          <w:color w:val="auto"/>
        </w:rPr>
      </w:pPr>
    </w:p>
    <w:p>
      <w:pPr>
        <w:spacing w:after="0" w:line="203"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UNITED STATES</w:t>
      </w:r>
    </w:p>
    <w:p>
      <w:pPr>
        <w:ind w:left="24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UNDER THE SECURITIES EXCHANGE ACT OF 1934</w:t>
      </w:r>
    </w:p>
    <w:p>
      <w:pPr>
        <w:ind w:left="3380"/>
        <w:spacing w:after="0" w:line="238" w:lineRule="auto"/>
        <w:rPr>
          <w:sz w:val="20"/>
          <w:szCs w:val="20"/>
          <w:color w:val="auto"/>
        </w:rPr>
      </w:pPr>
      <w:r>
        <w:rPr>
          <w:rFonts w:ascii="Courier New" w:cs="Courier New" w:eastAsia="Courier New" w:hAnsi="Courier New"/>
          <w:sz w:val="18"/>
          <w:szCs w:val="18"/>
          <w:color w:val="auto"/>
        </w:rPr>
        <w:t>(AMENDMENT NO. )*</w:t>
      </w:r>
    </w:p>
    <w:p>
      <w:pPr>
        <w:spacing w:after="0" w:line="200" w:lineRule="exact"/>
        <w:rPr>
          <w:sz w:val="24"/>
          <w:szCs w:val="24"/>
          <w:color w:val="auto"/>
        </w:rPr>
      </w:pPr>
    </w:p>
    <w:p>
      <w:pPr>
        <w:spacing w:after="0" w:line="204"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PLAINS ALL AMERICAN PIPELINE, LP</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726503105</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DAVID J. SHLADOVSKY, C/O KAYNE ANDERSON CAPITAL ADVISORS, L.P.</w:t>
      </w:r>
    </w:p>
    <w:p>
      <w:pPr>
        <w:ind w:left="960"/>
        <w:spacing w:after="0" w:line="238" w:lineRule="auto"/>
        <w:rPr>
          <w:sz w:val="20"/>
          <w:szCs w:val="20"/>
          <w:color w:val="auto"/>
        </w:rPr>
      </w:pPr>
      <w:r>
        <w:rPr>
          <w:rFonts w:ascii="Courier New" w:cs="Courier New" w:eastAsia="Courier New" w:hAnsi="Courier New"/>
          <w:sz w:val="18"/>
          <w:szCs w:val="18"/>
          <w:color w:val="auto"/>
        </w:rPr>
        <w:t>1800 AVENUE OF THE STARS, SECOND FLOOR, LOS ANGELES, CA 90067</w:t>
      </w:r>
    </w:p>
    <w:p>
      <w:pPr>
        <w:ind w:left="4120" w:hanging="636"/>
        <w:spacing w:after="0"/>
        <w:tabs>
          <w:tab w:leader="none" w:pos="412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556-2721</w:t>
      </w:r>
    </w:p>
    <w:p>
      <w:pPr>
        <w:spacing w:after="0" w:line="3"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Address and Telephone Number of Person Authorized to</w:t>
      </w:r>
    </w:p>
    <w:p>
      <w:pPr>
        <w:ind w:left="2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Receive Notices and Communications)</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11-09-04</w:t>
      </w:r>
    </w:p>
    <w:p>
      <w:pPr>
        <w:spacing w:after="0" w:line="4"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that is the subject of this Schedule 13D, and is filing this schedule because of Sections 240.13d-1(e), 240.13d-1(f) or 240.13d-1(g), check the following box. [ ]</w:t>
      </w:r>
    </w:p>
    <w:p>
      <w:pPr>
        <w:spacing w:after="0" w:line="207" w:lineRule="exact"/>
        <w:rPr>
          <w:sz w:val="24"/>
          <w:szCs w:val="24"/>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NOTE: Schedules filed in paper format shall include a signed original and five copies of the schedule, including all exhibits. See Section 240.13d-7 for other parties to whom copies are to be sent.</w:t>
      </w:r>
    </w:p>
    <w:p>
      <w:pPr>
        <w:spacing w:after="0" w:line="209"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PERSONS WHO RESPOND TO THE COLLECTION OF INFORMATION CONTAINED IN THIS FORM ARE NOT REQUIRED TO RESPOND UNLESS THE FORM DISPLAYS A CURRENTLY VALID OMB CONTROL NUMBER.</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1746 (11-03)</w:t>
      </w:r>
    </w:p>
    <w:p>
      <w:pPr>
        <w:sectPr>
          <w:pgSz w:w="11900" w:h="16838" w:orient="portrait"/>
          <w:cols w:equalWidth="0" w:num="1">
            <w:col w:w="10219"/>
          </w:cols>
          <w:pgMar w:left="240" w:top="447" w:right="1440" w:bottom="1037"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CUSIP NO. 726503105</w:t>
      </w:r>
    </w:p>
    <w:p>
      <w:pPr>
        <w:sectPr>
          <w:pgSz w:w="11900" w:h="16838" w:orient="portrait"/>
          <w:cols w:equalWidth="0" w:num="1">
            <w:col w:w="10219"/>
          </w:cols>
          <w:pgMar w:left="240" w:top="925" w:right="1440" w:bottom="1440" w:gutter="0" w:footer="0" w:header="0"/>
        </w:sectPr>
      </w:pPr>
    </w:p>
    <w:p>
      <w:pPr>
        <w:spacing w:after="0" w:line="224"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SCHEDULE 13D</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PAGE 2 OF 7 PAGES</w:t>
      </w:r>
    </w:p>
    <w:p>
      <w:pPr>
        <w:spacing w:after="0" w:line="200" w:lineRule="exact"/>
        <w:rPr>
          <w:sz w:val="20"/>
          <w:szCs w:val="20"/>
          <w:color w:val="auto"/>
        </w:rPr>
      </w:pPr>
    </w:p>
    <w:p>
      <w:pPr>
        <w:sectPr>
          <w:pgSz w:w="11900" w:h="16838" w:orient="portrait"/>
          <w:cols w:equalWidth="0" w:num="2">
            <w:col w:w="5920" w:space="720"/>
            <w:col w:w="3579"/>
          </w:cols>
          <w:pgMar w:left="240" w:top="925"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420"/>
        <w:spacing w:after="0"/>
        <w:tabs>
          <w:tab w:leader="none" w:pos="4720" w:val="left"/>
        </w:tabs>
        <w:rPr>
          <w:sz w:val="20"/>
          <w:szCs w:val="20"/>
          <w:color w:val="auto"/>
        </w:rPr>
      </w:pPr>
      <w:r>
        <w:rPr>
          <w:rFonts w:ascii="Courier New" w:cs="Courier New" w:eastAsia="Courier New" w:hAnsi="Courier New"/>
          <w:sz w:val="18"/>
          <w:szCs w:val="18"/>
          <w:color w:val="auto"/>
        </w:rPr>
        <w:t>RICHARD A. KAYNE</w:t>
      </w:r>
      <w:r>
        <w:rPr>
          <w:sz w:val="20"/>
          <w:szCs w:val="20"/>
          <w:color w:val="auto"/>
        </w:rPr>
        <w:tab/>
      </w:r>
      <w:r>
        <w:rPr>
          <w:rFonts w:ascii="Courier New" w:cs="Courier New" w:eastAsia="Courier New" w:hAnsi="Courier New"/>
          <w:sz w:val="16"/>
          <w:szCs w:val="16"/>
          <w:color w:val="auto"/>
        </w:rPr>
        <w:t>-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860" w:hanging="431"/>
        <w:spacing w:after="0" w:line="238" w:lineRule="auto"/>
        <w:tabs>
          <w:tab w:leader="none" w:pos="86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420" w:hanging="412"/>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AF PF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420" w:right="2939" w:hanging="412"/>
        <w:spacing w:after="0" w:line="235" w:lineRule="auto"/>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2(e)</w:t>
      </w:r>
    </w:p>
    <w:p>
      <w:pPr>
        <w:spacing w:after="0" w:line="203" w:lineRule="exact"/>
        <w:rPr>
          <w:sz w:val="20"/>
          <w:szCs w:val="20"/>
          <w:color w:val="auto"/>
        </w:rPr>
      </w:pPr>
    </w:p>
    <w:p>
      <w:pPr>
        <w:ind w:left="640" w:hanging="211"/>
        <w:spacing w:after="0"/>
        <w:tabs>
          <w:tab w:leader="none" w:pos="64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412"/>
        <w:spacing w:after="0"/>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U.S. CITIZEN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700"/>
        <w:spacing w:after="0"/>
        <w:tabs>
          <w:tab w:leader="none" w:pos="210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6"/>
          <w:szCs w:val="16"/>
          <w:color w:val="auto"/>
        </w:rPr>
        <w:t>SOLE VOTING POWER</w:t>
      </w:r>
    </w:p>
    <w:p>
      <w:pPr>
        <w:ind w:left="220"/>
        <w:spacing w:after="0" w:line="238" w:lineRule="auto"/>
        <w:rPr>
          <w:sz w:val="20"/>
          <w:szCs w:val="20"/>
          <w:color w:val="auto"/>
        </w:rPr>
      </w:pPr>
      <w:r>
        <w:rPr>
          <w:rFonts w:ascii="Courier New" w:cs="Courier New" w:eastAsia="Courier New" w:hAnsi="Courier New"/>
          <w:sz w:val="18"/>
          <w:szCs w:val="18"/>
          <w:color w:val="auto"/>
        </w:rPr>
        <w:t>NUMBER OF</w:t>
      </w:r>
    </w:p>
    <w:p>
      <w:pPr>
        <w:ind w:left="2120"/>
        <w:spacing w:after="0"/>
        <w:rPr>
          <w:sz w:val="20"/>
          <w:szCs w:val="20"/>
          <w:color w:val="auto"/>
        </w:rPr>
      </w:pPr>
      <w:r>
        <w:rPr>
          <w:rFonts w:ascii="Courier New" w:cs="Courier New" w:eastAsia="Courier New" w:hAnsi="Courier New"/>
          <w:sz w:val="18"/>
          <w:szCs w:val="18"/>
          <w:color w:val="auto"/>
        </w:rPr>
        <w:t>11,530</w:t>
      </w:r>
    </w:p>
    <w:p>
      <w:pPr>
        <w:ind w:left="320"/>
        <w:spacing w:after="0" w:line="237" w:lineRule="auto"/>
        <w:tabs>
          <w:tab w:leader="none" w:pos="156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w:t>
      </w:r>
    </w:p>
    <w:p>
      <w:pPr>
        <w:ind w:left="1700"/>
        <w:spacing w:after="0"/>
        <w:tabs>
          <w:tab w:leader="none" w:pos="2100" w:val="left"/>
        </w:tabs>
        <w:rPr>
          <w:sz w:val="20"/>
          <w:szCs w:val="20"/>
          <w:color w:val="auto"/>
        </w:rPr>
      </w:pPr>
      <w:r>
        <w:rPr>
          <w:rFonts w:ascii="Courier New" w:cs="Courier New" w:eastAsia="Courier New" w:hAnsi="Courier New"/>
          <w:sz w:val="18"/>
          <w:szCs w:val="18"/>
          <w:color w:val="auto"/>
        </w:rPr>
        <w:t>8.</w:t>
      </w:r>
      <w:r>
        <w:rPr>
          <w:sz w:val="20"/>
          <w:szCs w:val="20"/>
          <w:color w:val="auto"/>
        </w:rPr>
        <w:tab/>
      </w:r>
      <w:r>
        <w:rPr>
          <w:rFonts w:ascii="Courier New" w:cs="Courier New" w:eastAsia="Courier New" w:hAnsi="Courier New"/>
          <w:sz w:val="16"/>
          <w:szCs w:val="16"/>
          <w:color w:val="auto"/>
        </w:rPr>
        <w:t>SHARED VOTING POWER</w:t>
      </w:r>
    </w:p>
    <w:p>
      <w:pPr>
        <w:spacing w:after="0"/>
        <w:rPr>
          <w:sz w:val="20"/>
          <w:szCs w:val="20"/>
          <w:color w:val="auto"/>
        </w:rPr>
      </w:pPr>
      <w:r>
        <w:rPr>
          <w:rFonts w:ascii="Courier New" w:cs="Courier New" w:eastAsia="Courier New" w:hAnsi="Courier New"/>
          <w:sz w:val="18"/>
          <w:szCs w:val="18"/>
          <w:color w:val="auto"/>
        </w:rPr>
        <w:t>BENEFICIALLY</w:t>
      </w:r>
    </w:p>
    <w:p>
      <w:pPr>
        <w:ind w:left="2120"/>
        <w:spacing w:after="0" w:line="237" w:lineRule="auto"/>
        <w:rPr>
          <w:sz w:val="20"/>
          <w:szCs w:val="20"/>
          <w:color w:val="auto"/>
        </w:rPr>
      </w:pPr>
      <w:r>
        <w:rPr>
          <w:rFonts w:ascii="Courier New" w:cs="Courier New" w:eastAsia="Courier New" w:hAnsi="Courier New"/>
          <w:sz w:val="18"/>
          <w:szCs w:val="18"/>
          <w:color w:val="auto"/>
        </w:rPr>
        <w:t>3,204,701</w:t>
      </w:r>
    </w:p>
    <w:p>
      <w:pPr>
        <w:spacing w:after="0"/>
        <w:tabs>
          <w:tab w:leader="none" w:pos="1560" w:val="left"/>
        </w:tabs>
        <w:rPr>
          <w:sz w:val="20"/>
          <w:szCs w:val="20"/>
          <w:color w:val="auto"/>
        </w:rPr>
      </w:pPr>
      <w:r>
        <w:rPr>
          <w:rFonts w:ascii="Courier New" w:cs="Courier New" w:eastAsia="Courier New" w:hAnsi="Courier New"/>
          <w:sz w:val="18"/>
          <w:szCs w:val="18"/>
          <w:color w:val="auto"/>
        </w:rPr>
        <w:t>OWNED BY EACH</w:t>
      </w:r>
      <w:r>
        <w:rPr>
          <w:sz w:val="20"/>
          <w:szCs w:val="20"/>
          <w:color w:val="auto"/>
        </w:rPr>
        <w:tab/>
      </w:r>
      <w:r>
        <w:rPr>
          <w:rFonts w:ascii="Courier New" w:cs="Courier New" w:eastAsia="Courier New" w:hAnsi="Courier New"/>
          <w:sz w:val="16"/>
          <w:szCs w:val="16"/>
          <w:color w:val="auto"/>
        </w:rPr>
        <w:t>-----------------------------------------------------------------</w:t>
      </w:r>
    </w:p>
    <w:p>
      <w:pPr>
        <w:ind w:left="1700"/>
        <w:spacing w:after="0"/>
        <w:tabs>
          <w:tab w:leader="none" w:pos="2100" w:val="left"/>
        </w:tabs>
        <w:rPr>
          <w:sz w:val="20"/>
          <w:szCs w:val="20"/>
          <w:color w:val="auto"/>
        </w:rPr>
      </w:pPr>
      <w:r>
        <w:rPr>
          <w:rFonts w:ascii="Courier New" w:cs="Courier New" w:eastAsia="Courier New" w:hAnsi="Courier New"/>
          <w:sz w:val="18"/>
          <w:szCs w:val="18"/>
          <w:color w:val="auto"/>
        </w:rPr>
        <w:t>9.</w:t>
      </w:r>
      <w:r>
        <w:rPr>
          <w:sz w:val="20"/>
          <w:szCs w:val="20"/>
          <w:color w:val="auto"/>
        </w:rPr>
        <w:tab/>
      </w:r>
      <w:r>
        <w:rPr>
          <w:rFonts w:ascii="Courier New" w:cs="Courier New" w:eastAsia="Courier New" w:hAnsi="Courier New"/>
          <w:sz w:val="16"/>
          <w:szCs w:val="16"/>
          <w:color w:val="auto"/>
        </w:rPr>
        <w:t>SOLE DISPOSITIVE POWER</w:t>
      </w:r>
    </w:p>
    <w:p>
      <w:pPr>
        <w:ind w:left="220"/>
        <w:spacing w:after="0"/>
        <w:rPr>
          <w:sz w:val="20"/>
          <w:szCs w:val="20"/>
          <w:color w:val="auto"/>
        </w:rPr>
      </w:pPr>
      <w:r>
        <w:rPr>
          <w:rFonts w:ascii="Courier New" w:cs="Courier New" w:eastAsia="Courier New" w:hAnsi="Courier New"/>
          <w:sz w:val="18"/>
          <w:szCs w:val="18"/>
          <w:color w:val="auto"/>
        </w:rPr>
        <w:t>REPORTING</w:t>
      </w:r>
    </w:p>
    <w:p>
      <w:pPr>
        <w:ind w:left="2120"/>
        <w:spacing w:after="0" w:line="237" w:lineRule="auto"/>
        <w:rPr>
          <w:sz w:val="20"/>
          <w:szCs w:val="20"/>
          <w:color w:val="auto"/>
        </w:rPr>
      </w:pPr>
      <w:r>
        <w:rPr>
          <w:rFonts w:ascii="Courier New" w:cs="Courier New" w:eastAsia="Courier New" w:hAnsi="Courier New"/>
          <w:sz w:val="18"/>
          <w:szCs w:val="18"/>
          <w:color w:val="auto"/>
        </w:rPr>
        <w:t>11,530</w:t>
      </w:r>
    </w:p>
    <w:p>
      <w:pPr>
        <w:ind w:left="320"/>
        <w:spacing w:after="0" w:line="238" w:lineRule="auto"/>
        <w:tabs>
          <w:tab w:leader="none" w:pos="156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w:t>
      </w:r>
    </w:p>
    <w:p>
      <w:pPr>
        <w:ind w:left="1580"/>
        <w:spacing w:after="0"/>
        <w:tabs>
          <w:tab w:leader="none" w:pos="210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6"/>
          <w:szCs w:val="16"/>
          <w:color w:val="auto"/>
        </w:rPr>
        <w:t>SHARED DISPOSITIVE POWER</w:t>
      </w:r>
    </w:p>
    <w:p>
      <w:pPr>
        <w:ind w:left="420"/>
        <w:spacing w:after="0" w:line="237" w:lineRule="auto"/>
        <w:rPr>
          <w:sz w:val="20"/>
          <w:szCs w:val="20"/>
          <w:color w:val="auto"/>
        </w:rPr>
      </w:pPr>
      <w:r>
        <w:rPr>
          <w:rFonts w:ascii="Courier New" w:cs="Courier New" w:eastAsia="Courier New" w:hAnsi="Courier New"/>
          <w:sz w:val="18"/>
          <w:szCs w:val="18"/>
          <w:color w:val="auto"/>
        </w:rPr>
        <w:t>WITH</w:t>
      </w:r>
    </w:p>
    <w:p>
      <w:pPr>
        <w:ind w:left="2120"/>
        <w:spacing w:after="0"/>
        <w:rPr>
          <w:sz w:val="20"/>
          <w:szCs w:val="20"/>
          <w:color w:val="auto"/>
        </w:rPr>
      </w:pPr>
      <w:r>
        <w:rPr>
          <w:rFonts w:ascii="Courier New" w:cs="Courier New" w:eastAsia="Courier New" w:hAnsi="Courier New"/>
          <w:sz w:val="18"/>
          <w:szCs w:val="18"/>
          <w:color w:val="auto"/>
        </w:rPr>
        <w:t>3,204,701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3,216,231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540" w:right="3999" w:hanging="532"/>
        <w:spacing w:after="0" w:line="235" w:lineRule="auto"/>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5.13%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925" w:right="1440" w:bottom="1440" w:gutter="0" w:footer="0" w:header="0"/>
          <w:type w:val="continuous"/>
        </w:sectPr>
      </w:pPr>
    </w:p>
    <w:bookmarkStart w:id="2" w:name="page3"/>
    <w:bookmarkEnd w:id="2"/>
    <w:p>
      <w:pPr>
        <w:spacing w:after="0"/>
        <w:tabs>
          <w:tab w:leader="none" w:pos="3560" w:val="left"/>
          <w:tab w:leader="none" w:pos="6620" w:val="left"/>
        </w:tabs>
        <w:rPr>
          <w:sz w:val="20"/>
          <w:szCs w:val="20"/>
          <w:color w:val="auto"/>
        </w:rPr>
      </w:pPr>
      <w:r>
        <w:rPr>
          <w:rFonts w:ascii="Courier New" w:cs="Courier New" w:eastAsia="Courier New" w:hAnsi="Courier New"/>
          <w:sz w:val="18"/>
          <w:szCs w:val="18"/>
          <w:color w:val="auto"/>
        </w:rPr>
        <w:t>CUSIP NO. 726503105</w:t>
      </w:r>
      <w:r>
        <w:rPr>
          <w:sz w:val="20"/>
          <w:szCs w:val="20"/>
          <w:color w:val="auto"/>
        </w:rPr>
        <w:tab/>
      </w:r>
      <w:r>
        <w:rPr>
          <w:rFonts w:ascii="Courier New" w:cs="Courier New" w:eastAsia="Courier New" w:hAnsi="Courier New"/>
          <w:sz w:val="18"/>
          <w:szCs w:val="18"/>
          <w:color w:val="auto"/>
        </w:rPr>
        <w:t>SCHEDULE 13D</w:t>
      </w:r>
      <w:r>
        <w:rPr>
          <w:sz w:val="20"/>
          <w:szCs w:val="20"/>
          <w:color w:val="auto"/>
        </w:rPr>
        <w:tab/>
      </w:r>
      <w:r>
        <w:rPr>
          <w:rFonts w:ascii="Courier New" w:cs="Courier New" w:eastAsia="Courier New" w:hAnsi="Courier New"/>
          <w:sz w:val="16"/>
          <w:szCs w:val="16"/>
          <w:color w:val="auto"/>
        </w:rPr>
        <w:t>PAGE 3 OF 7 PAGES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6"/>
          <w:szCs w:val="16"/>
          <w:color w:val="auto"/>
        </w:rPr>
        <w:t>NAMES OF REPORTING PERSON</w:t>
      </w:r>
    </w:p>
    <w:p>
      <w:pPr>
        <w:ind w:left="420"/>
        <w:spacing w:after="0" w:line="238" w:lineRule="auto"/>
        <w:rPr>
          <w:sz w:val="20"/>
          <w:szCs w:val="20"/>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420"/>
        <w:spacing w:after="0"/>
        <w:tabs>
          <w:tab w:leader="none" w:pos="5680" w:val="left"/>
        </w:tabs>
        <w:rPr>
          <w:sz w:val="20"/>
          <w:szCs w:val="20"/>
          <w:color w:val="auto"/>
        </w:rPr>
      </w:pPr>
      <w:r>
        <w:rPr>
          <w:rFonts w:ascii="Courier New" w:cs="Courier New" w:eastAsia="Courier New" w:hAnsi="Courier New"/>
          <w:sz w:val="18"/>
          <w:szCs w:val="18"/>
          <w:color w:val="auto"/>
        </w:rPr>
        <w:t>KAYNE ANDERSON CAPITAL ADVISORS, L.P.</w:t>
      </w:r>
      <w:r>
        <w:rPr>
          <w:sz w:val="20"/>
          <w:szCs w:val="20"/>
          <w:color w:val="auto"/>
        </w:rPr>
        <w:tab/>
      </w:r>
      <w:r>
        <w:rPr>
          <w:rFonts w:ascii="Courier New" w:cs="Courier New" w:eastAsia="Courier New" w:hAnsi="Courier New"/>
          <w:sz w:val="16"/>
          <w:szCs w:val="16"/>
          <w:color w:val="auto"/>
        </w:rPr>
        <w:t>- 95-4486379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420" w:hanging="412"/>
        <w:spacing w:after="0"/>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860" w:hanging="431"/>
        <w:spacing w:after="0" w:line="238" w:lineRule="auto"/>
        <w:tabs>
          <w:tab w:leader="none" w:pos="86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420" w:hanging="412"/>
        <w:spacing w:after="0"/>
        <w:tabs>
          <w:tab w:leader="none" w:pos="4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420" w:hanging="412"/>
        <w:spacing w:after="0"/>
        <w:tabs>
          <w:tab w:leader="none" w:pos="4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AF PF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420" w:right="2939" w:hanging="412"/>
        <w:spacing w:after="0" w:line="235" w:lineRule="auto"/>
        <w:tabs>
          <w:tab w:leader="none" w:pos="4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2(e)</w:t>
      </w:r>
    </w:p>
    <w:p>
      <w:pPr>
        <w:spacing w:after="0" w:line="203" w:lineRule="exact"/>
        <w:rPr>
          <w:sz w:val="20"/>
          <w:szCs w:val="20"/>
          <w:color w:val="auto"/>
        </w:rPr>
      </w:pPr>
    </w:p>
    <w:p>
      <w:pPr>
        <w:ind w:left="640" w:hanging="211"/>
        <w:spacing w:after="0"/>
        <w:tabs>
          <w:tab w:leader="none" w:pos="64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412"/>
        <w:spacing w:after="0"/>
        <w:tabs>
          <w:tab w:leader="none" w:pos="4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CALIFORNIA LIMITED PARTNERSHIP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700"/>
        <w:spacing w:after="0"/>
        <w:tabs>
          <w:tab w:leader="none" w:pos="210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6"/>
          <w:szCs w:val="16"/>
          <w:color w:val="auto"/>
        </w:rPr>
        <w:t>SOLE VOTING POWER</w:t>
      </w:r>
    </w:p>
    <w:p>
      <w:pPr>
        <w:ind w:left="220"/>
        <w:spacing w:after="0" w:line="238" w:lineRule="auto"/>
        <w:rPr>
          <w:sz w:val="20"/>
          <w:szCs w:val="20"/>
          <w:color w:val="auto"/>
        </w:rPr>
      </w:pPr>
      <w:r>
        <w:rPr>
          <w:rFonts w:ascii="Courier New" w:cs="Courier New" w:eastAsia="Courier New" w:hAnsi="Courier New"/>
          <w:sz w:val="18"/>
          <w:szCs w:val="18"/>
          <w:color w:val="auto"/>
        </w:rPr>
        <w:t>NUMBER OF</w:t>
      </w:r>
    </w:p>
    <w:p>
      <w:pPr>
        <w:ind w:left="2120"/>
        <w:spacing w:after="0"/>
        <w:rPr>
          <w:sz w:val="20"/>
          <w:szCs w:val="20"/>
          <w:color w:val="auto"/>
        </w:rPr>
      </w:pPr>
      <w:r>
        <w:rPr>
          <w:rFonts w:ascii="Courier New" w:cs="Courier New" w:eastAsia="Courier New" w:hAnsi="Courier New"/>
          <w:sz w:val="18"/>
          <w:szCs w:val="18"/>
          <w:color w:val="auto"/>
        </w:rPr>
        <w:t>0</w:t>
      </w:r>
    </w:p>
    <w:p>
      <w:pPr>
        <w:ind w:left="320"/>
        <w:spacing w:after="0" w:line="237" w:lineRule="auto"/>
        <w:tabs>
          <w:tab w:leader="none" w:pos="156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w:t>
      </w:r>
    </w:p>
    <w:p>
      <w:pPr>
        <w:ind w:left="1700"/>
        <w:spacing w:after="0"/>
        <w:tabs>
          <w:tab w:leader="none" w:pos="2100" w:val="left"/>
        </w:tabs>
        <w:rPr>
          <w:sz w:val="20"/>
          <w:szCs w:val="20"/>
          <w:color w:val="auto"/>
        </w:rPr>
      </w:pPr>
      <w:r>
        <w:rPr>
          <w:rFonts w:ascii="Courier New" w:cs="Courier New" w:eastAsia="Courier New" w:hAnsi="Courier New"/>
          <w:sz w:val="18"/>
          <w:szCs w:val="18"/>
          <w:color w:val="auto"/>
        </w:rPr>
        <w:t>8.</w:t>
      </w:r>
      <w:r>
        <w:rPr>
          <w:sz w:val="20"/>
          <w:szCs w:val="20"/>
          <w:color w:val="auto"/>
        </w:rPr>
        <w:tab/>
      </w:r>
      <w:r>
        <w:rPr>
          <w:rFonts w:ascii="Courier New" w:cs="Courier New" w:eastAsia="Courier New" w:hAnsi="Courier New"/>
          <w:sz w:val="16"/>
          <w:szCs w:val="16"/>
          <w:color w:val="auto"/>
        </w:rPr>
        <w:t>SHARED VOTING POWER</w:t>
      </w:r>
    </w:p>
    <w:p>
      <w:pPr>
        <w:spacing w:after="0"/>
        <w:rPr>
          <w:sz w:val="20"/>
          <w:szCs w:val="20"/>
          <w:color w:val="auto"/>
        </w:rPr>
      </w:pPr>
      <w:r>
        <w:rPr>
          <w:rFonts w:ascii="Courier New" w:cs="Courier New" w:eastAsia="Courier New" w:hAnsi="Courier New"/>
          <w:sz w:val="18"/>
          <w:szCs w:val="18"/>
          <w:color w:val="auto"/>
        </w:rPr>
        <w:t>BENEFICIALLY</w:t>
      </w:r>
    </w:p>
    <w:p>
      <w:pPr>
        <w:ind w:left="2120"/>
        <w:spacing w:after="0" w:line="237" w:lineRule="auto"/>
        <w:rPr>
          <w:sz w:val="20"/>
          <w:szCs w:val="20"/>
          <w:color w:val="auto"/>
        </w:rPr>
      </w:pPr>
      <w:r>
        <w:rPr>
          <w:rFonts w:ascii="Courier New" w:cs="Courier New" w:eastAsia="Courier New" w:hAnsi="Courier New"/>
          <w:sz w:val="18"/>
          <w:szCs w:val="18"/>
          <w:color w:val="auto"/>
        </w:rPr>
        <w:t>3,204,701</w:t>
      </w:r>
    </w:p>
    <w:p>
      <w:pPr>
        <w:spacing w:after="0"/>
        <w:tabs>
          <w:tab w:leader="none" w:pos="1560" w:val="left"/>
        </w:tabs>
        <w:rPr>
          <w:sz w:val="20"/>
          <w:szCs w:val="20"/>
          <w:color w:val="auto"/>
        </w:rPr>
      </w:pPr>
      <w:r>
        <w:rPr>
          <w:rFonts w:ascii="Courier New" w:cs="Courier New" w:eastAsia="Courier New" w:hAnsi="Courier New"/>
          <w:sz w:val="18"/>
          <w:szCs w:val="18"/>
          <w:color w:val="auto"/>
        </w:rPr>
        <w:t>OWNED BY EACH</w:t>
      </w:r>
      <w:r>
        <w:rPr>
          <w:sz w:val="20"/>
          <w:szCs w:val="20"/>
          <w:color w:val="auto"/>
        </w:rPr>
        <w:tab/>
      </w:r>
      <w:r>
        <w:rPr>
          <w:rFonts w:ascii="Courier New" w:cs="Courier New" w:eastAsia="Courier New" w:hAnsi="Courier New"/>
          <w:sz w:val="16"/>
          <w:szCs w:val="16"/>
          <w:color w:val="auto"/>
        </w:rPr>
        <w:t>-----------------------------------------------------------------</w:t>
      </w:r>
    </w:p>
    <w:p>
      <w:pPr>
        <w:ind w:left="1700"/>
        <w:spacing w:after="0"/>
        <w:tabs>
          <w:tab w:leader="none" w:pos="2100" w:val="left"/>
        </w:tabs>
        <w:rPr>
          <w:sz w:val="20"/>
          <w:szCs w:val="20"/>
          <w:color w:val="auto"/>
        </w:rPr>
      </w:pPr>
      <w:r>
        <w:rPr>
          <w:rFonts w:ascii="Courier New" w:cs="Courier New" w:eastAsia="Courier New" w:hAnsi="Courier New"/>
          <w:sz w:val="18"/>
          <w:szCs w:val="18"/>
          <w:color w:val="auto"/>
        </w:rPr>
        <w:t>9.</w:t>
      </w:r>
      <w:r>
        <w:rPr>
          <w:sz w:val="20"/>
          <w:szCs w:val="20"/>
          <w:color w:val="auto"/>
        </w:rPr>
        <w:tab/>
      </w:r>
      <w:r>
        <w:rPr>
          <w:rFonts w:ascii="Courier New" w:cs="Courier New" w:eastAsia="Courier New" w:hAnsi="Courier New"/>
          <w:sz w:val="16"/>
          <w:szCs w:val="16"/>
          <w:color w:val="auto"/>
        </w:rPr>
        <w:t>SOLE DISPOSITIVE POWER</w:t>
      </w:r>
    </w:p>
    <w:p>
      <w:pPr>
        <w:ind w:left="220"/>
        <w:spacing w:after="0"/>
        <w:rPr>
          <w:sz w:val="20"/>
          <w:szCs w:val="20"/>
          <w:color w:val="auto"/>
        </w:rPr>
      </w:pPr>
      <w:r>
        <w:rPr>
          <w:rFonts w:ascii="Courier New" w:cs="Courier New" w:eastAsia="Courier New" w:hAnsi="Courier New"/>
          <w:sz w:val="18"/>
          <w:szCs w:val="18"/>
          <w:color w:val="auto"/>
        </w:rPr>
        <w:t>REPORTING</w:t>
      </w:r>
    </w:p>
    <w:p>
      <w:pPr>
        <w:ind w:left="2120"/>
        <w:spacing w:after="0" w:line="237" w:lineRule="auto"/>
        <w:rPr>
          <w:sz w:val="20"/>
          <w:szCs w:val="20"/>
          <w:color w:val="auto"/>
        </w:rPr>
      </w:pPr>
      <w:r>
        <w:rPr>
          <w:rFonts w:ascii="Courier New" w:cs="Courier New" w:eastAsia="Courier New" w:hAnsi="Courier New"/>
          <w:sz w:val="18"/>
          <w:szCs w:val="18"/>
          <w:color w:val="auto"/>
        </w:rPr>
        <w:t>0</w:t>
      </w:r>
    </w:p>
    <w:p>
      <w:pPr>
        <w:ind w:left="320"/>
        <w:spacing w:after="0" w:line="238" w:lineRule="auto"/>
        <w:tabs>
          <w:tab w:leader="none" w:pos="156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w:t>
      </w:r>
    </w:p>
    <w:p>
      <w:pPr>
        <w:ind w:left="1580"/>
        <w:spacing w:after="0"/>
        <w:tabs>
          <w:tab w:leader="none" w:pos="210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6"/>
          <w:szCs w:val="16"/>
          <w:color w:val="auto"/>
        </w:rPr>
        <w:t>SHARED DISPOSITIVE POWER</w:t>
      </w:r>
    </w:p>
    <w:p>
      <w:pPr>
        <w:ind w:left="420"/>
        <w:spacing w:after="0" w:line="237" w:lineRule="auto"/>
        <w:rPr>
          <w:sz w:val="20"/>
          <w:szCs w:val="20"/>
          <w:color w:val="auto"/>
        </w:rPr>
      </w:pPr>
      <w:r>
        <w:rPr>
          <w:rFonts w:ascii="Courier New" w:cs="Courier New" w:eastAsia="Courier New" w:hAnsi="Courier New"/>
          <w:sz w:val="18"/>
          <w:szCs w:val="18"/>
          <w:color w:val="auto"/>
        </w:rPr>
        <w:t>WITH</w:t>
      </w:r>
    </w:p>
    <w:p>
      <w:pPr>
        <w:ind w:left="2120"/>
        <w:spacing w:after="0"/>
        <w:rPr>
          <w:sz w:val="20"/>
          <w:szCs w:val="20"/>
          <w:color w:val="auto"/>
        </w:rPr>
      </w:pPr>
      <w:r>
        <w:rPr>
          <w:rFonts w:ascii="Courier New" w:cs="Courier New" w:eastAsia="Courier New" w:hAnsi="Courier New"/>
          <w:sz w:val="18"/>
          <w:szCs w:val="18"/>
          <w:color w:val="auto"/>
        </w:rPr>
        <w:t>3,204,701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3,204,701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540" w:right="3999" w:hanging="532"/>
        <w:spacing w:after="0" w:line="235" w:lineRule="auto"/>
        <w:tabs>
          <w:tab w:leader="none" w:pos="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5.11%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919" w:right="1440" w:bottom="1440" w:gutter="0" w:footer="0" w:header="0"/>
        </w:sectPr>
      </w:pPr>
    </w:p>
    <w:bookmarkStart w:id="3" w:name="page4"/>
    <w:bookmarkEnd w:id="3"/>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0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ind w:left="3580"/>
        <w:spacing w:after="0" w:line="238" w:lineRule="auto"/>
        <w:rPr>
          <w:sz w:val="20"/>
          <w:szCs w:val="20"/>
          <w:color w:val="auto"/>
        </w:rPr>
      </w:pPr>
      <w:r>
        <w:rPr>
          <w:rFonts w:ascii="Courier New" w:cs="Courier New" w:eastAsia="Courier New" w:hAnsi="Courier New"/>
          <w:sz w:val="18"/>
          <w:szCs w:val="18"/>
          <w:color w:val="auto"/>
        </w:rPr>
        <w:t>AMENDMENT NO.</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 $0.10 par value.</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Plains All American Pipeline, LP</w:t>
      </w:r>
    </w:p>
    <w:p>
      <w:pPr>
        <w:ind w:left="960"/>
        <w:spacing w:after="0" w:line="238" w:lineRule="auto"/>
        <w:rPr>
          <w:sz w:val="20"/>
          <w:szCs w:val="20"/>
          <w:color w:val="auto"/>
        </w:rPr>
      </w:pPr>
      <w:r>
        <w:rPr>
          <w:rFonts w:ascii="Courier New" w:cs="Courier New" w:eastAsia="Courier New" w:hAnsi="Courier New"/>
          <w:sz w:val="18"/>
          <w:szCs w:val="18"/>
          <w:color w:val="auto"/>
        </w:rPr>
        <w:t>333 Clay Street, Suite 1600</w:t>
      </w:r>
    </w:p>
    <w:p>
      <w:pPr>
        <w:ind w:left="960"/>
        <w:spacing w:after="0"/>
        <w:tabs>
          <w:tab w:leader="none" w:pos="2300" w:val="left"/>
        </w:tabs>
        <w:rPr>
          <w:sz w:val="20"/>
          <w:szCs w:val="20"/>
          <w:color w:val="auto"/>
        </w:rPr>
      </w:pPr>
      <w:r>
        <w:rPr>
          <w:rFonts w:ascii="Courier New" w:cs="Courier New" w:eastAsia="Courier New" w:hAnsi="Courier New"/>
          <w:sz w:val="18"/>
          <w:szCs w:val="18"/>
          <w:color w:val="auto"/>
        </w:rPr>
        <w:t>Houston, TX</w:t>
        <w:tab/>
        <w:t>77002</w:t>
      </w:r>
    </w:p>
    <w:p>
      <w:pPr>
        <w:spacing w:after="0" w:line="20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The Reporting Persons include Kayne Anderson Capital Advisors, L.P. and Richard A. Kayne.</w:t>
      </w:r>
    </w:p>
    <w:p>
      <w:pPr>
        <w:spacing w:after="0" w:line="203" w:lineRule="exact"/>
        <w:rPr>
          <w:sz w:val="20"/>
          <w:szCs w:val="20"/>
          <w:color w:val="auto"/>
        </w:rPr>
      </w:pPr>
    </w:p>
    <w:p>
      <w:pPr>
        <w:ind w:left="960" w:hanging="952"/>
        <w:spacing w:after="0"/>
        <w:tabs>
          <w:tab w:leader="none" w:pos="9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KAYNE ANDERSON CAPITAL ADVISORS, L.P.</w:t>
      </w:r>
    </w:p>
    <w:p>
      <w:pPr>
        <w:spacing w:after="0" w:line="206" w:lineRule="exact"/>
        <w:rPr>
          <w:rFonts w:ascii="Courier New" w:cs="Courier New" w:eastAsia="Courier New" w:hAnsi="Courier New"/>
          <w:sz w:val="18"/>
          <w:szCs w:val="18"/>
          <w:color w:val="auto"/>
        </w:rPr>
      </w:pPr>
    </w:p>
    <w:p>
      <w:pPr>
        <w:ind w:left="960"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Kayne Anderson Capital Advisors, L.P. ("KACALP"), a California limited partnership, is an investment adviser registered with the Securities and Exchange Commission under the Investment Advisers Act of 1940. It serves as sole general partner of and investment adviser to various investment partnerships holding the issuer's Common Stock. KACALP also serves as investment adviser to a small number of separate account clients which hold the issuer's Common Stock.</w:t>
      </w:r>
    </w:p>
    <w:p>
      <w:pPr>
        <w:spacing w:after="0" w:line="211" w:lineRule="exact"/>
        <w:rPr>
          <w:rFonts w:ascii="Courier New" w:cs="Courier New" w:eastAsia="Courier New" w:hAnsi="Courier New"/>
          <w:sz w:val="18"/>
          <w:szCs w:val="18"/>
          <w:color w:val="auto"/>
        </w:rPr>
      </w:pPr>
    </w:p>
    <w:p>
      <w:pPr>
        <w:ind w:left="96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Kayne Anderson Investment Management, Inc. ("KAIM"), a Nevada corporation, is the sole general partner of KACALP. KAIM is owned by KA Holdings, Inc. ("KA Holdings"), a California corporation, the shareholders of which are Richard A. Kayne and John E. Anderson. The principal business address of the Reporting Persons, KAIM and KA Holdings is 1800 Avenue of the Stars, Second Floor, Los Angeles, California 90067.</w:t>
      </w:r>
    </w:p>
    <w:p>
      <w:pPr>
        <w:spacing w:after="0" w:line="200" w:lineRule="exact"/>
        <w:rPr>
          <w:rFonts w:ascii="Courier New" w:cs="Courier New" w:eastAsia="Courier New" w:hAnsi="Courier New"/>
          <w:sz w:val="18"/>
          <w:szCs w:val="18"/>
          <w:color w:val="auto"/>
        </w:rPr>
      </w:pPr>
    </w:p>
    <w:p>
      <w:pPr>
        <w:spacing w:after="0" w:line="208"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RICHARD A. KAYNE</w:t>
      </w:r>
    </w:p>
    <w:p>
      <w:pPr>
        <w:spacing w:after="0" w:line="206" w:lineRule="exact"/>
        <w:rPr>
          <w:rFonts w:ascii="Courier New" w:cs="Courier New" w:eastAsia="Courier New" w:hAnsi="Courier New"/>
          <w:sz w:val="18"/>
          <w:szCs w:val="18"/>
          <w:color w:val="auto"/>
        </w:rPr>
      </w:pPr>
    </w:p>
    <w:p>
      <w:pPr>
        <w:ind w:left="960" w:right="2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Mr. Kayne, a U.S. citizen, is President, Chief Executive Officer and Director of KAIM and KA Holdings.</w:t>
      </w:r>
    </w:p>
    <w:p>
      <w:pPr>
        <w:spacing w:after="0" w:line="208" w:lineRule="exact"/>
        <w:rPr>
          <w:rFonts w:ascii="Courier New" w:cs="Courier New" w:eastAsia="Courier New" w:hAnsi="Courier New"/>
          <w:sz w:val="18"/>
          <w:szCs w:val="18"/>
          <w:color w:val="auto"/>
        </w:rPr>
      </w:pPr>
    </w:p>
    <w:p>
      <w:pPr>
        <w:ind w:left="96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Mr. Kayne also serves as Co-Management Chair and Chief Executive Officer of Kayne Anderson Rudnick Investment Management, LLC, a California limited liability company ("KARIM"), and President and Director of KA Associates, Inc., a Nevada corporation ("KAA"). KARIM is a registered investment adviser. KAA is a registered broker/dealer. The principal business address of KARIM and KAA is 1800 Avenue of the Stars, Second Floor, Los Angeles, CA 90067.</w:t>
      </w:r>
    </w:p>
    <w:p>
      <w:pPr>
        <w:spacing w:after="0" w:line="211" w:lineRule="exact"/>
        <w:rPr>
          <w:rFonts w:ascii="Courier New" w:cs="Courier New" w:eastAsia="Courier New" w:hAnsi="Courier New"/>
          <w:sz w:val="18"/>
          <w:szCs w:val="18"/>
          <w:color w:val="auto"/>
        </w:rPr>
      </w:pPr>
    </w:p>
    <w:p>
      <w:pPr>
        <w:ind w:left="960" w:right="1779" w:hanging="952"/>
        <w:spacing w:after="0" w:line="237" w:lineRule="auto"/>
        <w:tabs>
          <w:tab w:leader="none" w:pos="9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the Reporting Persons, KAIM or KA Holdings has been convicted in a criminal proceeding (excluding traffic violations or similar misdemeanors) in the past five years, nor has any of them been a party to a civil proceeding of a judicial or administrative body of competent jurisdiction, which resulted in a judgment, decree or final order enjoining future violations of, or prohibiting or mandating activities subject to, federal or state securities laws or finding any violation with respect to such law during the last five years.</w:t>
      </w:r>
    </w:p>
    <w:p>
      <w:pPr>
        <w:sectPr>
          <w:pgSz w:w="11900" w:h="16838" w:orient="portrait"/>
          <w:cols w:equalWidth="0" w:num="1">
            <w:col w:w="10219"/>
          </w:cols>
          <w:pgMar w:left="240" w:top="919" w:right="1440" w:bottom="1440" w:gutter="0" w:footer="0" w:header="0"/>
        </w:sectPr>
      </w:pPr>
    </w:p>
    <w:bookmarkStart w:id="4" w:name="page5"/>
    <w:bookmarkEnd w:id="4"/>
    <w:p>
      <w:pPr>
        <w:ind w:left="960" w:right="1779" w:hanging="952"/>
        <w:spacing w:after="0" w:line="270" w:lineRule="auto"/>
        <w:tabs>
          <w:tab w:leader="none" w:pos="96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additional persons are officers and/or directors of one or more of KAIM and KA Holdings. (KACALP, a limited partnership, does not have any officers or directors.) Each such person is a U.S. citizen whose address is, unless noted otherwise, 1800 Avenue of the Stars, Second Floor, Los Angeles, California 90067. None of such persons has been convicted in a criminal proceeding (excluding traffic violations or similar misdemeanors) in the past five years, nor has any of them been a party to a civil proceeding of a judicial or administrative body of competent jurisdiction, which resulted in a judgment, decree or final order enjoining future violations of, or prohibiting or mandating activities subject to, federal or state securities laws or finding any violation with respect to such law during the last five years.</w:t>
      </w:r>
    </w:p>
    <w:p>
      <w:pPr>
        <w:sectPr>
          <w:pgSz w:w="11900" w:h="16838" w:orient="portrait"/>
          <w:cols w:equalWidth="0" w:num="1">
            <w:col w:w="10219"/>
          </w:cols>
          <w:pgMar w:left="240" w:top="925" w:right="1440" w:bottom="1440" w:gutter="0" w:footer="0" w:header="0"/>
        </w:sectPr>
      </w:pPr>
    </w:p>
    <w:p>
      <w:pPr>
        <w:spacing w:after="0" w:line="187"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JOHN E. ANDERSON.</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Chairman of Topa Equities, Ltd., a diversified investment company located at 1800 Avenue of the Stars, Suite 1400, Los Angeles, California 90067. Mr. Anderson is Director of KAIM and KA Holdings.</w:t>
      </w:r>
    </w:p>
    <w:p>
      <w:pPr>
        <w:spacing w:after="0" w:line="182" w:lineRule="exact"/>
        <w:rPr>
          <w:sz w:val="20"/>
          <w:szCs w:val="20"/>
          <w:color w:val="auto"/>
        </w:rPr>
      </w:pPr>
    </w:p>
    <w:p>
      <w:pPr>
        <w:sectPr>
          <w:pgSz w:w="11900" w:h="16838" w:orient="portrait"/>
          <w:cols w:equalWidth="0" w:num="2">
            <w:col w:w="2740" w:space="540"/>
            <w:col w:w="6939"/>
          </w:cols>
          <w:pgMar w:left="240" w:top="925" w:right="1440" w:bottom="1440" w:gutter="0" w:footer="0" w:header="0"/>
          <w:type w:val="continuous"/>
        </w:sectPr>
      </w:pPr>
    </w:p>
    <w:p>
      <w:pPr>
        <w:ind w:left="960"/>
        <w:spacing w:after="0"/>
        <w:rPr>
          <w:sz w:val="20"/>
          <w:szCs w:val="20"/>
          <w:color w:val="auto"/>
        </w:rPr>
      </w:pPr>
      <w:r>
        <w:rPr>
          <w:rFonts w:ascii="Courier New" w:cs="Courier New" w:eastAsia="Courier New" w:hAnsi="Courier New"/>
          <w:sz w:val="16"/>
          <w:szCs w:val="16"/>
          <w:color w:val="auto"/>
        </w:rPr>
        <w:t>HOWARD M. ZELIKOW.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Vice President and Director of KAIM</w:t>
      </w:r>
    </w:p>
    <w:p>
      <w:pPr>
        <w:spacing w:after="0" w:line="200" w:lineRule="exact"/>
        <w:rPr>
          <w:sz w:val="20"/>
          <w:szCs w:val="20"/>
          <w:color w:val="auto"/>
        </w:rPr>
      </w:pPr>
    </w:p>
    <w:p>
      <w:pPr>
        <w:sectPr>
          <w:pgSz w:w="11900" w:h="16838" w:orient="portrait"/>
          <w:cols w:equalWidth="0" w:num="2">
            <w:col w:w="2860" w:space="420"/>
            <w:col w:w="6939"/>
          </w:cols>
          <w:pgMar w:left="240" w:top="925" w:right="1440" w:bottom="1440" w:gutter="0" w:footer="0" w:header="0"/>
          <w:type w:val="continuous"/>
        </w:sectPr>
      </w:pPr>
    </w:p>
    <w:p>
      <w:pPr>
        <w:spacing w:after="0" w:line="2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ROBERT V. SINNOTT.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of KAIM</w:t>
      </w:r>
    </w:p>
    <w:p>
      <w:pPr>
        <w:spacing w:after="0" w:line="200" w:lineRule="exact"/>
        <w:rPr>
          <w:sz w:val="20"/>
          <w:szCs w:val="20"/>
          <w:color w:val="auto"/>
        </w:rPr>
      </w:pPr>
    </w:p>
    <w:p>
      <w:pPr>
        <w:sectPr>
          <w:pgSz w:w="11900" w:h="16838" w:orient="portrait"/>
          <w:cols w:equalWidth="0" w:num="2">
            <w:col w:w="2860" w:space="420"/>
            <w:col w:w="6939"/>
          </w:cols>
          <w:pgMar w:left="240" w:top="925" w:right="1440" w:bottom="1440" w:gutter="0" w:footer="0" w:header="0"/>
          <w:type w:val="continuous"/>
        </w:sectPr>
      </w:pPr>
    </w:p>
    <w:p>
      <w:pPr>
        <w:spacing w:after="0" w:line="2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RALPH C. WALTER.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Chief Operating Officer of KAIM and KA Holdings.</w:t>
      </w:r>
    </w:p>
    <w:p>
      <w:pPr>
        <w:spacing w:after="0" w:line="200" w:lineRule="exact"/>
        <w:rPr>
          <w:sz w:val="20"/>
          <w:szCs w:val="20"/>
          <w:color w:val="auto"/>
        </w:rPr>
      </w:pPr>
    </w:p>
    <w:p>
      <w:pPr>
        <w:sectPr>
          <w:pgSz w:w="11900" w:h="16838" w:orient="portrait"/>
          <w:cols w:equalWidth="0" w:num="2">
            <w:col w:w="2640" w:space="640"/>
            <w:col w:w="6939"/>
          </w:cols>
          <w:pgMar w:left="240" w:top="925" w:right="1440" w:bottom="1440" w:gutter="0" w:footer="0" w:header="0"/>
          <w:type w:val="continuous"/>
        </w:sectPr>
      </w:pPr>
    </w:p>
    <w:p>
      <w:pPr>
        <w:spacing w:after="0" w:line="2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DAVID J. SHLADOVSKY.</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General Counsel and Secretary of KAIM and KA Holdings.</w:t>
      </w:r>
    </w:p>
    <w:p>
      <w:pPr>
        <w:spacing w:after="0" w:line="200" w:lineRule="exact"/>
        <w:rPr>
          <w:sz w:val="20"/>
          <w:szCs w:val="20"/>
          <w:color w:val="auto"/>
        </w:rPr>
      </w:pPr>
    </w:p>
    <w:p>
      <w:pPr>
        <w:sectPr>
          <w:pgSz w:w="11900" w:h="16838" w:orient="portrait"/>
          <w:cols w:equalWidth="0" w:num="2">
            <w:col w:w="3060" w:space="220"/>
            <w:col w:w="6939"/>
          </w:cols>
          <w:pgMar w:left="240" w:top="925" w:right="1440" w:bottom="1440" w:gutter="0" w:footer="0" w:header="0"/>
          <w:type w:val="continuous"/>
        </w:sectPr>
      </w:pPr>
    </w:p>
    <w:p>
      <w:pPr>
        <w:spacing w:after="0" w:line="8"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JOHN F. DALEY.</w:t>
      </w:r>
    </w:p>
    <w:p>
      <w:pPr>
        <w:spacing w:after="0" w:line="20" w:lineRule="exact"/>
        <w:rPr>
          <w:sz w:val="20"/>
          <w:szCs w:val="20"/>
          <w:color w:val="auto"/>
        </w:rPr>
      </w:pPr>
      <w:r>
        <w:rPr>
          <w:sz w:val="20"/>
          <w:szCs w:val="20"/>
          <w:color w:val="auto"/>
        </w:rPr>
        <w:br w:type="column"/>
      </w:r>
    </w:p>
    <w:p>
      <w:pPr>
        <w:ind w:right="1779"/>
        <w:spacing w:after="0" w:line="235" w:lineRule="auto"/>
        <w:rPr>
          <w:sz w:val="20"/>
          <w:szCs w:val="20"/>
          <w:color w:val="auto"/>
        </w:rPr>
      </w:pPr>
      <w:r>
        <w:rPr>
          <w:rFonts w:ascii="Courier New" w:cs="Courier New" w:eastAsia="Courier New" w:hAnsi="Courier New"/>
          <w:sz w:val="18"/>
          <w:szCs w:val="18"/>
          <w:color w:val="auto"/>
        </w:rPr>
        <w:t>Chief Financial Officer and Treasurer of KAIM and KA Holdings.</w:t>
      </w:r>
    </w:p>
    <w:p>
      <w:pPr>
        <w:spacing w:after="0" w:line="200" w:lineRule="exact"/>
        <w:rPr>
          <w:sz w:val="20"/>
          <w:szCs w:val="20"/>
          <w:color w:val="auto"/>
        </w:rPr>
      </w:pPr>
    </w:p>
    <w:p>
      <w:pPr>
        <w:sectPr>
          <w:pgSz w:w="11900" w:h="16838" w:orient="portrait"/>
          <w:cols w:equalWidth="0" w:num="2">
            <w:col w:w="2560" w:space="720"/>
            <w:col w:w="6939"/>
          </w:cols>
          <w:pgMar w:left="240" w:top="925" w:right="1440" w:bottom="1440" w:gutter="0" w:footer="0" w:header="0"/>
          <w:type w:val="continuous"/>
        </w:sect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SOURCE AND AMOUNT OF FUNDS OR OTHER CONSIDERATION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PURPOSE OF TRANSACTION</w:t>
      </w:r>
    </w:p>
    <w:p>
      <w:pPr>
        <w:spacing w:after="0" w:line="207"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This Schedule 13D is filed for purposes of disclosing that the Reporting Persons have acquired more than five percent of the Issuer's outstanding common stock.</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INTEREST IN SECURITIES OF THE ISSUER</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 Mr. Kayne beneficially owns 3,216,231 shares of the Common Stock, or approximately 5.13% of the outstanding Common Stock. Of those shares, KACALP, as general partner of or investment adviser to investment funds or accounts, beneficially owns 3,204,701 shares of the Common Stock, or approximately 5.11% of the outstanding Common Stock.</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b. (i) Mr. Kayne has the sole power to vote and dispose, or direct the disposition, of 11,530 shares of the Common Stock, and (ii) Mr. Kayne and KACALP have the shared power to vote and dispose, or direct the disposition, of 3,204,701 shares of the Common Stock.</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shares over which Mr. Kayne has sole voting and dispositive power are held by him directly or by accounts for which he serves as trustee or custodian. The shares over which Mr. Kayne and KACALP have shared voting and dispositive power are held by accounts for which KACALP serves as general partner or investment adviser.</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KACALP disclaims beneficial ownership of the shares reported, except those shares attributable to it by virtue of its general partner interests in the limited partnerships holding such shares. Mr. Kayne disclaims beneficial ownership of the shares reported, except those shares held by him or attributable to him by virtue of his limited partner interests in such limited partnerships and by virtue of his indirect interest in the interest of KACALP in such limited partnerships.</w:t>
      </w:r>
    </w:p>
    <w:p>
      <w:pPr>
        <w:sectPr>
          <w:pgSz w:w="11900" w:h="16838" w:orient="portrait"/>
          <w:cols w:equalWidth="0" w:num="1">
            <w:col w:w="10219"/>
          </w:cols>
          <w:pgMar w:left="240" w:top="925" w:right="1440" w:bottom="1440" w:gutter="0" w:footer="0" w:header="0"/>
          <w:type w:val="continuous"/>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c. The following transactions in the Common Stock beneficially owned by the</w:t>
      </w:r>
    </w:p>
    <w:p>
      <w:pPr>
        <w:spacing w:after="0" w:line="238" w:lineRule="auto"/>
        <w:rPr>
          <w:sz w:val="20"/>
          <w:szCs w:val="20"/>
          <w:color w:val="auto"/>
        </w:rPr>
      </w:pPr>
      <w:r>
        <w:rPr>
          <w:rFonts w:ascii="Courier New" w:cs="Courier New" w:eastAsia="Courier New" w:hAnsi="Courier New"/>
          <w:sz w:val="18"/>
          <w:szCs w:val="18"/>
          <w:color w:val="auto"/>
        </w:rPr>
        <w:t>Reporting Persons were effected in the last 60 days:</w:t>
      </w:r>
    </w:p>
    <w:p>
      <w:pPr>
        <w:spacing w:after="0" w:line="200" w:lineRule="exact"/>
        <w:rPr>
          <w:sz w:val="20"/>
          <w:szCs w:val="20"/>
          <w:color w:val="auto"/>
        </w:rPr>
      </w:pPr>
    </w:p>
    <w:p>
      <w:pPr>
        <w:spacing w:after="0" w:line="204" w:lineRule="exact"/>
        <w:rPr>
          <w:sz w:val="20"/>
          <w:szCs w:val="20"/>
          <w:color w:val="auto"/>
        </w:rPr>
      </w:pPr>
    </w:p>
    <w:p>
      <w:pPr>
        <w:ind w:left="260"/>
        <w:spacing w:after="0"/>
        <w:rPr>
          <w:sz w:val="20"/>
          <w:szCs w:val="20"/>
          <w:color w:val="auto"/>
        </w:rPr>
      </w:pPr>
      <w:r>
        <w:rPr>
          <w:rFonts w:ascii="Courier New" w:cs="Courier New" w:eastAsia="Courier New" w:hAnsi="Courier New"/>
          <w:sz w:val="18"/>
          <w:szCs w:val="18"/>
          <w:color w:val="auto"/>
        </w:rPr>
        <w:t>Common</w:t>
      </w:r>
    </w:p>
    <w:p>
      <w:pPr>
        <w:ind w:left="320"/>
        <w:spacing w:after="0" w:line="238" w:lineRule="auto"/>
        <w:rPr>
          <w:sz w:val="20"/>
          <w:szCs w:val="20"/>
          <w:color w:val="auto"/>
        </w:rPr>
      </w:pPr>
      <w:r>
        <w:rPr>
          <w:rFonts w:ascii="Courier New" w:cs="Courier New" w:eastAsia="Courier New" w:hAnsi="Courier New"/>
          <w:sz w:val="18"/>
          <w:szCs w:val="18"/>
          <w:color w:val="auto"/>
        </w:rPr>
        <w:t>Stock</w:t>
      </w:r>
    </w:p>
    <w:p>
      <w:pPr>
        <w:jc w:val="center"/>
        <w:ind w:right="9059"/>
        <w:spacing w:after="0"/>
        <w:rPr>
          <w:sz w:val="20"/>
          <w:szCs w:val="20"/>
          <w:color w:val="auto"/>
        </w:rPr>
      </w:pPr>
      <w:r>
        <w:rPr>
          <w:rFonts w:ascii="Courier New" w:cs="Courier New" w:eastAsia="Courier New" w:hAnsi="Courier New"/>
          <w:sz w:val="18"/>
          <w:szCs w:val="18"/>
          <w:color w:val="auto"/>
        </w:rPr>
        <w:t>Stock Date</w:t>
      </w:r>
    </w:p>
    <w:p>
      <w:pPr>
        <w:jc w:val="center"/>
        <w:ind w:right="9059"/>
        <w:spacing w:after="0" w:line="237" w:lineRule="auto"/>
        <w:rPr>
          <w:sz w:val="20"/>
          <w:szCs w:val="20"/>
          <w:color w:val="auto"/>
        </w:rPr>
      </w:pPr>
      <w:r>
        <w:rPr>
          <w:rFonts w:ascii="Courier New" w:cs="Courier New" w:eastAsia="Courier New" w:hAnsi="Courier New"/>
          <w:sz w:val="18"/>
          <w:szCs w:val="18"/>
          <w:color w:val="auto"/>
        </w:rPr>
        <w:t>Type # of</w:t>
      </w:r>
    </w:p>
    <w:p>
      <w:pPr>
        <w:jc w:val="center"/>
        <w:ind w:right="9059"/>
        <w:spacing w:after="0" w:line="238" w:lineRule="auto"/>
        <w:rPr>
          <w:sz w:val="20"/>
          <w:szCs w:val="20"/>
          <w:color w:val="auto"/>
        </w:rPr>
      </w:pPr>
      <w:r>
        <w:rPr>
          <w:rFonts w:ascii="Courier New" w:cs="Courier New" w:eastAsia="Courier New" w:hAnsi="Courier New"/>
          <w:sz w:val="18"/>
          <w:szCs w:val="18"/>
          <w:color w:val="auto"/>
        </w:rPr>
        <w:t>shares</w:t>
      </w:r>
    </w:p>
    <w:p>
      <w:pPr>
        <w:jc w:val="center"/>
        <w:ind w:right="9059"/>
        <w:spacing w:after="0"/>
        <w:rPr>
          <w:sz w:val="20"/>
          <w:szCs w:val="20"/>
          <w:color w:val="auto"/>
        </w:rPr>
      </w:pPr>
      <w:r>
        <w:rPr>
          <w:rFonts w:ascii="Courier New" w:cs="Courier New" w:eastAsia="Courier New" w:hAnsi="Courier New"/>
          <w:sz w:val="18"/>
          <w:szCs w:val="18"/>
          <w:color w:val="auto"/>
        </w:rPr>
        <w:t>Price</w:t>
      </w:r>
    </w:p>
    <w:p>
      <w:pPr>
        <w:jc w:val="center"/>
        <w:ind w:right="9059"/>
        <w:spacing w:after="0" w:line="237" w:lineRule="auto"/>
        <w:rPr>
          <w:sz w:val="20"/>
          <w:szCs w:val="20"/>
          <w:color w:val="auto"/>
        </w:rPr>
      </w:pPr>
      <w:r>
        <w:rPr>
          <w:rFonts w:ascii="Courier New" w:cs="Courier New" w:eastAsia="Courier New" w:hAnsi="Courier New"/>
          <w:sz w:val="18"/>
          <w:szCs w:val="18"/>
          <w:color w:val="auto"/>
        </w:rPr>
        <w:t>Where/how</w:t>
      </w:r>
    </w:p>
    <w:p>
      <w:pPr>
        <w:spacing w:after="0" w:line="5"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transaction</w:t>
      </w:r>
    </w:p>
    <w:p>
      <w:pPr>
        <w:spacing w:after="0" w:line="16"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8"/>
          <w:szCs w:val="18"/>
          <w:color w:val="auto"/>
        </w:rPr>
        <w:t>effected -</w:t>
      </w:r>
    </w:p>
    <w:p>
      <w:pPr>
        <w:ind w:left="60"/>
        <w:spacing w:after="0" w:line="238" w:lineRule="auto"/>
        <w:rPr>
          <w:sz w:val="20"/>
          <w:szCs w:val="20"/>
          <w:color w:val="auto"/>
        </w:rPr>
      </w:pPr>
      <w:r>
        <w:rPr>
          <w:rFonts w:ascii="Courier New" w:cs="Courier New" w:eastAsia="Courier New" w:hAnsi="Courier New"/>
          <w:sz w:val="18"/>
          <w:szCs w:val="18"/>
          <w:color w:val="auto"/>
        </w:rPr>
        <w:t>-------- -</w:t>
      </w:r>
    </w:p>
    <w:p>
      <w:pPr>
        <w:ind w:left="480" w:hanging="425"/>
        <w:spacing w:after="0"/>
        <w:tabs>
          <w:tab w:leader="none" w:pos="480"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80" w:hanging="425"/>
        <w:spacing w:after="0" w:line="238" w:lineRule="auto"/>
        <w:tabs>
          <w:tab w:leader="none" w:pos="480"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11/09/04</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buy 9,500</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35.90 open</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market</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ITEM 6. CONTRACTS, ARRANGEMENTS, UNDERSTANDINGS OR RELATIONSHIPS WITH RESPECT TO SECURITIES OF THE ISSUER.</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MATERIAL TO BE FILED AS EXHIBITS.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NOVEMBER 18, 2004</w:t>
      </w:r>
    </w:p>
    <w:p>
      <w:pPr>
        <w:ind w:left="220" w:hanging="212"/>
        <w:spacing w:after="0" w:line="238" w:lineRule="auto"/>
        <w:tabs>
          <w:tab w:leader="none" w:pos="22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/S/ Richard A. Kayne</w:t>
      </w:r>
    </w:p>
    <w:p>
      <w:pPr>
        <w:ind w:left="220" w:hanging="212"/>
        <w:spacing w:after="0" w:line="238" w:lineRule="auto"/>
        <w:tabs>
          <w:tab w:leader="none" w:pos="22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Richard A. Kayne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KAYNE ANDERSON CAPITAL ADVISORS, L.P.</w:t>
      </w:r>
    </w:p>
    <w:p>
      <w:pPr>
        <w:sectPr>
          <w:pgSz w:w="11900" w:h="16838" w:orient="portrait"/>
          <w:cols w:equalWidth="0" w:num="1">
            <w:col w:w="10219"/>
          </w:cols>
          <w:pgMar w:left="240" w:top="919"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Kayne Anderson Investment Management, Inc.</w:t>
      </w:r>
    </w:p>
    <w:p>
      <w:pPr>
        <w:spacing w:after="0" w:line="200" w:lineRule="exact"/>
        <w:rPr>
          <w:sz w:val="20"/>
          <w:szCs w:val="20"/>
          <w:color w:val="auto"/>
        </w:rPr>
      </w:pPr>
    </w:p>
    <w:p>
      <w:pPr>
        <w:sectPr>
          <w:pgSz w:w="11900" w:h="16838" w:orient="portrait"/>
          <w:cols w:equalWidth="0" w:num="2">
            <w:col w:w="320" w:space="640"/>
            <w:col w:w="9259"/>
          </w:cols>
          <w:pgMar w:left="240" w:top="919" w:right="1440" w:bottom="1440" w:gutter="0" w:footer="0" w:header="0"/>
          <w:type w:val="continuous"/>
        </w:sectPr>
      </w:pPr>
    </w:p>
    <w:p>
      <w:pPr>
        <w:spacing w:after="0" w:line="226"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J. Shladovsky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David J. Shladovsky, Secretary</w:t>
      </w:r>
    </w:p>
    <w:p>
      <w:pPr>
        <w:sectPr>
          <w:pgSz w:w="11900" w:h="16838" w:orient="portrait"/>
          <w:cols w:equalWidth="0" w:num="2">
            <w:col w:w="1280" w:space="420"/>
            <w:col w:w="8519"/>
          </w:cols>
          <w:pgMar w:left="240" w:top="919" w:right="1440" w:bottom="1440" w:gutter="0" w:footer="0" w:header="0"/>
          <w:type w:val="continuous"/>
        </w:sectPr>
      </w:pPr>
    </w:p>
    <w:bookmarkStart w:id="6" w:name="page7"/>
    <w:bookmarkEnd w:id="6"/>
    <w:p>
      <w:pPr>
        <w:ind w:left="1580"/>
        <w:spacing w:after="0"/>
        <w:rPr>
          <w:sz w:val="20"/>
          <w:szCs w:val="20"/>
          <w:color w:val="auto"/>
        </w:rPr>
      </w:pPr>
      <w:r>
        <w:rPr>
          <w:rFonts w:ascii="Courier New" w:cs="Courier New" w:eastAsia="Courier New" w:hAnsi="Courier New"/>
          <w:sz w:val="18"/>
          <w:szCs w:val="18"/>
          <w:color w:val="auto"/>
        </w:rPr>
        <w:t>JOINT FILING AGREEMENT PURSUANT TO RULE 13d-1(f)(1)</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agreement is made pursuant to Rule 13d-1(f)(1) under the Securities Exchange Act of 1934 (the "Act") by and between the parties listed below, each referred to herein as a "Joint Filer." The Joint Filers agree that a statement of beneficial ownership as required by Section 13(d) of the Act and the Rules thereunder may be filed on each of their behalf on Schedule 13D or Schedule 13G, as appropriate, and that said joint filing may thereafter be amended by further joint filings. The Joint Filers state that they each satisfy the requirements for making a joint filing under Rule 13d-1.</w:t>
      </w:r>
    </w:p>
    <w:p>
      <w:pPr>
        <w:spacing w:after="0" w:line="207"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 Richard A. Kayne</w:t>
      </w:r>
    </w:p>
    <w:p>
      <w:pPr>
        <w:ind w:left="960"/>
        <w:spacing w:after="0" w:line="238" w:lineRule="auto"/>
        <w:rPr>
          <w:sz w:val="20"/>
          <w:szCs w:val="20"/>
          <w:color w:val="auto"/>
        </w:rPr>
      </w:pPr>
      <w:r>
        <w:rPr>
          <w:rFonts w:ascii="Courier New" w:cs="Courier New" w:eastAsia="Courier New" w:hAnsi="Courier New"/>
          <w:sz w:val="18"/>
          <w:szCs w:val="18"/>
          <w:color w:val="auto"/>
        </w:rPr>
        <w:t>---------------------------------------------------------</w:t>
      </w:r>
    </w:p>
    <w:p>
      <w:pPr>
        <w:ind w:left="960"/>
        <w:spacing w:after="0"/>
        <w:rPr>
          <w:sz w:val="20"/>
          <w:szCs w:val="20"/>
          <w:color w:val="auto"/>
        </w:rPr>
      </w:pPr>
      <w:r>
        <w:rPr>
          <w:rFonts w:ascii="Courier New" w:cs="Courier New" w:eastAsia="Courier New" w:hAnsi="Courier New"/>
          <w:sz w:val="18"/>
          <w:szCs w:val="18"/>
          <w:color w:val="auto"/>
        </w:rPr>
        <w:t>Richard A. Kayne</w:t>
      </w:r>
    </w:p>
    <w:p>
      <w:pPr>
        <w:spacing w:after="0" w:line="20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 David J. Shladovsky</w:t>
      </w:r>
    </w:p>
    <w:p>
      <w:pPr>
        <w:ind w:left="960"/>
        <w:spacing w:after="0" w:line="238" w:lineRule="auto"/>
        <w:rPr>
          <w:sz w:val="20"/>
          <w:szCs w:val="20"/>
          <w:color w:val="auto"/>
        </w:rPr>
      </w:pPr>
      <w:r>
        <w:rPr>
          <w:rFonts w:ascii="Courier New" w:cs="Courier New" w:eastAsia="Courier New" w:hAnsi="Courier New"/>
          <w:sz w:val="18"/>
          <w:szCs w:val="18"/>
          <w:color w:val="auto"/>
        </w:rPr>
        <w:t>---------------------------------------------------------</w:t>
      </w:r>
    </w:p>
    <w:p>
      <w:pPr>
        <w:ind w:left="960"/>
        <w:spacing w:after="0"/>
        <w:rPr>
          <w:sz w:val="20"/>
          <w:szCs w:val="20"/>
          <w:color w:val="auto"/>
        </w:rPr>
      </w:pPr>
      <w:r>
        <w:rPr>
          <w:rFonts w:ascii="Courier New" w:cs="Courier New" w:eastAsia="Courier New" w:hAnsi="Courier New"/>
          <w:sz w:val="18"/>
          <w:szCs w:val="18"/>
          <w:color w:val="auto"/>
        </w:rPr>
        <w:t>Kayne Anderson Capital Advisors, L.P., by</w:t>
      </w:r>
    </w:p>
    <w:p>
      <w:pPr>
        <w:ind w:left="960"/>
        <w:spacing w:after="0" w:line="237" w:lineRule="auto"/>
        <w:rPr>
          <w:sz w:val="20"/>
          <w:szCs w:val="20"/>
          <w:color w:val="auto"/>
        </w:rPr>
      </w:pPr>
      <w:r>
        <w:rPr>
          <w:rFonts w:ascii="Courier New" w:cs="Courier New" w:eastAsia="Courier New" w:hAnsi="Courier New"/>
          <w:sz w:val="18"/>
          <w:szCs w:val="18"/>
          <w:color w:val="auto"/>
        </w:rPr>
        <w:t>David J. Shladovsky, Secretary of</w:t>
      </w:r>
    </w:p>
    <w:p>
      <w:pPr>
        <w:ind w:left="960"/>
        <w:spacing w:after="0" w:line="238" w:lineRule="auto"/>
        <w:rPr>
          <w:sz w:val="20"/>
          <w:szCs w:val="20"/>
          <w:color w:val="auto"/>
        </w:rPr>
      </w:pPr>
      <w:r>
        <w:rPr>
          <w:rFonts w:ascii="Courier New" w:cs="Courier New" w:eastAsia="Courier New" w:hAnsi="Courier New"/>
          <w:sz w:val="18"/>
          <w:szCs w:val="18"/>
          <w:color w:val="auto"/>
        </w:rPr>
        <w:t>Kayne Anderson Investment Management, Inc.,</w:t>
      </w:r>
    </w:p>
    <w:p>
      <w:pPr>
        <w:ind w:left="960"/>
        <w:spacing w:after="0"/>
        <w:rPr>
          <w:sz w:val="20"/>
          <w:szCs w:val="20"/>
          <w:color w:val="auto"/>
        </w:rPr>
      </w:pPr>
      <w:r>
        <w:rPr>
          <w:rFonts w:ascii="Courier New" w:cs="Courier New" w:eastAsia="Courier New" w:hAnsi="Courier New"/>
          <w:sz w:val="18"/>
          <w:szCs w:val="18"/>
          <w:color w:val="auto"/>
        </w:rPr>
        <w:t>general partner</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lvl w:ilvl="1">
      <w:lvlJc w:val="left"/>
      <w:lvlText w:val="(%2)"/>
      <w:numFmt w:val="decimal"/>
      <w:start w:val="310"/>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1."/>
      <w:numFmt w:val="decimal"/>
      <w:start w:val="1"/>
    </w:lvl>
  </w:abstractNum>
  <w:abstractNum w:abstractNumId="6">
    <w:nsid w:val="7C83E458"/>
    <w:multiLevelType w:val="hybridMultilevel"/>
    <w:lvl w:ilvl="0">
      <w:lvlJc w:val="left"/>
      <w:lvlText w:val="%1."/>
      <w:numFmt w:val="decimal"/>
      <w:start w:val="2"/>
    </w:lvl>
    <w:lvl w:ilvl="1">
      <w:lvlJc w:val="left"/>
      <w:lvlText w:val="(%2)"/>
      <w:numFmt w:val="upperLetter"/>
      <w:start w:val="1"/>
    </w:lvl>
  </w:abstractNum>
  <w:abstractNum w:abstractNumId="7">
    <w:nsid w:val="257130A3"/>
    <w:multiLevelType w:val="hybridMultilevel"/>
    <w:lvl w:ilvl="0">
      <w:lvlJc w:val="left"/>
      <w:lvlText w:val="%1."/>
      <w:numFmt w:val="decimal"/>
      <w:start w:val="3"/>
    </w:lvl>
  </w:abstractNum>
  <w:abstractNum w:abstractNumId="8">
    <w:nsid w:val="62BBD95A"/>
    <w:multiLevelType w:val="hybridMultilevel"/>
    <w:lvl w:ilvl="0">
      <w:lvlJc w:val="left"/>
      <w:lvlText w:val="%1."/>
      <w:numFmt w:val="decimal"/>
      <w:start w:val="4"/>
    </w:lvl>
  </w:abstractNum>
  <w:abstractNum w:abstractNumId="9">
    <w:nsid w:val="436C6125"/>
    <w:multiLevelType w:val="hybridMultilevel"/>
    <w:lvl w:ilvl="0">
      <w:lvlJc w:val="left"/>
      <w:lvlText w:val="%1."/>
      <w:numFmt w:val="decimal"/>
      <w:start w:val="5"/>
    </w:lvl>
  </w:abstractNum>
  <w:abstractNum w:abstractNumId="10">
    <w:nsid w:val="628C895D"/>
    <w:multiLevelType w:val="hybridMultilevel"/>
    <w:lvl w:ilvl="0">
      <w:lvlJc w:val="left"/>
      <w:lvlText w:val="-"/>
      <w:numFmt w:val="bullet"/>
      <w:start w:val="1"/>
    </w:lvl>
    <w:lvl w:ilvl="1">
      <w:lvlJc w:val="left"/>
      <w:lvlText w:val="["/>
      <w:numFmt w:val="bullet"/>
      <w:start w:val="1"/>
    </w:lvl>
  </w:abstractNum>
  <w:abstractNum w:abstractNumId="11">
    <w:nsid w:val="333AB105"/>
    <w:multiLevelType w:val="hybridMultilevel"/>
    <w:lvl w:ilvl="0">
      <w:lvlJc w:val="left"/>
      <w:lvlText w:val="%1."/>
      <w:numFmt w:val="decimal"/>
      <w:start w:val="6"/>
    </w:lvl>
  </w:abstractNum>
  <w:abstractNum w:abstractNumId="12">
    <w:nsid w:val="721DA317"/>
    <w:multiLevelType w:val="hybridMultilevel"/>
    <w:lvl w:ilvl="0">
      <w:lvlJc w:val="left"/>
      <w:lvlText w:val="%1."/>
      <w:numFmt w:val="decimal"/>
      <w:start w:val="11"/>
    </w:lvl>
  </w:abstractNum>
  <w:abstractNum w:abstractNumId="13">
    <w:nsid w:val="2443A858"/>
    <w:multiLevelType w:val="hybridMultilevel"/>
    <w:lvl w:ilvl="0">
      <w:lvlJc w:val="left"/>
      <w:lvlText w:val="%1."/>
      <w:numFmt w:val="decimal"/>
      <w:start w:val="12"/>
    </w:lvl>
  </w:abstractNum>
  <w:abstractNum w:abstractNumId="14">
    <w:nsid w:val="2D1D5AE9"/>
    <w:multiLevelType w:val="hybridMultilevel"/>
    <w:lvl w:ilvl="0">
      <w:lvlJc w:val="left"/>
      <w:lvlText w:val="%1."/>
      <w:numFmt w:val="decimal"/>
      <w:start w:val="13"/>
    </w:lvl>
  </w:abstractNum>
  <w:abstractNum w:abstractNumId="15">
    <w:nsid w:val="6763845E"/>
    <w:multiLevelType w:val="hybridMultilevel"/>
    <w:lvl w:ilvl="0">
      <w:lvlJc w:val="left"/>
      <w:lvlText w:val="%1."/>
      <w:numFmt w:val="decimal"/>
      <w:start w:val="14"/>
    </w:lvl>
  </w:abstractNum>
  <w:abstractNum w:abstractNumId="16">
    <w:nsid w:val="75A2A8D4"/>
    <w:multiLevelType w:val="hybridMultilevel"/>
    <w:lvl w:ilvl="0">
      <w:lvlJc w:val="left"/>
      <w:lvlText w:val="%1."/>
      <w:numFmt w:val="decimal"/>
      <w:start w:val="2"/>
    </w:lvl>
    <w:lvl w:ilvl="1">
      <w:lvlJc w:val="left"/>
      <w:lvlText w:val="(%2)"/>
      <w:numFmt w:val="upperLetter"/>
      <w:start w:val="1"/>
    </w:lvl>
  </w:abstractNum>
  <w:abstractNum w:abstractNumId="17">
    <w:nsid w:val="8EDBDAB"/>
    <w:multiLevelType w:val="hybridMultilevel"/>
    <w:lvl w:ilvl="0">
      <w:lvlJc w:val="left"/>
      <w:lvlText w:val="%1."/>
      <w:numFmt w:val="decimal"/>
      <w:start w:val="3"/>
    </w:lvl>
  </w:abstractNum>
  <w:abstractNum w:abstractNumId="18">
    <w:nsid w:val="79838CB2"/>
    <w:multiLevelType w:val="hybridMultilevel"/>
    <w:lvl w:ilvl="0">
      <w:lvlJc w:val="left"/>
      <w:lvlText w:val="%1."/>
      <w:numFmt w:val="decimal"/>
      <w:start w:val="4"/>
    </w:lvl>
  </w:abstractNum>
  <w:abstractNum w:abstractNumId="19">
    <w:nsid w:val="4353D0CD"/>
    <w:multiLevelType w:val="hybridMultilevel"/>
    <w:lvl w:ilvl="0">
      <w:lvlJc w:val="left"/>
      <w:lvlText w:val="%1."/>
      <w:numFmt w:val="decimal"/>
      <w:start w:val="5"/>
    </w:lvl>
  </w:abstractNum>
  <w:abstractNum w:abstractNumId="20">
    <w:nsid w:val="B03E0C6"/>
    <w:multiLevelType w:val="hybridMultilevel"/>
    <w:lvl w:ilvl="0">
      <w:lvlJc w:val="left"/>
      <w:lvlText w:val="-"/>
      <w:numFmt w:val="bullet"/>
      <w:start w:val="1"/>
    </w:lvl>
    <w:lvl w:ilvl="1">
      <w:lvlJc w:val="left"/>
      <w:lvlText w:val="["/>
      <w:numFmt w:val="bullet"/>
      <w:start w:val="1"/>
    </w:lvl>
  </w:abstractNum>
  <w:abstractNum w:abstractNumId="21">
    <w:nsid w:val="189A769B"/>
    <w:multiLevelType w:val="hybridMultilevel"/>
    <w:lvl w:ilvl="0">
      <w:lvlJc w:val="left"/>
      <w:lvlText w:val="%1."/>
      <w:numFmt w:val="decimal"/>
      <w:start w:val="6"/>
    </w:lvl>
  </w:abstractNum>
  <w:abstractNum w:abstractNumId="22">
    <w:nsid w:val="54E49EB4"/>
    <w:multiLevelType w:val="hybridMultilevel"/>
    <w:lvl w:ilvl="0">
      <w:lvlJc w:val="left"/>
      <w:lvlText w:val="%1."/>
      <w:numFmt w:val="decimal"/>
      <w:start w:val="11"/>
    </w:lvl>
  </w:abstractNum>
  <w:abstractNum w:abstractNumId="23">
    <w:nsid w:val="71F32454"/>
    <w:multiLevelType w:val="hybridMultilevel"/>
    <w:lvl w:ilvl="0">
      <w:lvlJc w:val="left"/>
      <w:lvlText w:val="%1."/>
      <w:numFmt w:val="decimal"/>
      <w:start w:val="12"/>
    </w:lvl>
  </w:abstractNum>
  <w:abstractNum w:abstractNumId="24">
    <w:nsid w:val="2CA88611"/>
    <w:multiLevelType w:val="hybridMultilevel"/>
    <w:lvl w:ilvl="0">
      <w:lvlJc w:val="left"/>
      <w:lvlText w:val="%1."/>
      <w:numFmt w:val="decimal"/>
      <w:start w:val="13"/>
    </w:lvl>
  </w:abstractNum>
  <w:abstractNum w:abstractNumId="25">
    <w:nsid w:val="836C40E"/>
    <w:multiLevelType w:val="hybridMultilevel"/>
    <w:lvl w:ilvl="0">
      <w:lvlJc w:val="left"/>
      <w:lvlText w:val="%1."/>
      <w:numFmt w:val="decimal"/>
      <w:start w:val="14"/>
    </w:lvl>
  </w:abstractNum>
  <w:abstractNum w:abstractNumId="26">
    <w:nsid w:val="2901D82"/>
    <w:multiLevelType w:val="hybridMultilevel"/>
    <w:lvl w:ilvl="0">
      <w:lvlJc w:val="left"/>
      <w:lvlText w:val="%1."/>
      <w:numFmt w:val="lowerLetter"/>
      <w:start w:val="1"/>
    </w:lvl>
  </w:abstractNum>
  <w:abstractNum w:abstractNumId="27">
    <w:nsid w:val="3A95F874"/>
    <w:multiLevelType w:val="hybridMultilevel"/>
    <w:lvl w:ilvl="0">
      <w:lvlJc w:val="left"/>
      <w:lvlText w:val="%1."/>
      <w:numFmt w:val="lowerLetter"/>
      <w:start w:val="4"/>
    </w:lvl>
  </w:abstractNum>
  <w:abstractNum w:abstractNumId="28">
    <w:nsid w:val="8138641"/>
    <w:multiLevelType w:val="hybridMultilevel"/>
    <w:lvl w:ilvl="0">
      <w:lvlJc w:val="left"/>
      <w:lvlText w:val="%1."/>
      <w:numFmt w:val="lowerLetter"/>
      <w:start w:val="3"/>
    </w:lvl>
    <w:lvl w:ilvl="1">
      <w:lvlJc w:val="left"/>
      <w:lvlText w:val="---"/>
      <w:numFmt w:val="bullet"/>
      <w:start w:val="1"/>
    </w:lvl>
  </w:abstractNum>
  <w:abstractNum w:abstractNumId="29">
    <w:nsid w:val="1E7FF521"/>
    <w:multiLevelType w:val="hybridMultilevel"/>
    <w:lvl w:ilvl="0">
      <w:lvlJc w:val="left"/>
      <w:lvlText w:val="-"/>
      <w:numFmt w:val="bullet"/>
      <w:start w:val="1"/>
    </w:lvl>
  </w:abstractNum>
  <w:abstractNum w:abstractNumId="30">
    <w:nsid w:val="7C3DBD3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2019-12-16T11:52:23Z</dcterms:created>
  <dcterms:modified xsi:type="dcterms:W3CDTF">2019-12-16T11:52:23Z</dcterms:modified>
</cp:coreProperties>
</file>