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6712-3_s3asr.htm"/>
        <w:bookmarkStart w:id="1" w:name="kstm2667123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Securities and Exchange Commission on March 30, 2026</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18" w:after="283"/>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2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0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10"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4"/>
          <w:sz w:val="19"/>
        </w:rPr>
        <w:t xml:space="preserve"> </w:t>
      </w:r>
    </w:p>
    <w:p>
      <w:pPr>
        <w:pStyle w:val="TextBody"/>
        <w:bidi w:val="0"/>
        <w:spacing w:before="9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4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00" w:before="18"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UNDER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THE SECURITIES ACT OF 1933</w:t>
      </w:r>
      <w:r>
        <w:rPr>
          <w:rFonts w:ascii="Times New Roman;Times;serif" w:hAnsi="Times New Roman;Times;serif"/>
          <w:b/>
          <w:i w:val="false"/>
          <w:caps w:val="false"/>
          <w:smallCaps w:val="false"/>
          <w:color w:val="000000"/>
          <w:spacing w:val="4"/>
          <w:sz w:val="19"/>
        </w:rPr>
        <w:t xml:space="preserve"> </w:t>
      </w:r>
    </w:p>
    <w:p>
      <w:pPr>
        <w:pStyle w:val="TextBody"/>
        <w:bidi w:val="0"/>
        <w:spacing w:before="9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4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PLAINS GP HOLDINGS, L.P.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tbl>
      <w:tblPr>
        <w:tblW w:w="5505" w:type="dxa"/>
        <w:jc w:val="left"/>
        <w:tblInd w:w="540" w:type="dxa"/>
        <w:tblLayout w:type="fixed"/>
        <w:tblCellMar>
          <w:top w:w="0" w:type="dxa"/>
          <w:left w:w="0" w:type="dxa"/>
          <w:bottom w:w="0" w:type="dxa"/>
          <w:right w:w="0" w:type="dxa"/>
        </w:tblCellMar>
      </w:tblPr>
      <w:tblGrid>
        <w:gridCol w:w="124"/>
        <w:gridCol w:w="3058"/>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80" w:before="38"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9"/>
              </w:rPr>
            </w:pPr>
            <w:r>
              <w:rPr>
                <w:b/>
                <w:spacing w:val="-4"/>
                <w:sz w:val="19"/>
              </w:rPr>
              <w:t>90-1005472</w:t>
            </w:r>
            <w:r>
              <w:rPr>
                <w:b/>
                <w:sz w:val="19"/>
              </w:rPr>
              <w:t xml:space="preserve"> </w:t>
            </w:r>
          </w:p>
          <w:p>
            <w:pPr>
              <w:pStyle w:val="TableContents"/>
              <w:bidi w:val="0"/>
              <w:spacing w:lineRule="atLeast" w:line="180" w:before="38" w:after="283"/>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58"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333 Clay Street, Suite 1600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Houston, Texas 77002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(713) 646-4100</w:t>
      </w:r>
      <w:r>
        <w:rPr>
          <w:rFonts w:ascii="Times New Roman;Times;serif" w:hAnsi="Times New Roman;Times;serif"/>
          <w:b/>
          <w:i w:val="false"/>
          <w:caps w:val="false"/>
          <w:smallCaps w:val="false"/>
          <w:color w:val="000000"/>
          <w:sz w:val="19"/>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Richard McGee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Executive Vice President, General Counsel and Secretary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333 Clay Street, Suite 1600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Houston, Texas 77002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(713) 646-4100</w:t>
      </w:r>
      <w:r>
        <w:rPr>
          <w:rFonts w:ascii="Times New Roman;Times;serif" w:hAnsi="Times New Roman;Times;serif"/>
          <w:b/>
          <w:i w:val="false"/>
          <w:caps w:val="false"/>
          <w:smallCaps w:val="false"/>
          <w:color w:val="000000"/>
          <w:sz w:val="19"/>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Copies to:</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 xml:space="preserve">David P. Oelman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Scott D. Rubinsky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Vinson &amp; Elkins L.L.P.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845 Texas Avenue, Suite 4700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Houston, Texas 77002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(713) 758-2222</w:t>
      </w:r>
      <w:r>
        <w:rPr>
          <w:rFonts w:ascii="Times New Roman;Times;serif" w:hAnsi="Times New Roman;Times;serif"/>
          <w:b/>
          <w:i w:val="false"/>
          <w:caps w:val="false"/>
          <w:smallCaps w:val="false"/>
          <w:color w:val="000000"/>
          <w:spacing w:val="4"/>
          <w:sz w:val="19"/>
        </w:rPr>
        <w:t xml:space="preserve"> </w:t>
      </w:r>
    </w:p>
    <w:p>
      <w:pPr>
        <w:pStyle w:val="TextBody"/>
        <w:bidi w:val="0"/>
        <w:spacing w:before="9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8"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Approximate date of commencement of proposed sale to the public:</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From time to time after the effective date of this registration statement.</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the only securities being registered on this Form are being offered pursuant to dividend or interest reinvestment plans, please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68" w:type="dxa"/>
        <w:jc w:val="left"/>
        <w:tblInd w:w="540" w:type="dxa"/>
        <w:tblLayout w:type="fixed"/>
        <w:tblCellMar>
          <w:top w:w="0" w:type="dxa"/>
          <w:left w:w="0" w:type="dxa"/>
          <w:bottom w:w="0" w:type="dxa"/>
          <w:right w:w="0" w:type="dxa"/>
        </w:tblCellMar>
      </w:tblPr>
      <w:tblGrid>
        <w:gridCol w:w="124"/>
        <w:gridCol w:w="22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9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2192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9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52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9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9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2192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9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5240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9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5240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9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03"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505075" cy="5524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50507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4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Class A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Representing Limited Partner Interests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3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Class A shares representing limited partner interests (“Class A shares”) in Plains GP Holdings, L.P., a Delaware limited partnership, from time to time in one or more offerings and in amounts, at prices and on terms to be determined by market conditions and other factors at the time of our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Class A shares to or through one or more underwriters, dealers or agents, or directly to purchasers, on a continuous or delayed basis. 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shares are listed on the Nasdaq Global Select Market (“NASDAQ”) under the symbol “PAGP.”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before you make an investment in our Class A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(the “SEC”) nor any state securities commission has approved or disapproved of the Class A shares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March 30,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845" w:type="dxa"/>
        <w:jc w:val="left"/>
        <w:tblInd w:w="1393" w:type="dxa"/>
        <w:tblLayout w:type="fixed"/>
        <w:tblCellMar>
          <w:top w:w="0" w:type="dxa"/>
          <w:left w:w="0" w:type="dxa"/>
          <w:bottom w:w="28" w:type="dxa"/>
          <w:right w:w="0" w:type="dxa"/>
        </w:tblCellMar>
      </w:tblPr>
      <w:tblGrid>
        <w:gridCol w:w="6736"/>
        <w:gridCol w:w="109"/>
        <w:gridCol w:w="109"/>
        <w:gridCol w:w="109"/>
        <w:gridCol w:w="109"/>
        <w:gridCol w:w="410"/>
        <w:gridCol w:w="109"/>
        <w:gridCol w:w="154"/>
      </w:tblGrid>
      <w:tr>
        <w:trPr/>
        <w:tc>
          <w:tcPr>
            <w:tcW w:w="67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iii</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FOST">
              <w:r>
                <w:rPr>
                  <w:rStyle w:val="InternetLink"/>
                  <w:spacing w:val="4"/>
                </w:rPr>
                <w:t>iv</w:t>
              </w:r>
            </w:hyperlink>
            <w:hyperlink w:anchor="t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APGH">
              <w:r>
                <w:rPr>
                  <w:rStyle w:val="InternetLink"/>
                  <w:spacing w:val="4"/>
                </w:rPr>
                <w:t xml:space="preserve">About Plains GP Holdings, L.P.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PGH">
              <w:r>
                <w:rPr>
                  <w:rStyle w:val="InternetLink"/>
                  <w:spacing w:val="4"/>
                </w:rPr>
                <w:t>1</w:t>
              </w:r>
            </w:hyperlink>
            <w:hyperlink w:anchor="tAPG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DOOS">
              <w:r>
                <w:rPr>
                  <w:rStyle w:val="InternetLink"/>
                  <w:spacing w:val="4"/>
                </w:rPr>
                <w:t xml:space="preserve">Description of Our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OS">
              <w:r>
                <w:rPr>
                  <w:rStyle w:val="InternetLink"/>
                  <w:spacing w:val="4"/>
                </w:rPr>
                <w:t>4</w:t>
              </w:r>
            </w:hyperlink>
            <w:hyperlink w:anchor="tDO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MUFI">
              <w:r>
                <w:rPr>
                  <w:rStyle w:val="InternetLink"/>
                  <w:spacing w:val="4"/>
                </w:rPr>
                <w:t>5</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IIPG">
              <w:r>
                <w:rPr>
                  <w:rStyle w:val="InternetLink"/>
                  <w:spacing w:val="4"/>
                </w:rPr>
                <w:t xml:space="preserve">Investment in Plains GP Holdings, L.P. by Employee Benefit Plans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IPG">
              <w:r>
                <w:rPr>
                  <w:rStyle w:val="InternetLink"/>
                  <w:spacing w:val="4"/>
                </w:rPr>
                <w:t>11</w:t>
              </w:r>
            </w:hyperlink>
            <w:hyperlink w:anchor="tIIP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OD">
              <w:r>
                <w:rPr>
                  <w:rStyle w:val="InternetLink"/>
                  <w:spacing w:val="4"/>
                </w:rPr>
                <w:t>13</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36"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15</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36"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XP">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making your investment decision, 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hereto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information in this prospectus is not complete. You should not assume that the information contained in this prospectus is accurate as of any date other than the date on the front cover of this prospectus. You should not assume that the information contained in the documents incorporated by reference into this prospectus is accurate as of any date other than the respective dates of those documents. Our business, financial condition, results of operations and prospects may have changed since those dates. You should review carefully all of the detailed information appearing in this prospectus, any prospectus supplement, any free writing prospectus relating to this offering and the documents we have incorporated by reference before making any investment decision.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 utilizing a “shelf” registration process. Under this shelf registration process, we may, over time, offer and sell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WYC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 13(a), 13(c), 14 or 15(d) of the Securities Exchange Act of 1934, as amended (the “Exchange Act”) (excluding, in each case, any information furnished rather than filed), until all offerings under the registration statement and the prospectus are completed or terminated: </w:t>
      </w:r>
    </w:p>
    <w:p>
      <w:pPr>
        <w:pStyle w:val="TextBody"/>
        <w:bidi w:val="0"/>
        <w:spacing w:lineRule="atLeast" w:line="240" w:before="120" w:after="0"/>
        <w:ind w:left="1993" w:right="0" w:hanging="0"/>
        <w:jc w:val="left"/>
        <w:rPr/>
      </w:pPr>
      <w:hyperlink r:id="rId3">
        <w:r>
          <w:rPr>
            <w:rStyle w:val="InternetLink"/>
          </w:rPr>
          <w:t>our 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 on Form 8-K/A filed on </w:t>
      </w:r>
      <w:hyperlink r:id="rId4">
        <w:r>
          <w:rPr>
            <w:rStyle w:val="InternetLink"/>
          </w:rPr>
          <w:t>January 16, 2026</w:t>
        </w:r>
      </w:hyperlink>
      <w:r>
        <w:rPr>
          <w:rFonts w:ascii="Times New Roman;Times;serif" w:hAnsi="Times New Roman;Times;serif"/>
          <w:b w:val="false"/>
          <w:i w:val="false"/>
          <w:caps w:val="false"/>
          <w:smallCaps w:val="false"/>
          <w:color w:val="000000"/>
          <w:spacing w:val="4"/>
          <w:sz w:val="20"/>
        </w:rPr>
        <w:t xml:space="preserve"> and our Current Report on Form 8-K filed on </w:t>
      </w:r>
      <w:hyperlink r:id="rId5">
        <w:r>
          <w:rPr>
            <w:rStyle w:val="InternetLink"/>
          </w:rPr>
          <w:t>March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information specifically incorporated by reference into our </w:t>
      </w:r>
      <w:hyperlink r:id="rId6">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from </w:t>
      </w:r>
      <w:hyperlink r:id="rId7">
        <w:r>
          <w:rPr>
            <w:rStyle w:val="InternetLink"/>
          </w:rPr>
          <w:t>our proxy statement on Schedule 14A filed on April 11,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Class A shares contained in </w:t>
      </w:r>
      <w:hyperlink r:id="rId8">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2025, </w:t>
      </w:r>
      <w:hyperlink r:id="rId9">
        <w:r>
          <w:rPr>
            <w:rStyle w:val="InternetLink"/>
          </w:rPr>
          <w:t>Form 8-A/A filed on November 16, 2016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Form 8-A filed on December 11, 2020</w:t>
        </w:r>
      </w:hyperlink>
      <w:r>
        <w:rPr>
          <w:rFonts w:ascii="Times New Roman;Times;serif" w:hAnsi="Times New Roman;Times;serif"/>
          <w:b w:val="false"/>
          <w:i w:val="false"/>
          <w:caps w:val="false"/>
          <w:smallCaps w:val="false"/>
          <w:color w:val="000000"/>
          <w:spacing w:val="4"/>
          <w:sz w:val="20"/>
        </w:rPr>
        <w:t xml:space="preserve">, and any subsequent amendment or report filed for the purpose of updating such description.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any document incorporated by reference into this prospectus and any exhibit specifically incorporated by reference in those documents, at no cost, by writing or telephoning us at the following address or 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GP Holdings,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FO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receipt of, and amounts of, distributions from Plains AAP, L.P. (“AAP”), and the effect thereof on our ability to pay distributions to our Class A shareholders;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sale of all of the issued and outstanding shares of Plains Midstream Canada ULC, Plains All American Pipeline, L.P.’s (“PAA”) wholly-owned subsidiary that owns substantially all of PAA’s natural gas liquids (“NGL”) business in Canada (the “Canadian NGL Business divestiture”),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NGL and resulting changes in pricing conditions or transportation throughput requirements;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and NGL market structure, grade differentials and volatility (or lack thereof);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PAA’s ability to consummate, acquisitions, divestitures, joint ventures or other strategic opportunities and realize benefits therefrom, including the Canadian NGL Business divestiture;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PAA enters into from time to time, whether relating to assets operated by PAA or by third parties, and the successful integration and future performance of acquired assets or businesses;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0" distB="0" distL="254000" distR="0" simplePos="0" locked="0" layoutInCell="1" allowOverlap="1" relativeHeight="27">
                <wp:simplePos x="0" y="0"/>
                <wp:positionH relativeFrom="column">
                  <wp:align>left</wp:align>
                </wp:positionH>
                <wp:positionV relativeFrom="line">
                  <wp:posOffset>635</wp:posOffset>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hurricanes, floods, wildfires and drought);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or other infrastructure and its impact on expected crude oil production growth in the Permian Basin;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NGL and other petroleum products, which may impair our ability to execute our commercial or hedging strategies;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PAA’s credit ratings and ability to receive open credit from our suppliers and trade counterparties;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realize anticipated benefits from operational and organizational streamlining and efficiency efforts and initiatives;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0" distB="0" distL="254000" distR="0" simplePos="0" locked="0" layoutInCell="1" allowOverlap="1" relativeHeight="45">
                <wp:simplePos x="0" y="0"/>
                <wp:positionH relativeFrom="column">
                  <wp:align>left</wp:align>
                </wp:positionH>
                <wp:positionV relativeFrom="line">
                  <wp:posOffset>635</wp:posOffset>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deferral of current revenue recognition attributable to deficiency payments received from customers who fail to ship or move their minimum contracted volumes;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PAA’s units at the time of vesting under its long-term incentive plans;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and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crude oil, as well as in the processing, transportation, fractionation, storage and marketing of NGL.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Other factors described or incorporated by reference herein, as well as factors that are unknown or unpredictable, could also have a material adverse effect on future results. See “Risk Factors” beginning on page </w:t>
      </w:r>
      <w:hyperlink w:anchor="tRIFA">
        <w:r>
          <w:rPr>
            <w:rStyle w:val="InternetLink"/>
          </w:rPr>
          <w:t>2</w:t>
        </w:r>
      </w:hyperlink>
      <w:r>
        <w:rPr>
          <w:rFonts w:ascii="Times New Roman;Times;serif" w:hAnsi="Times New Roman;Times;serif"/>
          <w:b w:val="false"/>
          <w:i w:val="false"/>
          <w:caps w:val="false"/>
          <w:smallCaps w:val="false"/>
          <w:color w:val="000000"/>
          <w:spacing w:val="4"/>
          <w:sz w:val="20"/>
        </w:rPr>
        <w:t xml:space="preserve"> of this prospectus and in Item 1A. “Risk Factors” in our </w:t>
      </w:r>
      <w:hyperlink r:id="rId11">
        <w:r>
          <w:rPr>
            <w:rStyle w:val="InternetLink"/>
          </w:rPr>
          <w:t>Annual Report on Form 10-K for the year ended December 31, 2025 (File No. 001-36132)</w:t>
        </w:r>
      </w:hyperlink>
      <w:r>
        <w:rPr>
          <w:rFonts w:ascii="Times New Roman;Times;serif" w:hAnsi="Times New Roman;Times;serif"/>
          <w:b w:val="false"/>
          <w:i w:val="false"/>
          <w:caps w:val="false"/>
          <w:smallCaps w:val="false"/>
          <w:color w:val="000000"/>
          <w:spacing w:val="4"/>
          <w:sz w:val="20"/>
        </w:rPr>
        <w:t xml:space="preserve"> and in any of our subsequent quarterly or current 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APGH"/>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PLAINS GP HOLDINGS,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limited partnership formed in July 2013 that has elected to be taxed as a corporation for U.S. federal income tax purposes. We do not directly own any operating assets; as of December 31, 2025, our sole source of cash flow is derived from an indirect investment in PAA, a publicly traded Delaware limited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owned an approximate 85% limited partner interest in AAP through our ownership of approximately 197.9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2025, directly owned a limited partner interest in PAA through its ownership of approximately 233.0 million PAA common units (approximately 31% of PAA’s total outstanding common units and Series A preferred units combined). AAP is the sole member of PAA GP LLC (“PAA GP”), a Delaware limited liability company that directly holds the non-economic general partner interest in PAA.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NGL.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Canadian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prospectus, unless the context clearly indicates otherwise (taking into account the fact that we have no operating activities apart from those conducted by PAA and its subsidiaries), the terms “our,” “we,” “us,” “the Partnership” or “Plains GP Holdings, L.P.” refer to Plains GP Holdings, L.P., the registrant itself, or to Plains GP Holdings, L.P. and its consolidated subsidiaries collectively.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Executive Offices and Internet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333 Clay Street, Suite 1600, Houston, TX 77002 and our telephone number is (713) 646-4100. Our website is located at www.plains.com.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additional information about us, please refer to the documents set forth under “Where You Can Find More Information” in this prospectus, including our </w:t>
      </w:r>
      <w:hyperlink r:id="rId1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any of our subsequent quarterly reports or current reports, which are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Class A shares involves a high degree of risk. Before you invest in our Class A shares, you should carefully consider the risk factors included in Item 1A. “Risk Factors” in our </w:t>
      </w:r>
      <w:hyperlink r:id="rId13">
        <w:r>
          <w:rPr>
            <w:rStyle w:val="InternetLink"/>
          </w:rPr>
          <w:t>Annual Report on Form 10-K for the year ended December 31, 2025 (File No. 001-36132)</w:t>
        </w:r>
      </w:hyperlink>
      <w:r>
        <w:rPr>
          <w:rFonts w:ascii="Times New Roman;Times;serif" w:hAnsi="Times New Roman;Times;serif"/>
          <w:b w:val="false"/>
          <w:i w:val="false"/>
          <w:caps w:val="false"/>
          <w:smallCaps w:val="false"/>
          <w:color w:val="000000"/>
          <w:spacing w:val="4"/>
          <w:sz w:val="20"/>
        </w:rPr>
        <w:t xml:space="preserve"> and in any of our subsequent quarterly reports or current reports, which are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When we offer and sell any securities pursuant to a prospectus supplement, we may include additional risk factors relevant to such securities in the prospectus supplement. Please read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to the contrary in an accompanying prospectus supplement, we intend to use the net proceeds from the sale of securities covered by this prospectus for general partnership purposes, which may include, among other things, investment in the equity of PAA (acting through AAP as provided in the Omnibus Agreement entered into on November 15, 2016 with our general partner, GP LLC, AAP, PAA GP and PAA (the “Omnibus Agreement”)), repayment of indebtedness, acquisitions, capital expenditures and additions to working capital. Any specific allocation of the net proceeds of an offering of securities to a specific purpose will be determined at the time of the offering and will be described in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Omnibus Agreement, we have agreed to use the net proceeds from any sale of Class A shares to purchase from AAP a number of AAP Units equal to the number of Class A shares sold at a price equal to the net proceeds from such sale. The Omnibus Agreement also provides that immediately following such purchase and sale, AAP will use the net proceeds it receives from such sale of AAP Units to PAGP to purchase from PAA an equivalent number of common units of PAA.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O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Please see </w:t>
      </w:r>
      <w:hyperlink r:id="rId14">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to our Annual Report on Form 10-K for the year ended December 31, 2025 and our registration statement on </w:t>
      </w:r>
      <w:hyperlink r:id="rId15">
        <w:r>
          <w:rPr>
            <w:rStyle w:val="InternetLink"/>
          </w:rPr>
          <w:t>Form 8-A/A filed on November 16, 2016</w:t>
        </w:r>
      </w:hyperlink>
      <w:r>
        <w:rPr>
          <w:rFonts w:ascii="Times New Roman;Times;serif" w:hAnsi="Times New Roman;Times;serif"/>
          <w:b w:val="false"/>
          <w:i w:val="false"/>
          <w:caps w:val="false"/>
          <w:smallCaps w:val="false"/>
          <w:color w:val="000000"/>
          <w:spacing w:val="4"/>
          <w:sz w:val="20"/>
        </w:rPr>
        <w:t xml:space="preserve"> and </w:t>
      </w:r>
      <w:hyperlink r:id="rId16">
        <w:r>
          <w:rPr>
            <w:rStyle w:val="InternetLink"/>
          </w:rPr>
          <w:t>Form 8-A filed on December 11, 2020</w:t>
        </w:r>
      </w:hyperlink>
      <w:r>
        <w:rPr>
          <w:rFonts w:ascii="Times New Roman;Times;serif" w:hAnsi="Times New Roman;Times;serif"/>
          <w:b w:val="false"/>
          <w:i w:val="false"/>
          <w:caps w:val="false"/>
          <w:smallCaps w:val="false"/>
          <w:color w:val="000000"/>
          <w:spacing w:val="4"/>
          <w:sz w:val="20"/>
        </w:rPr>
        <w:t xml:space="preserve"> (together with any amendments thereto and the other documents incorporated by reference therein), which are incorporated by reference herein, for a description of our shares, our cash distribution policy and the Second Amended and Restated Agreement of Limited Partnership of Plains GP Holdings, L.P., dated as of November 15, 2016, as it may be amended or restated from time to time (our “partnership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MUF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cannot assure you that a change in law will not significantly alter the tax considerations that we describe in this summary. We have not sought any ruling from the Internal Revenue Service, or the IRS, with respect to the statements made and the conclusions reached in the following summary, and there can be no assurance that the IRS or a court will agree with such statements and conclusions. 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or other financial institutions;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 governmental organizations;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qualified foreign pension funds (or any entities all of the interests of which are held by a qualified foreign pension fund);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in securities or foreign currencies;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use the mark-to-market method of accounting for U.S. federal income tax purposes;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pass-through entities for U.S. federal income tax purposes or holders of interests therein;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Class A shares under the constructive sale provisions of the Code;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acquired our Class A shares through the exercise of employee stock options or otherwise as compensation or through a tax-qualified retirement plan;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former citizens or long-term residents of the United States;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or regulated investment companies; and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our Class A shares as part of a straddle, appreciated financial position, synthetic security, hedge, conversion transaction or other integrated investment or risk reduction transaction.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 ARE ENCOURAGED TO CONSULT YOUR TAX ADVISOR WITH RESPECT TO THE APPLICATION OF THE U.S. FEDERAL INCOME TAX LAWS (INCLUDING ANY POTENTIAL FUTURE CHANGES THERETO) TO YOUR PARTICULAR SITUATION, AS WELL AS ANY TAX CONSEQUENCES OF THE PURCHASE, OWNERSHIP AND DISPOSITION OF OUR CLASS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ARISING UNDER ANY OTHER TAX LAWS, INCLUDING THE U.S. FEDERAL ESTATE OR GIFT TAX LAWS OR UNDER THE LAWS OF ANY STATE, LOCAL, NON-U.S. OR OTHER TAXING JURISDICTION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Status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in this section is addressed to holders of our Class A shares who are U.S. holders for U.S. federal income tax purposes. For the purposes of this discussion, a “U.S. holder” is a beneficial owner of our Class A shares that, for U.S. federal income tax purposes, is: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tax basis adjustments with respect to our interest in the assets of AAP (and indirectly in PAA). Such adjustments have resulted in depreciation and amortization deductions that we anticipate will offset a substantial portion of our taxable income.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basis adjustments described above, we have not had sufficient earnings and profits for distributions made with respect to our Class A shares prior to our 2025 taxable year to qualify as dividends for U.S. federal income tax purposes. Further, we currently do not expect to have sufficient earnings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profits with respect to our 2025 taxable year for distributions made during our 2025 taxable year to qualify as dividends for U.S. federal income tax purposes. However, the income and gain that may be recognized by PAA in connection with the Canadian NGL Business divestiture may result in us having sufficient current earnings and profits for all or a portion of the distributions made with respect to our Class A shares during our 2026 taxable year to qualify as dividends for U.S. federal income tax purposes. For distributions made with respect to our Class A shares after our 2026 taxable year, it is anticipated that the basis adjustments described above will result in us not having sufficient earnings and profits for distributions on our Class A shares to qualify as dividends for U.S. federal income tax purposes for an extended period of time. If a distribution with respect to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Gain on Disposition of Class A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our Class A shares will constitute dividends for U.S. federal income tax purposes to the extent paid from our current or accumulated earnings and profits, as determined under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income tax principles. To the extent these distributions exceed our current and accumulated earnings and profits, the distributions will be treated as a non-taxable return of capital to the extent of the non-U.S. holder’s tax basis in our common stock and thereafter as a capital gain from the sale or exchange of such common stock. See “—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 Non-U.S. holders are encouraged to consult their tax advisors regarding the withholding rules applicable to distributions on our Class A shares, the requirement for claiming treaty benefits, and any procedures required to obtain a refund of any overwithheld amounts.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Gain on Disposition of Class A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Backup Withholding and Information Reporting,” a non-U.S. holder generally will not be subject to U.S. federal income or withholding tax on any gain realized upon the sale or other disposition of our Class A shares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a period or periods aggregating 183 days or more during the calendar year in which the sale or disposition occurs and certain other conditions are met; </w:t>
      </w:r>
      <w:r>
        <mc:AlternateContent>
          <mc:Choice Requires="wps">
            <w:drawing>
              <wp:anchor behindDoc="0" distT="787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shares constitute a United States real property interest by reason of our status as a USRPHC for U.S. federal income tax purposes and as a result such gain is treated as effectively connected with a trade or business conducted by the non-U.S. holder in the United States.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should consult their tax advisors with respect to the application of the foregoing rules to their ownership and disposition of our Class A shares, including regarding potentially applicable income tax treaties that may provide for different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Requirements under 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the U.S. Treasury regulations and administrative guidance issued thereunder (“FATCA”), impose a 30% withholding tax on “withholdable payments”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defined in the Code), including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CONSIDERING THE PURCHASE OF OUR CLASS A SHARES ARE URGED TO CONSULT THEIR OWN TAX ADVISORS REGARDING THE APPLICATION OF THE U.S. FEDERAL INCOME TAX LAWS (INCLUDING ANY POTENTIAL FUTURE CHANGES THERETO) TO THEIR PARTICULAR SITUATIONS AND THE APPLICABILITY AND EFFECT OF ANY OTHER TAX LAWS, INCLUDING U.S. FEDERAL ESTATE AND GIFT TAX LAWS AND ANY STATE, LOCAL OR NON-U.S. TAX LAWS AND TAX TREATIES.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IIPG"/>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INVESTMENT IN PLAINS GP HOLDINGS, L.P. BY EMPLOYEE BENEFIT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considerations associated with the acquisition and holding of our Class A shares by employee benefit plans that are subject to Title I of the Employee Retirement Income Security Act of 1974, as amended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on the provisions of ERISA and the Code (and related regulations and administrative and judicial interpretations) as of the date of this registration statement.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Fiduciary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investment in our Class A shares with a portion of the assets of any Plan, the fiduciaries of a Plan should determine whether such investment is authorized by the documents and instruments governing the Plan, the applicable provisions of ERISA, the Code or any Similar Laws relating to the fiduciary’s duties to the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consideration should be given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investment is prudent under Section 404(a)(1)(B) of ERISA and any applicable Similar Laws;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 making the investment, the ERISA Plan will satisfy the diversification requirements of Section 404(a)(1)(C) of ERISA and applicable Similar Laws;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investment will result in recognition of unrelated business taxable income by the Plan and, if so, the potential after-tax investment return;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investment is permitted under the terms of the applicable documents governing the Plan;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acquisition or holding of Class A shares will constitute a “prohibited transaction” under Section 406 of ERISA or Section 4975 of the Code (please see the discussion under “Plan Asset Issues” below); and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Plan will be considered to hold, as plan assets, (i) only our Class A shares or (ii) an undivided interest in our underlying assets (please see the discussion under “Plan Asset Issues” below).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Prohibited Transaction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406 of ERISA and Section 4975 of the Code prohibit ERISA Plans from engaging in specified transactions involving “plan assets” with parties that are “parties in interest” within the meaning of ERISA or “disqualified persons” within the meaning of Section 4975 of the Code with respect to the Plan, unless an exemption is available. A party in interest or disqualified person who engages in a non-exempt prohibited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 acquisition and/or holding of Class A shares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 foregoing, our Class A shares should not be acquired or held by any person investing “plan assets” of any Plan, unless such acquisition and holding will not constitute a non-exempt prohibited transaction under ERISA and the Code or a similar violation of any applicable Similar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Asset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considering whether the purchase of Class A shares is or could result in a prohibited transaction, a fiduciary of a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and the Department of Labor (the “DOL”) regulations provide guidance with respect to whether the assets of an entity in which ERISA Plans acquire equity interests would be deemed “plan assets” under certain circumstances. Under these rules, an entity’s assets generally would not be considered to be “plan assets” if,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interests acquired by ERISA Plans are “publicly offered securities” ​(as defined in the applicable DOL regulations); i.e., the equity interests are widely held by 100 or more investors independent of the issuer and each other, are “freely transferable” ​(as defined in the applicable DOL regulations) and registered under certain provisions of the federal securities laws or sold to the ERISA Plan as part of a public offering under certain circumstances;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entity is an “operating company” ​(as defined in the applicable DOL regulations); i.e., it is primarily engaged in the production or sale of a product or service other than the investment of capital either directly or through a majority-owned subsidiary or subsidiaries; or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significant investment by “benefit plan investors” ​(as defined in the applicable DOL regulations) ― i.e.,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complexity of these rules and the excise taxes, penalties and liabilities that may be imposed upon persons involved in non-exempt prohibited transactions, it is particularly important that fiduciaries, or other persons considering acquiring and/or holding shares of our Class A shares on behalf of, or with the assets of, any Plan, consult with their counsel regarding the potential applicability of ERISA, Section 4975 of the Code and any Similar Laws to such investment and whether an exemption would be applicable to the acquisition and holding of our Class A shares. Purchasers of our Class A shares have the exclusive responsibility for ensuring that their acquisition and holding of our Class A shares complies with the fiduciary responsibility rules of ERISA and does not violate the prohibited transaction rules of ERISA, the Code or applicable Similar Laws. The sale of our Class A shares to a Plan is in no respect a representation by us or any of our affiliates or representatives that such an investment meets all relevant legal requirements with respect to investments by any such Plan or that such investment is appropriate for any such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offer and sell the Class A shares offered by this prospectus by one or more of, or a combination of, the following methods: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for public offering and sale; </w:t>
      </w:r>
      <w:r>
        <mc:AlternateContent>
          <mc:Choice Requires="wps">
            <w:drawing>
              <wp:anchor behindDoc="0" distT="7239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broker-dealers who may act as agent or may purchase Class A shares as principal and thereafter resell the Class A shares from time to time; </w:t>
      </w:r>
      <w:r>
        <mc:AlternateContent>
          <mc:Choice Requires="wps">
            <w:drawing>
              <wp:anchor behindDoc="0" distT="7239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 through one or more transactions (which may involve crosses and block transactions) or distributions, including exchange distributions, distributions to beneficial owners and/or secondary distributions;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NASDAQ;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 transactions;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investors directly;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short sales and delivery of such securities to close out short positions; or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determine the offering price per Class A share from time to time in connection with, and at the time of, sale. We may price the Class A shares 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any sale under this registration statement;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the then-current market prices;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change the price of the securities offered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allow distributors’ or sellers’ commissions that will not exceed those customary in the types of transactions involved.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acting as our agent to offer and sell Class A shares upon the terms and conditions as are set forth in an applicable prospectus supplement. In connection with the sale of these Class A shares, underwriters may be deemed to have received compensation in the form of underwriting discounts or commissions and may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of Class A shares for whom they may act as agent or to whom they sell as principals, or both. A member firm of NASDAQ may be engaged to act as our agent in the sale of Class A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we have not engaged any underwriters, broker, dealer or agent in connection with the offer and sale of Class A shares pursuant to this prospectus. To the extent required, the names of the specific managing underwriter or underwriters, if any, as well as other important information, will be set forth in an applicable prospectus supplement. In that event, any underwriting compensation paid to underwriters or agents in connection with the offering of the Class A shares, and any discounts, concessions or commissions allowed by underwriters to participating dealers, will be set forth in the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supplement. Any underwriters, brokers, dealers and agents who participate in any sale of the Class A Shares may also engage in transactions with, or perform services for, us or our affiliates in the ordinary course of their businesses. We may indemnify underwriters, brokers, dealers and agents against specific liabilities to which they may become subject in connection with the sale of the Class A shares registered under this prospectus, including liabilities under the Securities Act of 1933, as amended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Class A Shares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our Class A shares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maximum compensation the underwriters will receive in connection with the sale of any Class A shares under this prospectus and the registration statement of which it forms a part will not exceed 8% of the gross proceeds from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brokers, dealers and agents who participate in any sale of the Class A shares may also engage in transactions with, or perform services for, us or our affiliates in the ordinary course of their businesses.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FINRA views our Class A shares as interests in a direct participation program, any offering of Class A shares under the registration statement of which this prospectus forms a part will be made in compliance with Rule 2310 of the FINRA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under this shelf registration statement and in compliance with applicable law, underwriters, brokers or dealers may engage in transactions that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
      <w:bookmarkEnd w:id="13"/>
      <w:r>
        <w:rPr>
          <w:rFonts w:ascii="calibri;arial;sans-serif" w:hAnsi="calibri;arial;sans-serif"/>
          <w:b w:val="false"/>
          <w:i w:val="false"/>
          <w:caps w:val="false"/>
          <w:smallCaps w:val="false"/>
          <w:color w:val="000000"/>
          <w:sz w:val="16"/>
        </w:rPr>
        <w:t>​</w:t>
      </w:r>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Class A shares will be passed upon for us by Vinson &amp; Elkins L.L.P., Houston, Texas. Vinson &amp; Elkins L.L.P. will also render an opinion on certain material U.S.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Plains GP Holdings, L.P.’s </w:t>
      </w:r>
      <w:hyperlink r:id="rId1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EPIC Crude Holdings, LP incorporated in this prospectus have been so incorporated in reliance on the report of KPMG LLP, independent registered public accounting firm, given 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235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Expenses of Issuance and Distribution.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6">
                <wp:simplePos x="0" y="0"/>
                <wp:positionH relativeFrom="column">
                  <wp:align>left</wp:align>
                </wp:positionH>
                <wp:positionV relativeFrom="line">
                  <wp:align>top</wp:align>
                </wp:positionV>
                <wp:extent cx="6096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b/>
                              </w:rPr>
                            </w:pPr>
                            <w:r>
                              <w:rPr>
                                <w:b/>
                                <w:spacing w:val="-4"/>
                              </w:rPr>
                              <w:t>Item 14.</w:t>
                            </w:r>
                            <w:r>
                              <w:rPr>
                                <w:b/>
                              </w:rPr>
                              <w:t xml:space="preserve"> </w:t>
                              <w:br/>
                            </w:r>
                          </w:p>
                        </w:txbxContent>
                      </wps:txbx>
                      <wps:bodyPr anchor="t" lIns="0" tIns="0" rIns="0" bIns="0">
                        <a:noAutofit/>
                      </wps:bodyPr>
                    </wps:wsp>
                  </a:graphicData>
                </a:graphic>
              </wp:anchor>
            </w:drawing>
          </mc:Choice>
          <mc:Fallback>
            <w:pict>
              <v:rect style="position:absolute;rotation:-0;width:4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t>
      </w:r>
    </w:p>
    <w:tbl>
      <w:tblPr>
        <w:tblW w:w="5181" w:type="dxa"/>
        <w:jc w:val="left"/>
        <w:tblInd w:w="1393" w:type="dxa"/>
        <w:tblLayout w:type="fixed"/>
        <w:tblCellMar>
          <w:top w:w="0" w:type="dxa"/>
          <w:left w:w="0" w:type="dxa"/>
          <w:bottom w:w="0" w:type="dxa"/>
          <w:right w:w="0" w:type="dxa"/>
        </w:tblCellMar>
      </w:tblPr>
      <w:tblGrid>
        <w:gridCol w:w="124"/>
        <w:gridCol w:w="3115"/>
        <w:gridCol w:w="109"/>
        <w:gridCol w:w="109"/>
        <w:gridCol w:w="109"/>
        <w:gridCol w:w="226"/>
        <w:gridCol w:w="11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Printing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1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26" w:type="dxa"/>
            <w:tcBorders>
              <w:bottom w:val="double" w:sz="8"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is deferring payment of the registration fee in reliance on Rule 456(b) and Rule 457(r) of the Securities Act. </w:t>
      </w:r>
      <w:r>
        <mc:AlternateContent>
          <mc:Choice Requires="wps">
            <w:drawing>
              <wp:anchor behindDoc="0" distT="9779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number of issuances and amount of securities offered and accordingly cannot be estimated at this time. </w:t>
      </w:r>
      <w:r>
        <mc:AlternateContent>
          <mc:Choice Requires="wps">
            <w:drawing>
              <wp:anchor behindDoc="0" distT="4699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235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of Directors and Officers.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99">
                <wp:simplePos x="0" y="0"/>
                <wp:positionH relativeFrom="column">
                  <wp:align>left</wp:align>
                </wp:positionH>
                <wp:positionV relativeFrom="line">
                  <wp:align>top</wp:align>
                </wp:positionV>
                <wp:extent cx="6096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b/>
                              </w:rPr>
                            </w:pPr>
                            <w:r>
                              <w:rPr>
                                <w:b/>
                                <w:spacing w:val="-4"/>
                              </w:rPr>
                              <w:t>Item 15.</w:t>
                            </w:r>
                            <w:r>
                              <w:rPr>
                                <w:b/>
                              </w:rPr>
                              <w:t xml:space="preserve"> </w:t>
                              <w:br/>
                            </w:r>
                          </w:p>
                        </w:txbxContent>
                      </wps:txbx>
                      <wps:bodyPr anchor="t" lIns="0" tIns="0" rIns="0" bIns="0">
                        <a:noAutofit/>
                      </wps:bodyPr>
                    </wps:wsp>
                  </a:graphicData>
                </a:graphic>
              </wp:anchor>
            </w:drawing>
          </mc:Choice>
          <mc:Fallback>
            <w:pict>
              <v:rect style="position:absolute;rotation:-0;width:48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general partner;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departing general partner;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Legacy Owners;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Qualifying Interest Holders (as defined in the partnership agreement);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was an affiliate of its general partner, any departing general partner, the Legacy Owners or any Qualifying Interest Holder;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was a managing member, manager, general partner, director, officer, fiduciary, agent or trustee of its general partner or any departing general partner or any affiliate of its general partner, any departing general partner or the Legacy Owners;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designated by its general partner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L.P.’s activities, regardless of whether Plains GP Holdings, L.P. would have the power to indemnify the person against liabilities under Plains GP Holdings, L.P.’s partnership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 </w:t>
      </w:r>
    </w:p>
    <w:p>
      <w:pPr>
        <w:pStyle w:val="TextBody"/>
        <w:bidi w:val="0"/>
        <w:spacing w:lineRule="atLeast" w:line="240" w:before="260" w:after="0"/>
        <w:ind w:left="235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0" distR="0" simplePos="0" locked="0" layoutInCell="1" allowOverlap="1" relativeHeight="108">
                <wp:simplePos x="0" y="0"/>
                <wp:positionH relativeFrom="column">
                  <wp:align>left</wp:align>
                </wp:positionH>
                <wp:positionV relativeFrom="line">
                  <wp:align>top</wp:align>
                </wp:positionV>
                <wp:extent cx="6096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b/>
                              </w:rPr>
                            </w:pPr>
                            <w:r>
                              <w:rPr>
                                <w:b/>
                                <w:spacing w:val="-4"/>
                              </w:rPr>
                              <w:t>Item 16.</w:t>
                            </w:r>
                            <w:r>
                              <w:rPr>
                                <w:b/>
                              </w:rPr>
                              <w:t xml:space="preserve"> </w:t>
                              <w:br/>
                            </w:r>
                          </w:p>
                        </w:txbxContent>
                      </wps:txbx>
                      <wps:bodyPr anchor="t" lIns="0" tIns="0" rIns="0" bIns="0">
                        <a:noAutofit/>
                      </wps:bodyPr>
                    </wps:wsp>
                  </a:graphicData>
                </a:graphic>
              </wp:anchor>
            </w:drawing>
          </mc:Choice>
          <mc:Fallback>
            <w:pict>
              <v:rect style="position:absolute;rotation:-0;width:48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882"/>
        <w:gridCol w:w="109"/>
        <w:gridCol w:w="109"/>
        <w:gridCol w:w="357"/>
        <w:gridCol w:w="109"/>
        <w:gridCol w:w="109"/>
        <w:gridCol w:w="68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2"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5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18">
              <w:r>
                <w:rPr>
                  <w:rStyle w:val="InternetLink"/>
                  <w:spacing w:val="4"/>
                </w:rPr>
                <w:t>Certificate of Limited Partnership of Plains GP Holdings, L.P. (incorporated by reference to Exhibit 3.1 to our Registration Statement on Form S-1 (333-190227) filed July 29, 2013).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19">
              <w:r>
                <w:rPr>
                  <w:rStyle w:val="InternetLink"/>
                  <w:spacing w:val="4"/>
                </w:rPr>
                <w:t>Second Amended and Restated Limited Partnership Agreement of Plains GP Holdings, L.P., dated as of November 15, 2016 (incorporated by reference to Exhibit 3.2 to the Current Report on Form 8-K filed November 21,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0">
              <w:r>
                <w:rPr>
                  <w:rStyle w:val="InternetLink"/>
                  <w:spacing w:val="4"/>
                </w:rPr>
                <w:t>Amendment No. 1 dated April 6, 2020 to the Second Amended and Restated Agreement of Limited Partnership of Plains GP Holdings, L.P. (incorporated by reference to Exhibit 3.1 to our Current Report on Form 8-K filed April 9, 2020).</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1">
              <w:r>
                <w:rPr>
                  <w:rStyle w:val="InternetLink"/>
                  <w:spacing w:val="4"/>
                </w:rPr>
                <w:t>Certificate of Formation of PAA GP Holdings LLC (incorporated by reference to Exhibit 3.3 to our Registration Statement on Form S-1 (333-190227) filed July 29, 2013).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2">
              <w:r>
                <w:rPr>
                  <w:rStyle w:val="InternetLink"/>
                  <w:spacing w:val="4"/>
                </w:rPr>
                <w:t>Fourth Amended and Restated Limited Liability Company Agreement of PAA GP Holdings LLC dated effective as of August 19, 2021 (incorporated by reference to Exhibit 3.11 to our Annual Report on Form 10-K for the year ended December 31, 2021).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3">
              <w:r>
                <w:rPr>
                  <w:rStyle w:val="InternetLink"/>
                  <w:spacing w:val="4"/>
                </w:rPr>
                <w:t>Seventh Amended and Restated Agreement of Limited Partnership of Plains All American Pipeline, L.P., dated as of October 10, 2017 (incorporated by reference to Exhibit 3.1 to PAA’s Current Report on Form 8-K filed October 12, 2017).</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4">
              <w:r>
                <w:rPr>
                  <w:rStyle w:val="InternetLink"/>
                  <w:spacing w:val="4"/>
                </w:rPr>
                <w:t>Seventh Amended and Restated Limited Liability Company Agreement of Plains All American GP LLC dated November 15, 2016 (incorporated by reference to Exhibit 3.3 to our Current Report on Form 8-K filed November 21,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5">
              <w:r>
                <w:rPr>
                  <w:rStyle w:val="InternetLink"/>
                  <w:spacing w:val="4"/>
                </w:rPr>
                <w:t>Eighth Amended and Restated Limited Partnership Agreement of Plains AAP, L.P. dated November 15, 2016 (incorporated by reference to Exhibit 3.4 to our Current Report on Form 8-K filed November 21,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"https://www.sec.gov/Archives/edgar/data/1581990/000110465918060012/a18-36197_1ex3d1.htm" \l "Exhibit3_1_111200"</w:instrText>
            </w:r>
            <w:r>
              <w:rPr>
                <w:rStyle w:val="InternetLink"/>
                <w:spacing w:val="4"/>
              </w:rPr>
              <w:fldChar w:fldCharType="separate"/>
            </w:r>
            <w:r>
              <w:rPr>
                <w:rStyle w:val="InternetLink"/>
                <w:spacing w:val="4"/>
              </w:rPr>
              <w:t>Amendment No. 1 dated September 26, 2018 to the Eighth Amended and Restated Limited Partnership Agreement of Plains AAP, L.P. (incorporated by reference to Exhibit 3.1 to our Current Report on Form 8-K filed October 2, 2018).</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"https://www.sec.gov/Archives/edgar/data/1581990/000110465919032813/a19-10857_1ex3d1.htm" \l "Exhibit3_1_113824"</w:instrText>
            </w:r>
            <w:r>
              <w:rPr>
                <w:rStyle w:val="InternetLink"/>
                <w:spacing w:val="4"/>
              </w:rPr>
              <w:fldChar w:fldCharType="separate"/>
            </w:r>
            <w:r>
              <w:rPr>
                <w:rStyle w:val="InternetLink"/>
                <w:spacing w:val="4"/>
              </w:rPr>
              <w:t>Amendment No. 2 dated May 23, 2019 to the Eighth Amended and Restated Limited Partnership Agreement of Plains AAP, L.P. (incorporated by reference to Exhibit 3.1 to our Current Report on Form 8-K filed May 30, 2019).</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283"/>
              <w:jc w:val="left"/>
              <w:rPr/>
            </w:pPr>
            <w:hyperlink r:id="rId26">
              <w:r>
                <w:rPr>
                  <w:rStyle w:val="InternetLink"/>
                </w:rPr>
                <w:t>Amendment No. 3 dated August 17, 2023 to the Eighth Amended and Restated Limited Partnership Agreement of Plains AAP, L.P. (incorporated by reference to Exhibit 3.1 to our Current Report on Form 8-K filed August 21,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r:id="rId27">
              <w:r>
                <w:rPr>
                  <w:rStyle w:val="InternetLink"/>
                  <w:spacing w:val="4"/>
                </w:rPr>
                <w:t>Limited Liability Company Agreement of PAA GP LLC dated December 28, 2007 (incorporated by reference to Exhibit 3.3 to PAA’s Current Report on Form 8-K filed January 4, 2008).</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4_ex5-1.htm">
              <w:r>
                <w:rPr>
                  <w:rStyle w:val="InternetLink"/>
                  <w:spacing w:val="4"/>
                </w:rPr>
                <w:t>Opinion of Vinson &amp; Elkins L.L.P. as to the legality of the securities being registered.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4_ex8-1.htm">
              <w:r>
                <w:rPr>
                  <w:rStyle w:val="InternetLink"/>
                  <w:spacing w:val="4"/>
                </w:rPr>
                <w:t>Opinion of Vinson &amp; Elkins L.L.P. relating to tax matters.</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4_ex23-1.htm">
              <w:r>
                <w:rPr>
                  <w:rStyle w:val="InternetLink"/>
                  <w:spacing w:val="4"/>
                </w:rPr>
                <w:t>Consent of PricewaterhouseCoopers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0"/>
              <w:jc w:val="left"/>
              <w:rPr/>
            </w:pPr>
            <w:hyperlink w:anchor="tm266712d4_ex23-2.htm">
              <w:r>
                <w:rPr>
                  <w:rStyle w:val="InternetLink"/>
                  <w:spacing w:val="4"/>
                </w:rPr>
                <w:t>Consent of KPMG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 w:type="dxa"/>
            <w:tcBorders/>
            <w:tcMar>
              <w:bottom w:w="0" w:type="dxa"/>
            </w:tcMar>
            <w:vAlign w:val="center"/>
          </w:tcPr>
          <w:p>
            <w:pPr>
              <w:pStyle w:val="TableContents"/>
              <w:bidi w:val="0"/>
              <w:spacing w:before="0" w:after="283"/>
              <w:jc w:val="lef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58" w:type="dxa"/>
            <w:tcBorders/>
            <w:tcMar>
              <w:bottom w:w="0" w:type="dxa"/>
            </w:tcMar>
            <w:vAlign w:val="center"/>
          </w:tcPr>
          <w:p>
            <w:pPr>
              <w:pStyle w:val="TableContents"/>
              <w:bidi w:val="0"/>
              <w:spacing w:before="0" w:after="283"/>
              <w:jc w:val="left"/>
              <w:rPr/>
            </w:pPr>
            <w:r>
              <w:rPr>
                <w:spacing w:val="4"/>
              </w:rPr>
              <w:t xml:space="preserve">Consent of Vinson &amp; Elkins L.L.P. (contained in </w:t>
            </w:r>
            <w:hyperlink w:anchor="tm266712d4_ex5-1.htm">
              <w:r>
                <w:rPr>
                  <w:rStyle w:val="InternetLink"/>
                  <w:spacing w:val="4"/>
                </w:rPr>
                <w:t>Exhibits 5.1</w:t>
              </w:r>
            </w:hyperlink>
            <w:r>
              <w:rPr>
                <w:spacing w:val="4"/>
              </w:rPr>
              <w:t xml:space="preserve"> and </w:t>
            </w:r>
            <w:hyperlink w:anchor="tm266712d4_ex8-1.htm">
              <w:r>
                <w:rPr>
                  <w:rStyle w:val="InternetLink"/>
                  <w:spacing w:val="4"/>
                </w:rPr>
                <w:t>8.1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922"/>
        <w:gridCol w:w="109"/>
        <w:gridCol w:w="109"/>
        <w:gridCol w:w="397"/>
        <w:gridCol w:w="109"/>
        <w:gridCol w:w="109"/>
        <w:gridCol w:w="677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22"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7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2"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7" w:type="dxa"/>
            <w:tcBorders/>
            <w:tcMar>
              <w:bottom w:w="0" w:type="dxa"/>
            </w:tcMar>
            <w:vAlign w:val="center"/>
          </w:tcPr>
          <w:p>
            <w:pPr>
              <w:pStyle w:val="TableContents"/>
              <w:bidi w:val="0"/>
              <w:spacing w:before="0" w:after="0"/>
              <w:jc w:val="both"/>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8" w:type="dxa"/>
            <w:tcBorders/>
            <w:tcMar>
              <w:bottom w:w="0" w:type="dxa"/>
            </w:tcMar>
            <w:vAlign w:val="center"/>
          </w:tcPr>
          <w:p>
            <w:pPr>
              <w:pStyle w:val="TableContents"/>
              <w:bidi w:val="0"/>
              <w:spacing w:before="0" w:after="0"/>
              <w:jc w:val="left"/>
              <w:rPr/>
            </w:pPr>
            <w:hyperlink w:anchor="tPOA">
              <w:r>
                <w:rPr>
                  <w:rStyle w:val="InternetLink"/>
                  <w:spacing w:val="4"/>
                </w:rPr>
                <w:t>Power of Attorney (included on signature pages of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2"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7" w:type="dxa"/>
            <w:tcBorders/>
            <w:tcMar>
              <w:bottom w:w="0" w:type="dxa"/>
            </w:tcMar>
            <w:vAlign w:val="center"/>
          </w:tcPr>
          <w:p>
            <w:pPr>
              <w:pStyle w:val="TableContents"/>
              <w:bidi w:val="0"/>
              <w:spacing w:before="0" w:after="0"/>
              <w:jc w:val="both"/>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8" w:type="dxa"/>
            <w:tcBorders/>
            <w:tcMar>
              <w:bottom w:w="0" w:type="dxa"/>
            </w:tcMar>
            <w:vAlign w:val="center"/>
          </w:tcPr>
          <w:p>
            <w:pPr>
              <w:pStyle w:val="TableContents"/>
              <w:bidi w:val="0"/>
              <w:spacing w:before="0" w:after="0"/>
              <w:jc w:val="left"/>
              <w:rPr/>
            </w:pPr>
            <w:hyperlink w:anchor="tm266712d3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as an exhibit to a report pursuant to Section 13(a) or 15(d) of the Securities Exchange Act of 1934 or in a post-effective amendment to this registration statement. </w:t>
      </w:r>
      <w:r>
        <mc:AlternateContent>
          <mc:Choice Requires="wps">
            <w:drawing>
              <wp:anchor behindDoc="0" distT="508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35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Undertakings.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1">
                <wp:simplePos x="0" y="0"/>
                <wp:positionH relativeFrom="column">
                  <wp:align>left</wp:align>
                </wp:positionH>
                <wp:positionV relativeFrom="line">
                  <wp:align>top</wp:align>
                </wp:positionV>
                <wp:extent cx="6096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b/>
                              </w:rPr>
                            </w:pPr>
                            <w:r>
                              <w:rPr>
                                <w:b/>
                                <w:spacing w:val="-4"/>
                              </w:rPr>
                              <w:t>Item 17.</w:t>
                            </w:r>
                            <w:r>
                              <w:rPr>
                                <w:b/>
                              </w:rPr>
                              <w:t xml:space="preserve"> </w:t>
                              <w:br/>
                            </w:r>
                          </w:p>
                        </w:txbxContent>
                      </wps:txbx>
                      <wps:bodyPr anchor="t" lIns="0" tIns="0" rIns="0" bIns="0">
                        <a:noAutofit/>
                      </wps:bodyPr>
                    </wps:wsp>
                  </a:graphicData>
                </a:graphic>
              </wp:anchor>
            </w:drawing>
          </mc:Choice>
          <mc:Fallback>
            <w:pict>
              <v:rect style="position:absolute;rotation:-0;width:4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Item 17.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1600" distB="0" distL="508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101600" distB="0" distL="762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r>
        <mc:AlternateContent>
          <mc:Choice Requires="wps">
            <w:drawing>
              <wp:anchor behindDoc="0" distT="101600" distB="0" distL="762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762000" distR="0" simplePos="0" locked="0" layoutInCell="1" allowOverlap="1" relativeHeight="116">
                <wp:simplePos x="0" y="0"/>
                <wp:positionH relativeFrom="column">
                  <wp:align>left</wp:align>
                </wp:positionH>
                <wp:positionV relativeFrom="line">
                  <wp:align>top</wp:align>
                </wp:positionV>
                <wp:extent cx="254000" cy="52578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(i), (ii) and (iii) above do not apply if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508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508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0" distB="0" distL="508000" distR="0" simplePos="0" locked="0" layoutInCell="1" allowOverlap="1" relativeHeight="119">
                <wp:simplePos x="0" y="0"/>
                <wp:positionH relativeFrom="column">
                  <wp:align>left</wp:align>
                </wp:positionH>
                <wp:positionV relativeFrom="line">
                  <wp:posOffset>635</wp:posOffset>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99060" distB="0" distL="762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99060" distB="0" distL="762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0330" distB="0" distL="508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0330" distB="0" distL="762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0330" distB="0" distL="762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0330" distB="0" distL="76200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0330" distB="0" distL="76200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033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w:t>
      </w:r>
      <w:r>
        <mc:AlternateContent>
          <mc:Choice Requires="wps">
            <w:drawing>
              <wp:anchor behindDoc="0" distT="9906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March 30,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PLAINS GP HOLDINGS,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PAA GP HOLDINGS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its general partner </w:t>
      </w:r>
      <w:r>
        <mc:AlternateContent>
          <mc:Choice Requires="wps">
            <w:drawing>
              <wp:anchor behindDoc="0" distT="304800" distB="0" distL="279400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76"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Willie Chiang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2260" distB="0" distL="279400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8pt;mso-wrap-distance-bottom:0pt;margin-top:23.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8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Willie Chiang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2860" distB="0" distL="3048000" distR="0" simplePos="0" locked="0" layoutInCell="1" allowOverlap="1" relativeHeight="131">
                <wp:simplePos x="0" y="0"/>
                <wp:positionH relativeFrom="column">
                  <wp:align>left</wp:align>
                </wp:positionH>
                <wp:positionV relativeFrom="line">
                  <wp:align>top</wp:align>
                </wp:positionV>
                <wp:extent cx="419100" cy="525780"/>
                <wp:effectExtent l="0" t="0" r="0" b="0"/>
                <wp:wrapSquare wrapText="right"/>
                <wp:docPr id="125" name="Frame124"/>
                <a:graphic xmlns:a="http://schemas.openxmlformats.org/drawingml/2006/main">
                  <a:graphicData uri="http://schemas.microsoft.com/office/word/2010/wordprocessingShape">
                    <wps:wsp>
                      <wps:cNvSpPr txBox="1"/>
                      <wps:spPr>
                        <a:xfrm>
                          <a:off x="0" y="0"/>
                          <a:ext cx="4191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3pt;height:41.4pt;mso-wrap-distance-left:240pt;mso-wrap-distance-right:0pt;mso-wrap-distance-top:1.8pt;mso-wrap-distance-bottom:0pt;margin-top:1.8pt;mso-position-vertical:top;mso-position-vertical-relative:text;margin-left:162.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of the Board, Chief Executive Officer and President of PAA GP Holdings LLC </w:t>
      </w:r>
      <w:r>
        <mc:AlternateContent>
          <mc:Choice Requires="wps">
            <w:drawing>
              <wp:anchor behindDoc="0" distT="0" distB="0" distL="3048000" distR="0" simplePos="0" locked="0" layoutInCell="1" allowOverlap="1" relativeHeight="132">
                <wp:simplePos x="0" y="0"/>
                <wp:positionH relativeFrom="column">
                  <wp:align>left</wp:align>
                </wp:positionH>
                <wp:positionV relativeFrom="line">
                  <wp:posOffset>635</wp:posOffset>
                </wp:positionV>
                <wp:extent cx="4191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4191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3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U.S.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below by the following persons in the capacities and on the dates indicated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 GP HOLDINGS LLC, for itself and as the general partner of PLAINS GP HOLDINGS, L.P. </w:t>
      </w:r>
    </w:p>
    <w:tbl>
      <w:tblPr>
        <w:tblW w:w="8812" w:type="dxa"/>
        <w:jc w:val="left"/>
        <w:tblInd w:w="1393" w:type="dxa"/>
        <w:tblLayout w:type="fixed"/>
        <w:tblCellMar>
          <w:top w:w="0" w:type="dxa"/>
          <w:left w:w="0" w:type="dxa"/>
          <w:bottom w:w="28" w:type="dxa"/>
          <w:right w:w="0" w:type="dxa"/>
        </w:tblCellMar>
      </w:tblPr>
      <w:tblGrid>
        <w:gridCol w:w="124"/>
        <w:gridCol w:w="1449"/>
        <w:gridCol w:w="109"/>
        <w:gridCol w:w="109"/>
        <w:gridCol w:w="5384"/>
        <w:gridCol w:w="109"/>
        <w:gridCol w:w="109"/>
        <w:gridCol w:w="126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4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8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pPr>
            <w:r>
              <w:rPr>
                <w:spacing w:val="4"/>
              </w:rPr>
              <w:t>/s/ Willie Chiang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Willie Chiang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before="0" w:after="0"/>
              <w:jc w:val="center"/>
              <w:rPr/>
            </w:pPr>
            <w:r>
              <w:rPr>
                <w:spacing w:val="4"/>
              </w:rPr>
              <w:t>Chairman of the Board, Chief Executive Officer and President of PAA GP Holdings LLC</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4"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pPr>
            <w:r>
              <w:rPr>
                <w:spacing w:val="4"/>
              </w:rPr>
              <w:t>/s/ Al Swanson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Al Swanson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before="0" w:after="0"/>
              <w:jc w:val="center"/>
              <w:rPr/>
            </w:pPr>
            <w:r>
              <w:rPr>
                <w:spacing w:val="4"/>
              </w:rPr>
              <w:t>Executive Vice President and Chief</w:t>
            </w:r>
            <w:r>
              <w:rPr/>
              <w:t xml:space="preserve"> </w:t>
              <w:br/>
            </w:r>
            <w:r>
              <w:rPr>
                <w:spacing w:val="4"/>
              </w:rPr>
              <w:t>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4"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center"/>
              <w:rPr/>
            </w:pPr>
            <w:r>
              <w:rPr>
                <w:spacing w:val="4"/>
              </w:rPr>
              <w:t>/s/ Chris Herbold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 Herbold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84" w:type="dxa"/>
            <w:tcBorders/>
            <w:tcMar>
              <w:bottom w:w="0" w:type="dxa"/>
            </w:tcMar>
            <w:vAlign w:val="center"/>
          </w:tcPr>
          <w:p>
            <w:pPr>
              <w:pStyle w:val="TableContents"/>
              <w:bidi w:val="0"/>
              <w:spacing w:before="0" w:after="0"/>
              <w:jc w:val="center"/>
              <w:rPr/>
            </w:pPr>
            <w:r>
              <w:rPr>
                <w:spacing w:val="4"/>
              </w:rPr>
              <w:t>Senior Vice President, Finance and Chief</w:t>
            </w:r>
            <w:r>
              <w:rPr/>
              <w:t xml:space="preserve"> </w:t>
              <w:br/>
            </w:r>
            <w:r>
              <w:rPr>
                <w:spacing w:val="4"/>
              </w:rPr>
              <w:t>Accounting Officer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4"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56" w:type="dxa"/>
        <w:jc w:val="left"/>
        <w:tblInd w:w="1393" w:type="dxa"/>
        <w:tblLayout w:type="fixed"/>
        <w:tblCellMar>
          <w:top w:w="0" w:type="dxa"/>
          <w:left w:w="0" w:type="dxa"/>
          <w:bottom w:w="28" w:type="dxa"/>
          <w:right w:w="0" w:type="dxa"/>
        </w:tblCellMar>
      </w:tblPr>
      <w:tblGrid>
        <w:gridCol w:w="124"/>
        <w:gridCol w:w="2551"/>
        <w:gridCol w:w="109"/>
        <w:gridCol w:w="109"/>
        <w:gridCol w:w="974"/>
        <w:gridCol w:w="109"/>
        <w:gridCol w:w="109"/>
        <w:gridCol w:w="1717"/>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5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Greg L. Armstrong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Greg L. Armstrong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Victor Burk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Victor Burk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Ellen R. DeSanctis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Ellen R. DeSanctis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Kevin McCarthy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McCarthy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Harry N. Pefanis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Harry N. Pefanis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Gary R. Petersen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Gary R. Petersen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Alexandra D. Pruner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Alexandra D. Pruner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John T. Raymond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John T. Raymond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Bobby S. Shackouls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Bobby S. Shackouls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spacing w:val="4"/>
              </w:rPr>
            </w:pPr>
            <w:r>
              <w:rPr>
                <w:spacing w:val="4"/>
              </w:rPr>
              <w:t xml:space="preserve">March 30,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center"/>
              <w:rPr/>
            </w:pPr>
            <w:r>
              <w:rPr>
                <w:spacing w:val="4"/>
              </w:rPr>
              <w:t>/s/ Lawrence M. Ziemba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Lawrence M. Ziemba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7" w:type="dxa"/>
            <w:tcBorders/>
            <w:tcMar>
              <w:bottom w:w="0" w:type="dxa"/>
            </w:tcMar>
            <w:vAlign w:val="center"/>
          </w:tcPr>
          <w:p>
            <w:pPr>
              <w:pStyle w:val="TableContents"/>
              <w:bidi w:val="0"/>
              <w:spacing w:before="0" w:after="0"/>
              <w:jc w:val="center"/>
              <w:rPr/>
            </w:pPr>
            <w:r>
              <w:rPr>
                <w:spacing w:val="4"/>
              </w:rPr>
              <w:t>March 30,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6" w:name="tm266712d4_ex5-1.htm"/>
      <w:bookmarkStart w:id="17" w:name="kstm266712d4_ex51"/>
      <w:bookmarkEnd w:id="16"/>
      <w:bookmarkEnd w:id="1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04545" cy="164465"/>
            <wp:effectExtent l="0" t="0" r="0" b="0"/>
            <wp:docPr id="1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 descr=""/>
                    <pic:cNvPicPr>
                      <a:picLocks noChangeAspect="1" noChangeArrowheads="1"/>
                    </pic:cNvPicPr>
                  </pic:nvPicPr>
                  <pic:blipFill>
                    <a:blip r:embed="rId28"/>
                    <a:stretch>
                      <a:fillRect/>
                    </a:stretch>
                  </pic:blipFill>
                  <pic:spPr bwMode="auto">
                    <a:xfrm>
                      <a:off x="0" y="0"/>
                      <a:ext cx="804545" cy="16446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Clay Street, Suite 1600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Plains GP Holdings, L.P., a Delaware limited partnership (the “</w:t>
      </w:r>
      <w:r>
        <w:rPr>
          <w:rFonts w:ascii="Times New Roman;Times;Serif" w:hAnsi="Times New Roman;Times;Serif"/>
          <w:b/>
          <w:i/>
          <w:caps w:val="false"/>
          <w:smallCaps w:val="false"/>
          <w:sz w:val="20"/>
        </w:rPr>
        <w:t>Partnership</w:t>
      </w:r>
      <w:r>
        <w:rPr>
          <w:rFonts w:ascii="Times New Roman;Times;Serif" w:hAnsi="Times New Roman;Times;Serif"/>
          <w:b w:val="false"/>
          <w:i w:val="false"/>
          <w:caps w:val="false"/>
          <w:smallCaps w:val="false"/>
          <w:sz w:val="20"/>
        </w:rPr>
        <w:t>”), in connection with the preparation and filing of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on or about the date hereof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in connection with the registration by the Partnership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offer and sale, from time to time, pursuant to Rule 415 under the Securities Act, by the Partnership, of an indeterminate number of Class A shares representing limited partner interests in the Partnership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participated in the preparation of the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contained in the Registration Statement to which this opinion is an exhibit. The Shares will be offered in amounts, at prices and on terms to be determined in light of market conditions and other factors at the time of sale and, if necessary, will be set forth in supplements 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rendering this opinion as of the time the Registration Statement becomes effective, which Registration Statement became automatically effective upon filing with the Commission pursuant to Rule 462(e) under the Securities Act. As the basis for the opinion hereinafter expressed, we examined such statutes and questions of law as we have deemed necessary or appropriate for purposes of this opinion, including the Delaware Revised Uniform Limited Partnership Act (the “</w:t>
      </w:r>
      <w:r>
        <w:rPr>
          <w:rFonts w:ascii="Times New Roman;Times;Serif" w:hAnsi="Times New Roman;Times;Serif"/>
          <w:b/>
          <w:i/>
          <w:caps w:val="false"/>
          <w:smallCaps w:val="false"/>
          <w:sz w:val="20"/>
        </w:rPr>
        <w:t>Delaware LP Act</w:t>
      </w:r>
      <w:r>
        <w:rPr>
          <w:rFonts w:ascii="Times New Roman;Times;Serif" w:hAnsi="Times New Roman;Times;Serif"/>
          <w:b w:val="false"/>
          <w:i w:val="false"/>
          <w:caps w:val="false"/>
          <w:smallCaps w:val="false"/>
          <w:sz w:val="20"/>
        </w:rPr>
        <w:t>”), the Second Amended and Restated Agreement of Limited Partnership of the Partnership as amended (the “</w:t>
      </w:r>
      <w:r>
        <w:rPr>
          <w:rFonts w:ascii="Times New Roman;Times;Serif" w:hAnsi="Times New Roman;Times;Serif"/>
          <w:b/>
          <w:i/>
          <w:caps w:val="false"/>
          <w:smallCaps w:val="false"/>
          <w:sz w:val="20"/>
        </w:rPr>
        <w:t>Partnership Agreement</w:t>
      </w:r>
      <w:r>
        <w:rPr>
          <w:rFonts w:ascii="Times New Roman;Times;Serif" w:hAnsi="Times New Roman;Times;Serif"/>
          <w:b w:val="false"/>
          <w:i w:val="false"/>
          <w:caps w:val="false"/>
          <w:smallCaps w:val="false"/>
          <w:sz w:val="20"/>
        </w:rPr>
        <w:t>”), the Certificate of Limited Partnership of the Partnership filed with the Secretary of State of the State of Delaware, resolutions of PAA GP Holdings LLC, a Delaware limited liability company and the general partner of the Partnership, the Registration Statement, including the Prospectus,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be effective and comply with applicable laws; (vi) one or more prospectus supplements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5390"/>
        <w:gridCol w:w="4520"/>
      </w:tblGrid>
      <w:tr>
        <w:trPr/>
        <w:tc>
          <w:tcPr>
            <w:tcW w:w="53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Vinson &amp; Elkins LLP Attorneys at Law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Dallas Denver Dublin Dubai Houston London Los Angeles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Richmond San Francisco Tokyo Washington</w:t>
            </w:r>
          </w:p>
        </w:tc>
        <w:tc>
          <w:tcPr>
            <w:tcW w:w="45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 Suite 4700</w:t>
              <w:br/>
              <w:t>Houston, TX 77002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w:t>
            </w:r>
            <w:r>
              <w:rPr>
                <w:rFonts w:ascii="Times New Roman;Times;Serif" w:hAnsi="Times New Roman;Times;Serif"/>
                <w:b w:val="false"/>
                <w:i w:val="false"/>
                <w:caps w:val="false"/>
                <w:smallCaps w:val="false"/>
                <w:sz w:val="20"/>
              </w:rPr>
              <w:t xml:space="preserve"> +1.713.758.2222 </w:t>
            </w:r>
            <w:r>
              <w:rPr>
                <w:rFonts w:ascii="Times New Roman;Times;Serif" w:hAnsi="Times New Roman;Times;Serif"/>
                <w:b/>
                <w:i w:val="false"/>
                <w:caps w:val="false"/>
                <w:smallCaps w:val="false"/>
                <w:sz w:val="20"/>
              </w:rPr>
              <w:t>Fax</w:t>
            </w:r>
            <w:r>
              <w:rPr>
                <w:rFonts w:ascii="Times New Roman;Times;Serif" w:hAnsi="Times New Roman;Times;Serif"/>
                <w:b w:val="false"/>
                <w:i w:val="false"/>
                <w:caps w:val="false"/>
                <w:smallCaps w:val="false"/>
                <w:sz w:val="20"/>
              </w:rPr>
              <w:t xml:space="preserve"> +1.713.758.2346 </w:t>
            </w:r>
            <w:r>
              <w:rPr>
                <w:rFonts w:ascii="Times New Roman;Times;Serif" w:hAnsi="Times New Roman;Times;Serif"/>
                <w:b/>
                <w:i w:val="false"/>
                <w:caps w:val="false"/>
                <w:smallCaps w:val="false"/>
                <w:sz w:val="20"/>
              </w:rPr>
              <w:t>velaw.com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1245"/>
        <w:gridCol w:w="2375"/>
      </w:tblGrid>
      <w:tr>
        <w:trPr/>
        <w:tc>
          <w:tcPr>
            <w:tcW w:w="1245" w:type="dxa"/>
            <w:tcBorders/>
            <w:vAlign w:val="center"/>
          </w:tcPr>
          <w:p>
            <w:pPr>
              <w:pStyle w:val="TableContents"/>
              <w:bidi w:val="0"/>
              <w:spacing w:before="0" w:after="283"/>
              <w:jc w:val="left"/>
              <w:rPr/>
            </w:pPr>
            <w:r>
              <w:rPr/>
              <w:t> </w:t>
            </w:r>
            <w:r>
              <w:rPr/>
              <w:drawing>
                <wp:inline distT="0" distB="0" distL="0" distR="0">
                  <wp:extent cx="742950" cy="390525"/>
                  <wp:effectExtent l="0" t="0" r="0" b="0"/>
                  <wp:docPr id="1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 descr=""/>
                          <pic:cNvPicPr>
                            <a:picLocks noChangeAspect="1" noChangeArrowheads="1"/>
                          </pic:cNvPicPr>
                        </pic:nvPicPr>
                        <pic:blipFill>
                          <a:blip r:embed="rId29"/>
                          <a:stretch>
                            <a:fillRect/>
                          </a:stretch>
                        </pic:blipFill>
                        <pic:spPr bwMode="auto">
                          <a:xfrm>
                            <a:off x="0" y="0"/>
                            <a:ext cx="742950" cy="390525"/>
                          </a:xfrm>
                          <a:prstGeom prst="rect">
                            <a:avLst/>
                          </a:prstGeom>
                        </pic:spPr>
                      </pic:pic>
                    </a:graphicData>
                  </a:graphic>
                </wp:inline>
              </w:drawing>
            </w:r>
          </w:p>
        </w:tc>
        <w:tc>
          <w:tcPr>
            <w:tcW w:w="2375" w:type="dxa"/>
            <w:tcBorders/>
            <w:vAlign w:val="center"/>
          </w:tcPr>
          <w:p>
            <w:pPr>
              <w:pStyle w:val="TableContents"/>
              <w:bidi w:val="0"/>
              <w:spacing w:before="0" w:after="283"/>
              <w:jc w:val="right"/>
              <w:rPr/>
            </w:pPr>
            <w:r>
              <w:rPr/>
              <w:t>March 30, 2026   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qualifications, exceptions and limitations set forth herein,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 Partnership upon payment of the consideration thereof or provided for therein, will be duly authorized, issued and delivered against payment therefor as described in the Registration Statement, will be validly issued, fully paid (to the extent required under the Partnership Agreement) and non-assessable (except as such nonassessability may be affected by Sections 17-303, 17-607 or 17-804 of the Delaware LP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facts material to the opinion contained herein, and as to factual matters arising in connection with our examination of corporate documents, records and other documents and writings, we have made no independent investigation of such facts and have relied, to the extent that we deem such reliance proper, upon certificates of public officials and officers or other representatives of the general partner of the Partnership and the Partnership. This opinion is being furnished in connection with the requirements of Item 601(b)(5) of Regulation S-K under the Securities Act of 1933, as amended, and the foregoing opinions are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opinions concerning the enforceability of indemnification provisions to the extent they purport to relate to liabilities resulting from or based upon negligence or any violation of federal or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1245"/>
        <w:gridCol w:w="2375"/>
      </w:tblGrid>
      <w:tr>
        <w:trPr/>
        <w:tc>
          <w:tcPr>
            <w:tcW w:w="1245" w:type="dxa"/>
            <w:tcBorders/>
            <w:vAlign w:val="center"/>
          </w:tcPr>
          <w:p>
            <w:pPr>
              <w:pStyle w:val="TableContents"/>
              <w:bidi w:val="0"/>
              <w:spacing w:before="0" w:after="283"/>
              <w:jc w:val="left"/>
              <w:rPr/>
            </w:pPr>
            <w:r>
              <w:rPr/>
              <w:t> </w:t>
            </w:r>
            <w:r>
              <w:rPr/>
              <w:drawing>
                <wp:inline distT="0" distB="0" distL="0" distR="0">
                  <wp:extent cx="742950" cy="390525"/>
                  <wp:effectExtent l="0" t="0" r="0" b="0"/>
                  <wp:docPr id="1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 descr=""/>
                          <pic:cNvPicPr>
                            <a:picLocks noChangeAspect="1" noChangeArrowheads="1"/>
                          </pic:cNvPicPr>
                        </pic:nvPicPr>
                        <pic:blipFill>
                          <a:blip r:embed="rId30"/>
                          <a:stretch>
                            <a:fillRect/>
                          </a:stretch>
                        </pic:blipFill>
                        <pic:spPr bwMode="auto">
                          <a:xfrm>
                            <a:off x="0" y="0"/>
                            <a:ext cx="742950" cy="390525"/>
                          </a:xfrm>
                          <a:prstGeom prst="rect">
                            <a:avLst/>
                          </a:prstGeom>
                        </pic:spPr>
                      </pic:pic>
                    </a:graphicData>
                  </a:graphic>
                </wp:inline>
              </w:drawing>
            </w:r>
          </w:p>
        </w:tc>
        <w:tc>
          <w:tcPr>
            <w:tcW w:w="2375" w:type="dxa"/>
            <w:tcBorders/>
            <w:vAlign w:val="center"/>
          </w:tcPr>
          <w:p>
            <w:pPr>
              <w:pStyle w:val="TableContents"/>
              <w:bidi w:val="0"/>
              <w:spacing w:before="0" w:after="283"/>
              <w:jc w:val="right"/>
              <w:rPr/>
            </w:pPr>
            <w:r>
              <w:rPr/>
              <w:t>March 30, 2026   Page 3</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Vinson &amp; Elkins L.L.P.</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Vinson &amp; Elkins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18" w:name="tm266712d4_ex8-1.htm"/>
      <w:bookmarkStart w:id="19" w:name="kstm266712d4_ex81"/>
      <w:bookmarkEnd w:id="18"/>
      <w:bookmarkEnd w:id="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18515" cy="146050"/>
            <wp:effectExtent l="0" t="0" r="0" b="0"/>
            <wp:docPr id="1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 descr=""/>
                    <pic:cNvPicPr>
                      <a:picLocks noChangeAspect="1" noChangeArrowheads="1"/>
                    </pic:cNvPicPr>
                  </pic:nvPicPr>
                  <pic:blipFill>
                    <a:blip r:embed="rId31"/>
                    <a:stretch>
                      <a:fillRect/>
                    </a:stretch>
                  </pic:blipFill>
                  <pic:spPr bwMode="auto">
                    <a:xfrm>
                      <a:off x="0" y="0"/>
                      <a:ext cx="818515" cy="146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Clay Street, Suite 1600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Plains GP Holdings, L.P.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Plains GP Holdings, L.P. (“</w:t>
      </w:r>
      <w:r>
        <w:rPr>
          <w:rFonts w:ascii="Times New Roman;Times;Serif" w:hAnsi="Times New Roman;Times;Serif"/>
          <w:b/>
          <w:i/>
          <w:caps w:val="false"/>
          <w:smallCaps w:val="false"/>
          <w:sz w:val="20"/>
        </w:rPr>
        <w:t>PAGP</w:t>
      </w:r>
      <w:r>
        <w:rPr>
          <w:rFonts w:ascii="Times New Roman;Times;Serif" w:hAnsi="Times New Roman;Times;Serif"/>
          <w:b w:val="false"/>
          <w:i w:val="false"/>
          <w:caps w:val="false"/>
          <w:smallCaps w:val="false"/>
          <w:sz w:val="20"/>
        </w:rPr>
        <w:t>”),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to which this opinion is an exhibit. The Registration Statement relates to the registration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Class A shares representing limited partner interests in PAGP.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based on various facts and assumptions, and is conditioned upon certain representations made by Plains All American Pipeline, L.P. (the “</w:t>
      </w:r>
      <w:r>
        <w:rPr>
          <w:rFonts w:ascii="Times New Roman;Times;Serif" w:hAnsi="Times New Roman;Times;Serif"/>
          <w:b/>
          <w:i/>
          <w:caps w:val="false"/>
          <w:smallCaps w:val="false"/>
          <w:sz w:val="20"/>
        </w:rPr>
        <w:t>Partnership</w:t>
      </w:r>
      <w:r>
        <w:rPr>
          <w:rFonts w:ascii="Times New Roman;Times;Serif" w:hAnsi="Times New Roman;Times;Serif"/>
          <w:b w:val="false"/>
          <w:i w:val="false"/>
          <w:caps w:val="false"/>
          <w:smallCaps w:val="false"/>
          <w:sz w:val="20"/>
        </w:rPr>
        <w:t>”), a Delaware limited partnership, as to factual matters through a certificate of an officer of the Partnership (the “</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In addition, this opinion is based upon the factual representations of PAGP concerning its business, properties and governing documents as set forth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5390"/>
        <w:gridCol w:w="4520"/>
      </w:tblGrid>
      <w:tr>
        <w:trPr/>
        <w:tc>
          <w:tcPr>
            <w:tcW w:w="53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Vinson &amp; Elkins LLP Attorneys at Law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Dallas Denver Dublin Dubai Houston London Los Angeles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Richmond San Francisco Tokyo Washington</w:t>
            </w:r>
          </w:p>
        </w:tc>
        <w:tc>
          <w:tcPr>
            <w:tcW w:w="45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 Texas Ave., Suite 4700</w:t>
              <w:br/>
              <w:t>Houston, TX 77002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w:t>
            </w:r>
            <w:r>
              <w:rPr>
                <w:rFonts w:ascii="Times New Roman;Times;Serif" w:hAnsi="Times New Roman;Times;Serif"/>
                <w:b w:val="false"/>
                <w:i w:val="false"/>
                <w:caps w:val="false"/>
                <w:smallCaps w:val="false"/>
                <w:sz w:val="20"/>
              </w:rPr>
              <w:t xml:space="preserve"> +1.713.758.2222 </w:t>
            </w:r>
            <w:r>
              <w:rPr>
                <w:rFonts w:ascii="Times New Roman;Times;Serif" w:hAnsi="Times New Roman;Times;Serif"/>
                <w:b/>
                <w:i w:val="false"/>
                <w:caps w:val="false"/>
                <w:smallCaps w:val="false"/>
                <w:sz w:val="20"/>
              </w:rPr>
              <w:t>Fax</w:t>
            </w:r>
            <w:r>
              <w:rPr>
                <w:rFonts w:ascii="Times New Roman;Times;Serif" w:hAnsi="Times New Roman;Times;Serif"/>
                <w:b w:val="false"/>
                <w:i w:val="false"/>
                <w:caps w:val="false"/>
                <w:smallCaps w:val="false"/>
                <w:sz w:val="20"/>
              </w:rPr>
              <w:t xml:space="preserve"> +1.713.758.2346 </w:t>
            </w:r>
            <w:r>
              <w:rPr>
                <w:rFonts w:ascii="Times New Roman;Times;Serif" w:hAnsi="Times New Roman;Times;Serif"/>
                <w:b/>
                <w:i w:val="false"/>
                <w:caps w:val="false"/>
                <w:smallCaps w:val="false"/>
                <w:sz w:val="20"/>
              </w:rPr>
              <w:t>velaw.com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1245"/>
        <w:gridCol w:w="2375"/>
      </w:tblGrid>
      <w:tr>
        <w:trPr/>
        <w:tc>
          <w:tcPr>
            <w:tcW w:w="1245" w:type="dxa"/>
            <w:tcBorders/>
            <w:vAlign w:val="center"/>
          </w:tcPr>
          <w:p>
            <w:pPr>
              <w:pStyle w:val="TableContents"/>
              <w:bidi w:val="0"/>
              <w:spacing w:before="0" w:after="283"/>
              <w:jc w:val="left"/>
              <w:rPr/>
            </w:pPr>
            <w:r>
              <w:rPr/>
              <w:drawing>
                <wp:inline distT="0" distB="0" distL="0" distR="0">
                  <wp:extent cx="742950" cy="390525"/>
                  <wp:effectExtent l="0" t="0" r="0" b="0"/>
                  <wp:docPr id="13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 descr=""/>
                          <pic:cNvPicPr>
                            <a:picLocks noChangeAspect="1" noChangeArrowheads="1"/>
                          </pic:cNvPicPr>
                        </pic:nvPicPr>
                        <pic:blipFill>
                          <a:blip r:embed="rId32"/>
                          <a:stretch>
                            <a:fillRect/>
                          </a:stretch>
                        </pic:blipFill>
                        <pic:spPr bwMode="auto">
                          <a:xfrm>
                            <a:off x="0" y="0"/>
                            <a:ext cx="742950" cy="390525"/>
                          </a:xfrm>
                          <a:prstGeom prst="rect">
                            <a:avLst/>
                          </a:prstGeom>
                        </pic:spPr>
                      </pic:pic>
                    </a:graphicData>
                  </a:graphic>
                </wp:inline>
              </w:drawing>
            </w:r>
            <w:r>
              <w:rPr/>
              <w:t> </w:t>
            </w:r>
          </w:p>
        </w:tc>
        <w:tc>
          <w:tcPr>
            <w:tcW w:w="2375" w:type="dxa"/>
            <w:tcBorders/>
            <w:vAlign w:val="center"/>
          </w:tcPr>
          <w:p>
            <w:pPr>
              <w:pStyle w:val="TableContents"/>
              <w:bidi w:val="0"/>
              <w:spacing w:before="0" w:after="283"/>
              <w:jc w:val="right"/>
              <w:rPr/>
            </w:pPr>
            <w:r>
              <w:rPr/>
              <w:t>March 30, 2026   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Vinson &amp; Elkins L.L.P.</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Vinson &amp; Elkins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0" w:name="tm266712d4_ex23-1.htm"/>
      <w:bookmarkStart w:id="21" w:name="kstm266712d4_ex231"/>
      <w:bookmarkEnd w:id="20"/>
      <w:bookmarkEnd w:id="2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Plains GP Holdings, L.P. of our report dated February 27, 2026 relating to the financial statements and the effectiveness of internal control over financial reporting, which appears in Plains GP Holdings, L.P.’s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2" w:name="tm266712d4_ex23-2.htm"/>
      <w:bookmarkStart w:id="23" w:name="kstm266712d4_ex232"/>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April 24, 2025, with respect to the consolidated financial statements of EPIC Crude Holdings, LP,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Antonio,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tm266712d3_ex-filingfees.htm"/>
      <w:bookmarkStart w:id="25" w:name="kstm266712d3_exfilingfees"/>
      <w:bookmarkStart w:id="26" w:name="tm266712d3_ex-filingfees.htm"/>
      <w:bookmarkStart w:id="27" w:name="kstm266712d3_exfilingfees"/>
      <w:bookmarkEnd w:id="26"/>
      <w:bookmarkEnd w:id="27"/>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PLAINS GP HOLDINGS LP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94" w:type="dxa"/>
        <w:jc w:val="left"/>
        <w:tblInd w:w="0" w:type="dxa"/>
        <w:tblLayout w:type="fixed"/>
        <w:tblCellMar>
          <w:top w:w="28" w:type="dxa"/>
          <w:left w:w="28" w:type="dxa"/>
          <w:bottom w:w="28" w:type="dxa"/>
          <w:right w:w="28" w:type="dxa"/>
        </w:tblCellMar>
      </w:tblPr>
      <w:tblGrid>
        <w:gridCol w:w="1126"/>
        <w:gridCol w:w="226"/>
        <w:gridCol w:w="946"/>
        <w:gridCol w:w="126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9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Class A shares representing limited partner interests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9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8" w:name="MaxAggtOfferingPrice"/>
            <w:bookmarkEnd w:id="28"/>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Offset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Net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3"/>
        <w:gridCol w:w="8709"/>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(1a) Any securities registered hereunder may be sold separately or as units with other securities registered hereunder. (1b) In accordance with Rule 456(b) and 457(r) under the Securities Act of 1933, as amended, Plains GP Holdings, L.P. ("Plains GP") is deferring payment of the registration fee required in connection with this registration statement and will pay the registration fee subsequently in advance or on a pay-as-you-go basis. Accordingly, no registration fee is paid herewith. (1c) There is being registered hereunder such indeterminate number of Class A common shares representing limited partnership interests in Plains GP as may from time to time be offered at indeterminate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81990/000158199026000012/pagp-20251231.htm" TargetMode="External"/><Relationship Id="rId4" Type="http://schemas.openxmlformats.org/officeDocument/2006/relationships/hyperlink" Target="https://www.sec.gov/ix?doc=/Archives/edgar/data/1581990/000158199026000004/pagp-20251031.htm" TargetMode="External"/><Relationship Id="rId5" Type="http://schemas.openxmlformats.org/officeDocument/2006/relationships/hyperlink" Target="https://www.sec.gov/ix?doc=/Archives/edgar/data/1581990/000110465926022839/tm267811d1_8k.htm" TargetMode="External"/><Relationship Id="rId6" Type="http://schemas.openxmlformats.org/officeDocument/2006/relationships/hyperlink" Target="https://www.sec.gov/ix?doc=/Archives/edgar/data/1581990/000158199025000006/pagp-20241231.htm" TargetMode="External"/><Relationship Id="rId7" Type="http://schemas.openxmlformats.org/officeDocument/2006/relationships/hyperlink" Target="https://www.sec.gov/ix?doc=/Archives/edgar/data/1581990/000110465925033938/tm252370-4_def14a.htm" TargetMode="External"/><Relationship Id="rId8" Type="http://schemas.openxmlformats.org/officeDocument/2006/relationships/hyperlink" Target="https://www.sec.gov/Archives/edgar/data/1581990/000158199025000006/pagp202410-kexhibit415.htm" TargetMode="External"/><Relationship Id="rId9" Type="http://schemas.openxmlformats.org/officeDocument/2006/relationships/hyperlink" Target="https://www.sec.gov/Archives/edgar/data/1581990/000110465916157336/a16-21686_18a12ba.htm" TargetMode="External"/><Relationship Id="rId10" Type="http://schemas.openxmlformats.org/officeDocument/2006/relationships/hyperlink" Target="https://www.sec.gov/Archives/edgar/data/1581990/000110465920134603/tm2037371-3_8a12b.htm" TargetMode="External"/><Relationship Id="rId11" Type="http://schemas.openxmlformats.org/officeDocument/2006/relationships/hyperlink" Target="https://www.sec.gov/ix?doc=/Archives/edgar/data/1581990/000158199026000012/pagp-20251231.htm" TargetMode="External"/><Relationship Id="rId12" Type="http://schemas.openxmlformats.org/officeDocument/2006/relationships/hyperlink" Target="https://www.sec.gov/ix?doc=/Archives/edgar/data/1581990/000158199026000012/pagp-20251231.htm" TargetMode="External"/><Relationship Id="rId13" Type="http://schemas.openxmlformats.org/officeDocument/2006/relationships/hyperlink" Target="https://www.sec.gov/ix?doc=/Archives/edgar/data/1581990/000158199026000012/pagp-20251231.htm" TargetMode="External"/><Relationship Id="rId14" Type="http://schemas.openxmlformats.org/officeDocument/2006/relationships/hyperlink" Target="https://www.sec.gov/Archives/edgar/data/1581990/000158199025000006/pagp202410-kexhibit415.htm" TargetMode="External"/><Relationship Id="rId15" Type="http://schemas.openxmlformats.org/officeDocument/2006/relationships/hyperlink" Target="https://www.sec.gov/Archives/edgar/data/1581990/000110465916157336/a16-21686_18a12ba.htm" TargetMode="External"/><Relationship Id="rId16" Type="http://schemas.openxmlformats.org/officeDocument/2006/relationships/hyperlink" Target="https://www.sec.gov/Archives/edgar/data/1581990/000110465920134603/tm2037371-3_8a12b.htm" TargetMode="External"/><Relationship Id="rId17" Type="http://schemas.openxmlformats.org/officeDocument/2006/relationships/hyperlink" Target="https://www.sec.gov/ix?doc=/Archives/edgar/data/1581990/000158199026000012/pagp-20251231.htm" TargetMode="External"/><Relationship Id="rId18" Type="http://schemas.openxmlformats.org/officeDocument/2006/relationships/hyperlink" Target="https://www.sec.gov/Archives/edgar/data/1581990/000104746913007875/a2216069zex-3_1.htm" TargetMode="External"/><Relationship Id="rId19" Type="http://schemas.openxmlformats.org/officeDocument/2006/relationships/hyperlink" Target="https://www.sec.gov/Archives/edgar/data/1581990/000110465916158356/a16-21845_1ex3d2.htm" TargetMode="External"/><Relationship Id="rId20" Type="http://schemas.openxmlformats.org/officeDocument/2006/relationships/hyperlink" Target="https://www.sec.gov/Archives/edgar/data/1581990/000158199020000012/exhibit31.htm" TargetMode="External"/><Relationship Id="rId21" Type="http://schemas.openxmlformats.org/officeDocument/2006/relationships/hyperlink" Target="https://www.sec.gov/Archives/edgar/data/1581990/000104746913007875/a2216069zex-3_3.htm" TargetMode="External"/><Relationship Id="rId22" Type="http://schemas.openxmlformats.org/officeDocument/2006/relationships/hyperlink" Target="https://www.sec.gov/Archives/edgar/data/1581990/000158199022000006/pagp202110-kexhibit311a.htm" TargetMode="External"/><Relationship Id="rId23" Type="http://schemas.openxmlformats.org/officeDocument/2006/relationships/hyperlink" Target="https://www.sec.gov/Archives/edgar/data/1070423/000110465917061889/a17-22685_5ex3d1.htm" TargetMode="External"/><Relationship Id="rId24" Type="http://schemas.openxmlformats.org/officeDocument/2006/relationships/hyperlink" Target="https://www.sec.gov/Archives/edgar/data/1581990/000110465916158356/a16-21845_1ex3d3.htm" TargetMode="External"/><Relationship Id="rId25" Type="http://schemas.openxmlformats.org/officeDocument/2006/relationships/hyperlink" Target="https://www.sec.gov/Archives/edgar/data/1581990/000110465916158356/a16-21845_1ex3d4.htm" TargetMode="External"/><Relationship Id="rId26" Type="http://schemas.openxmlformats.org/officeDocument/2006/relationships/hyperlink" Target="https://www.sec.gov/Archives/edgar/data/1581990/000110465923093996/tm2324102d2_ex3-1.htm" TargetMode="External"/><Relationship Id="rId27" Type="http://schemas.openxmlformats.org/officeDocument/2006/relationships/hyperlink" Target="https://www.sec.gov/Archives/edgar/data/1070423/000095012908000071/h52770exv3w3.htm" TargetMode="External"/><Relationship Id="rId28" Type="http://schemas.openxmlformats.org/officeDocument/2006/relationships/image" Target="media/image2.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3.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16518</Words>
  <Characters>87031</Characters>
  <CharactersWithSpaces>104414</CharactersWithSpaces>
  <Paragraphs>1399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