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November 25, 2008</w:t>
      </w:r>
    </w:p>
    <w:p>
      <w:pPr>
        <w:spacing w:after="0" w:line="19" w:lineRule="exact"/>
        <w:rPr>
          <w:sz w:val="20"/>
          <w:szCs w:val="20"/>
          <w:color w:val="auto"/>
        </w:rPr>
      </w:pPr>
    </w:p>
    <w:p>
      <w:pPr>
        <w:ind w:left="974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93"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-161925</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jc w:val="center"/>
        <w:ind w:right="-339"/>
        <w:spacing w:after="0"/>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0" w:lineRule="auto"/>
        <w:rPr>
          <w:sz w:val="20"/>
          <w:szCs w:val="20"/>
          <w:color w:val="auto"/>
        </w:rPr>
      </w:pPr>
      <w:r>
        <w:rPr>
          <w:rFonts w:ascii="Arial" w:cs="Arial" w:eastAsia="Arial" w:hAnsi="Arial"/>
          <w:sz w:val="16"/>
          <w:szCs w:val="16"/>
          <w:b w:val="1"/>
          <w:bCs w:val="1"/>
          <w:color w:val="auto"/>
        </w:rPr>
        <w:t>UNDER</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40640</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05" w:lineRule="exact"/>
        <w:rPr>
          <w:sz w:val="20"/>
          <w:szCs w:val="20"/>
          <w:color w:val="auto"/>
        </w:rPr>
      </w:pPr>
    </w:p>
    <w:p>
      <w:pPr>
        <w:ind w:left="3240"/>
        <w:spacing w:after="0"/>
        <w:rPr>
          <w:sz w:val="20"/>
          <w:szCs w:val="20"/>
          <w:color w:val="auto"/>
        </w:rPr>
      </w:pPr>
      <w:r>
        <w:rPr>
          <w:rFonts w:ascii="Arial" w:cs="Arial" w:eastAsia="Arial" w:hAnsi="Arial"/>
          <w:sz w:val="26"/>
          <w:szCs w:val="26"/>
          <w:b w:val="1"/>
          <w:bCs w:val="1"/>
          <w:color w:val="auto"/>
        </w:rPr>
        <w:t>PLAINS ALL AMERICAN PIPELINE, L.P.</w:t>
      </w:r>
    </w:p>
    <w:p>
      <w:pPr>
        <w:spacing w:after="0" w:line="28" w:lineRule="exact"/>
        <w:rPr>
          <w:sz w:val="20"/>
          <w:szCs w:val="20"/>
          <w:color w:val="auto"/>
        </w:rPr>
      </w:pPr>
    </w:p>
    <w:tbl>
      <w:tblPr>
        <w:tblLayout w:type="fixed"/>
        <w:tblInd w:w="2380" w:type="dxa"/>
        <w:tblCellMar>
          <w:top w:w="0" w:type="dxa"/>
          <w:left w:w="0" w:type="dxa"/>
          <w:bottom w:w="0" w:type="dxa"/>
          <w:right w:w="0" w:type="dxa"/>
        </w:tblCellMar>
      </w:tblPr>
      <w:tr>
        <w:trPr>
          <w:trHeight w:val="131"/>
        </w:trPr>
        <w:tc>
          <w:tcPr>
            <w:tcW w:w="1780" w:type="dxa"/>
            <w:vAlign w:val="bottom"/>
          </w:tcPr>
          <w:p>
            <w:pPr>
              <w:spacing w:after="0"/>
              <w:rPr>
                <w:sz w:val="11"/>
                <w:szCs w:val="11"/>
                <w:color w:val="auto"/>
              </w:rPr>
            </w:pPr>
          </w:p>
        </w:tc>
        <w:tc>
          <w:tcPr>
            <w:tcW w:w="4800" w:type="dxa"/>
            <w:vAlign w:val="bottom"/>
          </w:tcPr>
          <w:p>
            <w:pPr>
              <w:ind w:left="440"/>
              <w:spacing w:after="0"/>
              <w:rPr>
                <w:sz w:val="20"/>
                <w:szCs w:val="20"/>
                <w:color w:val="auto"/>
              </w:rPr>
            </w:pPr>
            <w:r>
              <w:rPr>
                <w:rFonts w:ascii="Arial" w:cs="Arial" w:eastAsia="Arial" w:hAnsi="Arial"/>
                <w:sz w:val="10"/>
                <w:szCs w:val="10"/>
                <w:i w:val="1"/>
                <w:iCs w:val="1"/>
                <w:color w:val="auto"/>
              </w:rPr>
              <w:t>(Exact Name of Registrant as Specified in its Charter)</w:t>
            </w:r>
          </w:p>
        </w:tc>
      </w:tr>
      <w:tr>
        <w:trPr>
          <w:trHeight w:val="165"/>
        </w:trPr>
        <w:tc>
          <w:tcPr>
            <w:tcW w:w="1780" w:type="dxa"/>
            <w:vAlign w:val="bottom"/>
          </w:tcPr>
          <w:p>
            <w:pPr>
              <w:jc w:val="center"/>
              <w:ind w:right="383"/>
              <w:spacing w:after="0"/>
              <w:rPr>
                <w:sz w:val="20"/>
                <w:szCs w:val="20"/>
                <w:color w:val="auto"/>
              </w:rPr>
            </w:pPr>
            <w:r>
              <w:rPr>
                <w:rFonts w:ascii="Arial" w:cs="Arial" w:eastAsia="Arial" w:hAnsi="Arial"/>
                <w:sz w:val="13"/>
                <w:szCs w:val="13"/>
                <w:b w:val="1"/>
                <w:bCs w:val="1"/>
                <w:color w:val="auto"/>
                <w:w w:val="94"/>
              </w:rPr>
              <w:t>Delaware</w:t>
            </w:r>
          </w:p>
        </w:tc>
        <w:tc>
          <w:tcPr>
            <w:tcW w:w="4800" w:type="dxa"/>
            <w:vAlign w:val="bottom"/>
          </w:tcPr>
          <w:p>
            <w:pPr>
              <w:jc w:val="center"/>
              <w:ind w:left="3784"/>
              <w:spacing w:after="0"/>
              <w:rPr>
                <w:sz w:val="20"/>
                <w:szCs w:val="20"/>
                <w:color w:val="auto"/>
              </w:rPr>
            </w:pPr>
            <w:r>
              <w:rPr>
                <w:rFonts w:ascii="Arial" w:cs="Arial" w:eastAsia="Arial" w:hAnsi="Arial"/>
                <w:sz w:val="13"/>
                <w:szCs w:val="13"/>
                <w:b w:val="1"/>
                <w:bCs w:val="1"/>
                <w:color w:val="auto"/>
                <w:w w:val="92"/>
              </w:rPr>
              <w:t>76-0582150</w:t>
            </w:r>
          </w:p>
        </w:tc>
      </w:tr>
      <w:tr>
        <w:trPr>
          <w:trHeight w:val="108"/>
        </w:trPr>
        <w:tc>
          <w:tcPr>
            <w:tcW w:w="1780" w:type="dxa"/>
            <w:vAlign w:val="bottom"/>
          </w:tcPr>
          <w:p>
            <w:pPr>
              <w:jc w:val="center"/>
              <w:ind w:right="383"/>
              <w:spacing w:after="0" w:line="108" w:lineRule="exact"/>
              <w:rPr>
                <w:sz w:val="20"/>
                <w:szCs w:val="20"/>
                <w:color w:val="auto"/>
              </w:rPr>
            </w:pPr>
            <w:r>
              <w:rPr>
                <w:rFonts w:ascii="Arial" w:cs="Arial" w:eastAsia="Arial" w:hAnsi="Arial"/>
                <w:sz w:val="10"/>
                <w:szCs w:val="10"/>
                <w:i w:val="1"/>
                <w:iCs w:val="1"/>
                <w:color w:val="auto"/>
                <w:w w:val="96"/>
              </w:rPr>
              <w:t>(State or Other Jurisdiction of</w:t>
            </w:r>
          </w:p>
        </w:tc>
        <w:tc>
          <w:tcPr>
            <w:tcW w:w="4800" w:type="dxa"/>
            <w:vAlign w:val="bottom"/>
          </w:tcPr>
          <w:p>
            <w:pPr>
              <w:jc w:val="center"/>
              <w:ind w:left="3804"/>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1780" w:type="dxa"/>
            <w:vAlign w:val="bottom"/>
          </w:tcPr>
          <w:p>
            <w:pPr>
              <w:jc w:val="center"/>
              <w:ind w:right="403"/>
              <w:spacing w:after="0"/>
              <w:rPr>
                <w:sz w:val="20"/>
                <w:szCs w:val="20"/>
                <w:color w:val="auto"/>
              </w:rPr>
            </w:pPr>
            <w:r>
              <w:rPr>
                <w:rFonts w:ascii="Arial" w:cs="Arial" w:eastAsia="Arial" w:hAnsi="Arial"/>
                <w:sz w:val="10"/>
                <w:szCs w:val="10"/>
                <w:i w:val="1"/>
                <w:iCs w:val="1"/>
                <w:color w:val="auto"/>
                <w:w w:val="99"/>
              </w:rPr>
              <w:t>Incorporation or Organization)</w:t>
            </w:r>
          </w:p>
        </w:tc>
        <w:tc>
          <w:tcPr>
            <w:tcW w:w="4800" w:type="dxa"/>
            <w:vAlign w:val="bottom"/>
          </w:tcPr>
          <w:p>
            <w:pPr>
              <w:jc w:val="center"/>
              <w:ind w:left="3784"/>
              <w:spacing w:after="0"/>
              <w:rPr>
                <w:sz w:val="20"/>
                <w:szCs w:val="20"/>
                <w:color w:val="auto"/>
              </w:rPr>
            </w:pPr>
            <w:r>
              <w:rPr>
                <w:rFonts w:ascii="Arial" w:cs="Arial" w:eastAsia="Arial" w:hAnsi="Arial"/>
                <w:sz w:val="10"/>
                <w:szCs w:val="10"/>
                <w:i w:val="1"/>
                <w:iCs w:val="1"/>
                <w:color w:val="auto"/>
                <w:w w:val="98"/>
              </w:rPr>
              <w:t>Identification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73"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333 Clay Street, Suite 1600</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Houston, Texas 77002</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(713) 646-4100</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(Address, Including Zip Code, and Telephone Number, including Area Code, of Registrant’s Principal Executive Offices)</w:t>
      </w:r>
    </w:p>
    <w:p>
      <w:pPr>
        <w:spacing w:after="0" w:line="4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Tim Moore</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Vice President and General Counsel</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333 Clay Street, Suite 1600</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Houston, Texas 77002</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(713) 646-4100</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60960</wp:posOffset>
            </wp:positionV>
            <wp:extent cx="10299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76"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i w:val="1"/>
          <w:iCs w:val="1"/>
          <w:color w:val="auto"/>
        </w:rPr>
        <w:t>Copy to:</w:t>
      </w:r>
    </w:p>
    <w:p>
      <w:pPr>
        <w:spacing w:after="0" w:line="92"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D. Alan Beck, Jr.</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Vinson &amp; Elkins L.L.P.</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First City Tower</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1001 Fannin Street, Suite 2500</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Houston, Texas 77002</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(713) 758-2222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74295</wp:posOffset>
            </wp:positionV>
            <wp:extent cx="10299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0"/>
          <w:szCs w:val="10"/>
          <w:b w:val="1"/>
          <w:bCs w:val="1"/>
          <w:color w:val="auto"/>
        </w:rPr>
        <w:t xml:space="preserve">Approximate date of commencement of proposed sale to the public: </w:t>
      </w:r>
      <w:r>
        <w:rPr>
          <w:rFonts w:ascii="Arial" w:cs="Arial" w:eastAsia="Arial" w:hAnsi="Arial"/>
          <w:sz w:val="10"/>
          <w:szCs w:val="10"/>
          <w:color w:val="auto"/>
        </w:rPr>
        <w:t>From time to time after the effective date of this Registration Statement.</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0"/>
          <w:szCs w:val="10"/>
          <w:color w:val="auto"/>
        </w:rPr>
        <w:t>If the only securities being registered on this form are being offered pursuant to dividend or interest reinvestment plans, please check the following box. o</w:t>
      </w:r>
    </w:p>
    <w:p>
      <w:pPr>
        <w:spacing w:after="0" w:line="42" w:lineRule="exact"/>
        <w:rPr>
          <w:sz w:val="20"/>
          <w:szCs w:val="20"/>
          <w:color w:val="auto"/>
        </w:rPr>
      </w:pPr>
    </w:p>
    <w:p>
      <w:pPr>
        <w:ind w:left="340" w:right="60" w:firstLine="216"/>
        <w:spacing w:after="0" w:line="131" w:lineRule="exact"/>
        <w:rPr>
          <w:sz w:val="20"/>
          <w:szCs w:val="20"/>
          <w:color w:val="auto"/>
        </w:rPr>
      </w:pPr>
      <w:r>
        <w:rPr>
          <w:rFonts w:ascii="Arial" w:cs="Arial" w:eastAsia="Arial" w:hAnsi="Arial"/>
          <w:sz w:val="10"/>
          <w:szCs w:val="10"/>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0"/>
          <w:szCs w:val="10"/>
          <w:color w:val="auto"/>
        </w:rPr>
        <w:t>☑</w:t>
      </w:r>
    </w:p>
    <w:p>
      <w:pPr>
        <w:spacing w:after="0" w:line="24" w:lineRule="exact"/>
        <w:rPr>
          <w:sz w:val="20"/>
          <w:szCs w:val="20"/>
          <w:color w:val="auto"/>
        </w:rPr>
      </w:pPr>
    </w:p>
    <w:p>
      <w:pPr>
        <w:ind w:left="340" w:firstLine="216"/>
        <w:spacing w:after="0" w:line="259" w:lineRule="auto"/>
        <w:rPr>
          <w:sz w:val="20"/>
          <w:szCs w:val="20"/>
          <w:color w:val="auto"/>
        </w:rPr>
      </w:pPr>
      <w:r>
        <w:rPr>
          <w:rFonts w:ascii="Arial" w:cs="Arial" w:eastAsia="Arial" w:hAnsi="Arial"/>
          <w:sz w:val="10"/>
          <w:szCs w:val="10"/>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9"/>
          <w:szCs w:val="9"/>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9"/>
          <w:szCs w:val="9"/>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54" w:lineRule="exact"/>
        <w:rPr>
          <w:sz w:val="20"/>
          <w:szCs w:val="20"/>
          <w:color w:val="auto"/>
        </w:rPr>
      </w:pPr>
    </w:p>
    <w:p>
      <w:pPr>
        <w:ind w:left="340" w:right="40" w:firstLine="216"/>
        <w:spacing w:after="0" w:line="259" w:lineRule="auto"/>
        <w:rPr>
          <w:sz w:val="20"/>
          <w:szCs w:val="20"/>
          <w:color w:val="auto"/>
        </w:rPr>
      </w:pPr>
      <w:r>
        <w:rPr>
          <w:rFonts w:ascii="Arial" w:cs="Arial" w:eastAsia="Arial" w:hAnsi="Arial"/>
          <w:sz w:val="10"/>
          <w:szCs w:val="10"/>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or a smaller reporting company. See the definitions of “large accelerated filer,” “accelerated filer” and “smaller reporting company” in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0"/>
          <w:szCs w:val="10"/>
          <w:color w:val="auto"/>
        </w:rPr>
        <w:t>Rule 12b-2 of the Exchange Act. (Check one):</w:t>
      </w: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138"/>
        </w:trPr>
        <w:tc>
          <w:tcPr>
            <w:tcW w:w="3100" w:type="dxa"/>
            <w:vAlign w:val="bottom"/>
          </w:tcPr>
          <w:p>
            <w:pPr>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tc>
        <w:tc>
          <w:tcPr>
            <w:tcW w:w="2340" w:type="dxa"/>
            <w:vAlign w:val="bottom"/>
            <w:gridSpan w:val="2"/>
          </w:tcPr>
          <w:p>
            <w:pPr>
              <w:ind w:left="560"/>
              <w:spacing w:after="0"/>
              <w:rPr>
                <w:sz w:val="20"/>
                <w:szCs w:val="20"/>
                <w:color w:val="auto"/>
              </w:rPr>
            </w:pPr>
            <w:r>
              <w:rPr>
                <w:rFonts w:ascii="Arial" w:cs="Arial" w:eastAsia="Arial" w:hAnsi="Arial"/>
                <w:sz w:val="10"/>
                <w:szCs w:val="10"/>
                <w:color w:val="auto"/>
              </w:rPr>
              <w:t>Accelerated filer o</w:t>
            </w:r>
          </w:p>
        </w:tc>
        <w:tc>
          <w:tcPr>
            <w:tcW w:w="300" w:type="dxa"/>
            <w:vAlign w:val="bottom"/>
          </w:tcPr>
          <w:p>
            <w:pPr>
              <w:spacing w:after="0"/>
              <w:rPr>
                <w:sz w:val="11"/>
                <w:szCs w:val="11"/>
                <w:color w:val="auto"/>
              </w:rPr>
            </w:pPr>
          </w:p>
        </w:tc>
        <w:tc>
          <w:tcPr>
            <w:tcW w:w="1980" w:type="dxa"/>
            <w:vAlign w:val="bottom"/>
            <w:gridSpan w:val="2"/>
          </w:tcPr>
          <w:p>
            <w:pPr>
              <w:ind w:left="520"/>
              <w:spacing w:after="0"/>
              <w:rPr>
                <w:sz w:val="20"/>
                <w:szCs w:val="20"/>
                <w:color w:val="auto"/>
              </w:rPr>
            </w:pPr>
            <w:r>
              <w:rPr>
                <w:rFonts w:ascii="Arial" w:cs="Arial" w:eastAsia="Arial" w:hAnsi="Arial"/>
                <w:sz w:val="10"/>
                <w:szCs w:val="10"/>
                <w:color w:val="auto"/>
              </w:rPr>
              <w:t>Non-accelerated filer o</w:t>
            </w:r>
          </w:p>
        </w:tc>
        <w:tc>
          <w:tcPr>
            <w:tcW w:w="1460" w:type="dxa"/>
            <w:vAlign w:val="bottom"/>
          </w:tcPr>
          <w:p>
            <w:pPr>
              <w:spacing w:after="0"/>
              <w:rPr>
                <w:sz w:val="11"/>
                <w:szCs w:val="11"/>
                <w:color w:val="auto"/>
              </w:rPr>
            </w:pPr>
          </w:p>
        </w:tc>
        <w:tc>
          <w:tcPr>
            <w:tcW w:w="1620" w:type="dxa"/>
            <w:vAlign w:val="bottom"/>
            <w:gridSpan w:val="2"/>
          </w:tcPr>
          <w:p>
            <w:pPr>
              <w:ind w:left="380"/>
              <w:spacing w:after="0"/>
              <w:rPr>
                <w:sz w:val="20"/>
                <w:szCs w:val="20"/>
                <w:color w:val="auto"/>
              </w:rPr>
            </w:pPr>
            <w:r>
              <w:rPr>
                <w:rFonts w:ascii="Arial" w:cs="Arial" w:eastAsia="Arial" w:hAnsi="Arial"/>
                <w:sz w:val="10"/>
                <w:szCs w:val="10"/>
                <w:color w:val="auto"/>
                <w:w w:val="95"/>
              </w:rPr>
              <w:t>Smaller reporting company o</w:t>
            </w: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80" w:type="dxa"/>
            <w:vAlign w:val="bottom"/>
            <w:gridSpan w:val="3"/>
          </w:tcPr>
          <w:p>
            <w:pPr>
              <w:jc w:val="center"/>
              <w:spacing w:after="0"/>
              <w:rPr>
                <w:sz w:val="20"/>
                <w:szCs w:val="20"/>
                <w:color w:val="auto"/>
              </w:rPr>
            </w:pPr>
            <w:r>
              <w:rPr>
                <w:rFonts w:ascii="Arial" w:cs="Arial" w:eastAsia="Arial" w:hAnsi="Arial"/>
                <w:sz w:val="10"/>
                <w:szCs w:val="10"/>
                <w:color w:val="auto"/>
                <w:w w:val="97"/>
              </w:rPr>
              <w:t>(Do not check if a smaller reporting company)</w:t>
            </w:r>
          </w:p>
        </w:tc>
        <w:tc>
          <w:tcPr>
            <w:tcW w:w="1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720" w:type="dxa"/>
            <w:vAlign w:val="bottom"/>
            <w:gridSpan w:val="4"/>
          </w:tcPr>
          <w:p>
            <w:pPr>
              <w:ind w:left="260"/>
              <w:spacing w:after="0"/>
              <w:rPr>
                <w:sz w:val="20"/>
                <w:szCs w:val="20"/>
                <w:color w:val="auto"/>
              </w:rPr>
            </w:pPr>
            <w:r>
              <w:rPr>
                <w:rFonts w:ascii="Arial" w:cs="Arial" w:eastAsia="Arial" w:hAnsi="Arial"/>
                <w:sz w:val="12"/>
                <w:szCs w:val="12"/>
                <w:b w:val="1"/>
                <w:bCs w:val="1"/>
                <w:color w:val="auto"/>
              </w:rPr>
              <w:t>CALCULATION OF REGISTRATION FEE</w:t>
            </w:r>
          </w:p>
        </w:tc>
        <w:tc>
          <w:tcPr>
            <w:tcW w:w="1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3100" w:type="dxa"/>
            <w:vAlign w:val="bottom"/>
            <w:tcBorders>
              <w:top w:val="single" w:sz="8" w:color="auto"/>
            </w:tcBorders>
            <w:vMerge w:val="restart"/>
          </w:tcPr>
          <w:p>
            <w:pPr>
              <w:jc w:val="center"/>
              <w:ind w:left="749"/>
              <w:spacing w:after="0"/>
              <w:rPr>
                <w:sz w:val="20"/>
                <w:szCs w:val="20"/>
                <w:color w:val="auto"/>
              </w:rPr>
            </w:pPr>
            <w:r>
              <w:rPr>
                <w:rFonts w:ascii="Arial" w:cs="Arial" w:eastAsia="Arial" w:hAnsi="Arial"/>
                <w:sz w:val="10"/>
                <w:szCs w:val="10"/>
                <w:b w:val="1"/>
                <w:bCs w:val="1"/>
                <w:color w:val="auto"/>
                <w:w w:val="92"/>
              </w:rPr>
              <w:t>Title of Each Class of</w:t>
            </w:r>
          </w:p>
        </w:tc>
        <w:tc>
          <w:tcPr>
            <w:tcW w:w="900" w:type="dxa"/>
            <w:vAlign w:val="bottom"/>
            <w:tcBorders>
              <w:top w:val="single" w:sz="8" w:color="auto"/>
              <w:right w:val="single" w:sz="8" w:color="auto"/>
            </w:tcBorders>
          </w:tcPr>
          <w:p>
            <w:pPr>
              <w:spacing w:after="0"/>
              <w:rPr>
                <w:sz w:val="7"/>
                <w:szCs w:val="7"/>
                <w:color w:val="auto"/>
              </w:rPr>
            </w:pPr>
          </w:p>
        </w:tc>
        <w:tc>
          <w:tcPr>
            <w:tcW w:w="1440" w:type="dxa"/>
            <w:vAlign w:val="bottom"/>
            <w:tcBorders>
              <w:top w:val="single" w:sz="8" w:color="auto"/>
            </w:tcBorders>
            <w:vMerge w:val="restart"/>
          </w:tcPr>
          <w:p>
            <w:pPr>
              <w:jc w:val="center"/>
              <w:ind w:left="228"/>
              <w:spacing w:after="0"/>
              <w:rPr>
                <w:sz w:val="20"/>
                <w:szCs w:val="20"/>
                <w:color w:val="auto"/>
              </w:rPr>
            </w:pPr>
            <w:r>
              <w:rPr>
                <w:rFonts w:ascii="Arial" w:cs="Arial" w:eastAsia="Arial" w:hAnsi="Arial"/>
                <w:sz w:val="10"/>
                <w:szCs w:val="10"/>
                <w:b w:val="1"/>
                <w:bCs w:val="1"/>
                <w:color w:val="auto"/>
                <w:w w:val="95"/>
              </w:rPr>
              <w:t>Amount</w:t>
            </w:r>
          </w:p>
        </w:tc>
        <w:tc>
          <w:tcPr>
            <w:tcW w:w="300" w:type="dxa"/>
            <w:vAlign w:val="bottom"/>
            <w:tcBorders>
              <w:top w:val="single" w:sz="8" w:color="auto"/>
              <w:right w:val="single" w:sz="8" w:color="auto"/>
            </w:tcBorders>
          </w:tcPr>
          <w:p>
            <w:pPr>
              <w:spacing w:after="0"/>
              <w:rPr>
                <w:sz w:val="7"/>
                <w:szCs w:val="7"/>
                <w:color w:val="auto"/>
              </w:rPr>
            </w:pPr>
          </w:p>
        </w:tc>
        <w:tc>
          <w:tcPr>
            <w:tcW w:w="1720" w:type="dxa"/>
            <w:vAlign w:val="bottom"/>
            <w:tcBorders>
              <w:top w:val="single" w:sz="8" w:color="auto"/>
              <w:right w:val="single" w:sz="8" w:color="auto"/>
            </w:tcBorders>
          </w:tcPr>
          <w:p>
            <w:pPr>
              <w:jc w:val="center"/>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260" w:type="dxa"/>
            <w:vAlign w:val="bottom"/>
            <w:tcBorders>
              <w:top w:val="single" w:sz="8" w:color="auto"/>
            </w:tcBorders>
          </w:tcPr>
          <w:p>
            <w:pPr>
              <w:spacing w:after="0"/>
              <w:rPr>
                <w:sz w:val="7"/>
                <w:szCs w:val="7"/>
                <w:color w:val="auto"/>
              </w:rPr>
            </w:pPr>
          </w:p>
        </w:tc>
        <w:tc>
          <w:tcPr>
            <w:tcW w:w="1460" w:type="dxa"/>
            <w:vAlign w:val="bottom"/>
            <w:tcBorders>
              <w:top w:val="single" w:sz="8" w:color="auto"/>
              <w:right w:val="single" w:sz="8" w:color="auto"/>
            </w:tcBorders>
          </w:tcPr>
          <w:p>
            <w:pPr>
              <w:jc w:val="center"/>
              <w:ind w:right="209"/>
              <w:spacing w:after="0" w:line="92" w:lineRule="exact"/>
              <w:rPr>
                <w:sz w:val="20"/>
                <w:szCs w:val="20"/>
                <w:color w:val="auto"/>
              </w:rPr>
            </w:pPr>
            <w:r>
              <w:rPr>
                <w:rFonts w:ascii="Arial" w:cs="Arial" w:eastAsia="Arial" w:hAnsi="Arial"/>
                <w:sz w:val="10"/>
                <w:szCs w:val="10"/>
                <w:b w:val="1"/>
                <w:bCs w:val="1"/>
                <w:color w:val="auto"/>
                <w:w w:val="96"/>
              </w:rPr>
              <w:t>Proposed Maximum</w:t>
            </w:r>
          </w:p>
        </w:tc>
        <w:tc>
          <w:tcPr>
            <w:tcW w:w="1600" w:type="dxa"/>
            <w:vAlign w:val="bottom"/>
            <w:tcBorders>
              <w:top w:val="single" w:sz="8" w:color="auto"/>
            </w:tcBorders>
          </w:tcPr>
          <w:p>
            <w:pPr>
              <w:jc w:val="center"/>
              <w:ind w:left="29"/>
              <w:spacing w:after="0" w:line="92" w:lineRule="exact"/>
              <w:rPr>
                <w:sz w:val="20"/>
                <w:szCs w:val="20"/>
                <w:color w:val="auto"/>
              </w:rPr>
            </w:pPr>
            <w:r>
              <w:rPr>
                <w:rFonts w:ascii="Arial" w:cs="Arial" w:eastAsia="Arial" w:hAnsi="Arial"/>
                <w:sz w:val="10"/>
                <w:szCs w:val="10"/>
                <w:b w:val="1"/>
                <w:bCs w:val="1"/>
                <w:color w:val="auto"/>
                <w:w w:val="95"/>
              </w:rPr>
              <w:t>Amount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100" w:type="dxa"/>
            <w:vAlign w:val="bottom"/>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440" w:type="dxa"/>
            <w:vAlign w:val="bottom"/>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7"/>
              </w:rPr>
              <w:t>Offering</w:t>
            </w:r>
          </w:p>
        </w:tc>
        <w:tc>
          <w:tcPr>
            <w:tcW w:w="260" w:type="dxa"/>
            <w:vAlign w:val="bottom"/>
          </w:tcPr>
          <w:p>
            <w:pPr>
              <w:spacing w:after="0"/>
              <w:rPr>
                <w:sz w:val="9"/>
                <w:szCs w:val="9"/>
                <w:color w:val="auto"/>
              </w:rPr>
            </w:pPr>
          </w:p>
        </w:tc>
        <w:tc>
          <w:tcPr>
            <w:tcW w:w="1460" w:type="dxa"/>
            <w:vAlign w:val="bottom"/>
            <w:tcBorders>
              <w:right w:val="single" w:sz="8" w:color="auto"/>
            </w:tcBorders>
          </w:tcPr>
          <w:p>
            <w:pPr>
              <w:jc w:val="center"/>
              <w:ind w:right="189"/>
              <w:spacing w:after="0" w:line="108" w:lineRule="exact"/>
              <w:rPr>
                <w:sz w:val="20"/>
                <w:szCs w:val="20"/>
                <w:color w:val="auto"/>
              </w:rPr>
            </w:pPr>
            <w:r>
              <w:rPr>
                <w:rFonts w:ascii="Arial" w:cs="Arial" w:eastAsia="Arial" w:hAnsi="Arial"/>
                <w:sz w:val="10"/>
                <w:szCs w:val="10"/>
                <w:b w:val="1"/>
                <w:bCs w:val="1"/>
                <w:color w:val="auto"/>
                <w:w w:val="92"/>
              </w:rPr>
              <w:t>Aggregate</w:t>
            </w:r>
          </w:p>
        </w:tc>
        <w:tc>
          <w:tcPr>
            <w:tcW w:w="1620" w:type="dxa"/>
            <w:vAlign w:val="bottom"/>
            <w:gridSpan w:val="2"/>
          </w:tcPr>
          <w:p>
            <w:pPr>
              <w:jc w:val="center"/>
              <w:ind w:left="29"/>
              <w:spacing w:after="0" w:line="108" w:lineRule="exact"/>
              <w:rPr>
                <w:sz w:val="20"/>
                <w:szCs w:val="20"/>
                <w:color w:val="auto"/>
              </w:rPr>
            </w:pPr>
            <w:r>
              <w:rPr>
                <w:rFonts w:ascii="Arial" w:cs="Arial" w:eastAsia="Arial" w:hAnsi="Arial"/>
                <w:sz w:val="10"/>
                <w:szCs w:val="10"/>
                <w:b w:val="1"/>
                <w:bCs w:val="1"/>
                <w:color w:val="auto"/>
                <w:w w:val="92"/>
              </w:rPr>
              <w:t>Registration</w:t>
            </w:r>
          </w:p>
        </w:tc>
        <w:tc>
          <w:tcPr>
            <w:tcW w:w="0" w:type="dxa"/>
            <w:vAlign w:val="bottom"/>
          </w:tcPr>
          <w:p>
            <w:pPr>
              <w:spacing w:after="0"/>
              <w:rPr>
                <w:sz w:val="1"/>
                <w:szCs w:val="1"/>
                <w:color w:val="auto"/>
              </w:rPr>
            </w:pPr>
          </w:p>
        </w:tc>
      </w:tr>
      <w:tr>
        <w:trPr>
          <w:trHeight w:val="125"/>
        </w:trPr>
        <w:tc>
          <w:tcPr>
            <w:tcW w:w="3100" w:type="dxa"/>
            <w:vAlign w:val="bottom"/>
          </w:tcPr>
          <w:p>
            <w:pPr>
              <w:jc w:val="center"/>
              <w:ind w:left="749"/>
              <w:spacing w:after="0"/>
              <w:rPr>
                <w:sz w:val="20"/>
                <w:szCs w:val="20"/>
                <w:color w:val="auto"/>
              </w:rPr>
            </w:pPr>
            <w:r>
              <w:rPr>
                <w:rFonts w:ascii="Arial" w:cs="Arial" w:eastAsia="Arial" w:hAnsi="Arial"/>
                <w:sz w:val="10"/>
                <w:szCs w:val="10"/>
                <w:b w:val="1"/>
                <w:bCs w:val="1"/>
                <w:color w:val="auto"/>
                <w:w w:val="91"/>
              </w:rPr>
              <w:t>Securities to be Registered</w:t>
            </w:r>
          </w:p>
        </w:tc>
        <w:tc>
          <w:tcPr>
            <w:tcW w:w="900" w:type="dxa"/>
            <w:vAlign w:val="bottom"/>
            <w:tcBorders>
              <w:right w:val="single" w:sz="8" w:color="auto"/>
            </w:tcBorders>
          </w:tcPr>
          <w:p>
            <w:pPr>
              <w:spacing w:after="0"/>
              <w:rPr>
                <w:sz w:val="10"/>
                <w:szCs w:val="10"/>
                <w:color w:val="auto"/>
              </w:rPr>
            </w:pPr>
          </w:p>
        </w:tc>
        <w:tc>
          <w:tcPr>
            <w:tcW w:w="1440" w:type="dxa"/>
            <w:vAlign w:val="bottom"/>
          </w:tcPr>
          <w:p>
            <w:pPr>
              <w:jc w:val="center"/>
              <w:ind w:left="228"/>
              <w:spacing w:after="0"/>
              <w:rPr>
                <w:sz w:val="20"/>
                <w:szCs w:val="20"/>
                <w:color w:val="auto"/>
              </w:rPr>
            </w:pPr>
            <w:r>
              <w:rPr>
                <w:rFonts w:ascii="Arial" w:cs="Arial" w:eastAsia="Arial" w:hAnsi="Arial"/>
                <w:sz w:val="10"/>
                <w:szCs w:val="10"/>
                <w:b w:val="1"/>
                <w:bCs w:val="1"/>
                <w:color w:val="auto"/>
                <w:w w:val="92"/>
              </w:rPr>
              <w:t>to be Registered(1)</w:t>
            </w:r>
          </w:p>
        </w:tc>
        <w:tc>
          <w:tcPr>
            <w:tcW w:w="3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Price per Unit</w:t>
            </w:r>
          </w:p>
        </w:tc>
        <w:tc>
          <w:tcPr>
            <w:tcW w:w="260" w:type="dxa"/>
            <w:vAlign w:val="bottom"/>
          </w:tcPr>
          <w:p>
            <w:pPr>
              <w:spacing w:after="0"/>
              <w:rPr>
                <w:sz w:val="10"/>
                <w:szCs w:val="10"/>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0"/>
                <w:szCs w:val="10"/>
                <w:b w:val="1"/>
                <w:bCs w:val="1"/>
                <w:color w:val="auto"/>
                <w:w w:val="96"/>
              </w:rPr>
              <w:t>Offering Price(2)</w:t>
            </w:r>
          </w:p>
        </w:tc>
        <w:tc>
          <w:tcPr>
            <w:tcW w:w="1620" w:type="dxa"/>
            <w:vAlign w:val="bottom"/>
            <w:gridSpan w:val="2"/>
          </w:tcPr>
          <w:p>
            <w:pPr>
              <w:jc w:val="center"/>
              <w:ind w:left="9"/>
              <w:spacing w:after="0"/>
              <w:rPr>
                <w:sz w:val="20"/>
                <w:szCs w:val="20"/>
                <w:color w:val="auto"/>
              </w:rPr>
            </w:pPr>
            <w:r>
              <w:rPr>
                <w:rFonts w:ascii="Arial" w:cs="Arial" w:eastAsia="Arial" w:hAnsi="Arial"/>
                <w:sz w:val="10"/>
                <w:szCs w:val="10"/>
                <w:b w:val="1"/>
                <w:bCs w:val="1"/>
                <w:color w:val="auto"/>
                <w:w w:val="92"/>
              </w:rPr>
              <w:t>Fee</w:t>
            </w:r>
          </w:p>
        </w:tc>
        <w:tc>
          <w:tcPr>
            <w:tcW w:w="0" w:type="dxa"/>
            <w:vAlign w:val="bottom"/>
          </w:tcPr>
          <w:p>
            <w:pPr>
              <w:spacing w:after="0"/>
              <w:rPr>
                <w:sz w:val="1"/>
                <w:szCs w:val="1"/>
                <w:color w:val="auto"/>
              </w:rPr>
            </w:pPr>
          </w:p>
        </w:tc>
      </w:tr>
      <w:tr>
        <w:trPr>
          <w:trHeight w:val="98"/>
        </w:trPr>
        <w:tc>
          <w:tcPr>
            <w:tcW w:w="3100" w:type="dxa"/>
            <w:vAlign w:val="bottom"/>
            <w:tcBorders>
              <w:top w:val="single" w:sz="8" w:color="auto"/>
              <w:bottom w:val="single" w:sz="8" w:color="auto"/>
            </w:tcBorders>
          </w:tcPr>
          <w:p>
            <w:pPr>
              <w:spacing w:after="0" w:line="88" w:lineRule="exact"/>
              <w:rPr>
                <w:sz w:val="20"/>
                <w:szCs w:val="20"/>
                <w:color w:val="auto"/>
              </w:rPr>
            </w:pPr>
            <w:r>
              <w:rPr>
                <w:rFonts w:ascii="Arial" w:cs="Arial" w:eastAsia="Arial" w:hAnsi="Arial"/>
                <w:sz w:val="9"/>
                <w:szCs w:val="9"/>
                <w:color w:val="auto"/>
              </w:rPr>
              <w:t>Common Units representing limited partner interests</w:t>
            </w:r>
          </w:p>
        </w:tc>
        <w:tc>
          <w:tcPr>
            <w:tcW w:w="900" w:type="dxa"/>
            <w:vAlign w:val="bottom"/>
            <w:tcBorders>
              <w:top w:val="single" w:sz="8" w:color="auto"/>
              <w:bottom w:val="single" w:sz="8" w:color="auto"/>
              <w:right w:val="single" w:sz="8" w:color="auto"/>
            </w:tcBorders>
          </w:tcPr>
          <w:p>
            <w:pPr>
              <w:spacing w:after="0"/>
              <w:rPr>
                <w:sz w:val="8"/>
                <w:szCs w:val="8"/>
                <w:color w:val="auto"/>
              </w:rPr>
            </w:pPr>
          </w:p>
        </w:tc>
        <w:tc>
          <w:tcPr>
            <w:tcW w:w="1440" w:type="dxa"/>
            <w:vAlign w:val="bottom"/>
            <w:tcBorders>
              <w:top w:val="single" w:sz="8" w:color="auto"/>
              <w:bottom w:val="single" w:sz="8" w:color="auto"/>
            </w:tcBorders>
          </w:tcPr>
          <w:p>
            <w:pPr>
              <w:jc w:val="center"/>
              <w:ind w:left="248"/>
              <w:spacing w:after="0" w:line="88" w:lineRule="exact"/>
              <w:rPr>
                <w:sz w:val="20"/>
                <w:szCs w:val="20"/>
                <w:color w:val="auto"/>
              </w:rPr>
            </w:pPr>
            <w:r>
              <w:rPr>
                <w:rFonts w:ascii="Arial" w:cs="Arial" w:eastAsia="Arial" w:hAnsi="Arial"/>
                <w:sz w:val="9"/>
                <w:szCs w:val="9"/>
                <w:color w:val="auto"/>
                <w:w w:val="93"/>
              </w:rPr>
              <w:t>17,646,478 units</w:t>
            </w:r>
          </w:p>
        </w:tc>
        <w:tc>
          <w:tcPr>
            <w:tcW w:w="300" w:type="dxa"/>
            <w:vAlign w:val="bottom"/>
            <w:tcBorders>
              <w:top w:val="single" w:sz="8" w:color="auto"/>
              <w:bottom w:val="single" w:sz="8" w:color="auto"/>
              <w:right w:val="single" w:sz="8" w:color="auto"/>
            </w:tcBorders>
          </w:tcPr>
          <w:p>
            <w:pPr>
              <w:spacing w:after="0"/>
              <w:rPr>
                <w:sz w:val="8"/>
                <w:szCs w:val="8"/>
                <w:color w:val="auto"/>
              </w:rPr>
            </w:pPr>
          </w:p>
        </w:tc>
        <w:tc>
          <w:tcPr>
            <w:tcW w:w="1720" w:type="dxa"/>
            <w:vAlign w:val="bottom"/>
            <w:tcBorders>
              <w:top w:val="single" w:sz="8" w:color="auto"/>
              <w:bottom w:val="single" w:sz="8" w:color="auto"/>
              <w:right w:val="single" w:sz="8" w:color="auto"/>
            </w:tcBorders>
          </w:tcPr>
          <w:p>
            <w:pPr>
              <w:jc w:val="center"/>
              <w:spacing w:after="0" w:line="88" w:lineRule="exact"/>
              <w:rPr>
                <w:sz w:val="20"/>
                <w:szCs w:val="20"/>
                <w:color w:val="auto"/>
              </w:rPr>
            </w:pPr>
            <w:r>
              <w:rPr>
                <w:rFonts w:ascii="Arial" w:cs="Arial" w:eastAsia="Arial" w:hAnsi="Arial"/>
                <w:sz w:val="9"/>
                <w:szCs w:val="9"/>
                <w:color w:val="auto"/>
                <w:w w:val="90"/>
              </w:rPr>
              <w:t>(3)</w:t>
            </w:r>
          </w:p>
        </w:tc>
        <w:tc>
          <w:tcPr>
            <w:tcW w:w="260" w:type="dxa"/>
            <w:vAlign w:val="bottom"/>
            <w:tcBorders>
              <w:top w:val="single" w:sz="8" w:color="auto"/>
              <w:bottom w:val="single" w:sz="8" w:color="auto"/>
            </w:tcBorders>
          </w:tcPr>
          <w:p>
            <w:pPr>
              <w:spacing w:after="0"/>
              <w:rPr>
                <w:sz w:val="8"/>
                <w:szCs w:val="8"/>
                <w:color w:val="auto"/>
              </w:rPr>
            </w:pPr>
          </w:p>
        </w:tc>
        <w:tc>
          <w:tcPr>
            <w:tcW w:w="1460" w:type="dxa"/>
            <w:vAlign w:val="bottom"/>
            <w:tcBorders>
              <w:top w:val="single" w:sz="8" w:color="auto"/>
              <w:bottom w:val="single" w:sz="8" w:color="auto"/>
              <w:right w:val="single" w:sz="8" w:color="auto"/>
            </w:tcBorders>
          </w:tcPr>
          <w:p>
            <w:pPr>
              <w:jc w:val="center"/>
              <w:ind w:right="189"/>
              <w:spacing w:after="0" w:line="88" w:lineRule="exact"/>
              <w:rPr>
                <w:sz w:val="20"/>
                <w:szCs w:val="20"/>
                <w:color w:val="auto"/>
              </w:rPr>
            </w:pPr>
            <w:r>
              <w:rPr>
                <w:rFonts w:ascii="Arial" w:cs="Arial" w:eastAsia="Arial" w:hAnsi="Arial"/>
                <w:sz w:val="9"/>
                <w:szCs w:val="9"/>
                <w:color w:val="auto"/>
                <w:w w:val="90"/>
              </w:rPr>
              <w:t>$490,130,926</w:t>
            </w:r>
          </w:p>
        </w:tc>
        <w:tc>
          <w:tcPr>
            <w:tcW w:w="1600" w:type="dxa"/>
            <w:vAlign w:val="bottom"/>
            <w:tcBorders>
              <w:top w:val="single" w:sz="8" w:color="auto"/>
              <w:bottom w:val="single" w:sz="8" w:color="auto"/>
            </w:tcBorders>
          </w:tcPr>
          <w:p>
            <w:pPr>
              <w:jc w:val="center"/>
              <w:ind w:left="49"/>
              <w:spacing w:after="0" w:line="88" w:lineRule="exact"/>
              <w:rPr>
                <w:sz w:val="20"/>
                <w:szCs w:val="20"/>
                <w:color w:val="auto"/>
              </w:rPr>
            </w:pPr>
            <w:r>
              <w:rPr>
                <w:rFonts w:ascii="Arial" w:cs="Arial" w:eastAsia="Arial" w:hAnsi="Arial"/>
                <w:sz w:val="9"/>
                <w:szCs w:val="9"/>
                <w:color w:val="auto"/>
                <w:w w:val="96"/>
              </w:rPr>
              <w:t>$19,262(4)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560" w:hanging="217"/>
        <w:spacing w:after="0"/>
        <w:tabs>
          <w:tab w:leader="none" w:pos="560" w:val="left"/>
        </w:tabs>
        <w:numPr>
          <w:ilvl w:val="0"/>
          <w:numId w:val="1"/>
        </w:numPr>
        <w:rPr>
          <w:rFonts w:ascii="Arial" w:cs="Arial" w:eastAsia="Arial" w:hAnsi="Arial"/>
          <w:sz w:val="9"/>
          <w:szCs w:val="9"/>
          <w:color w:val="auto"/>
        </w:rPr>
      </w:pPr>
      <w:r>
        <w:rPr>
          <w:rFonts w:ascii="Arial" w:cs="Arial" w:eastAsia="Arial" w:hAnsi="Arial"/>
          <w:sz w:val="9"/>
          <w:szCs w:val="9"/>
          <w:color w:val="auto"/>
        </w:rPr>
        <w:t>Pursuant to Rule 416(a), the number of common units being registered shall be adjusted to include any additional common units that may become issuable as a result of any unit distribution, split, combination or similar transaction.</w:t>
      </w:r>
    </w:p>
    <w:p>
      <w:pPr>
        <w:spacing w:after="0" w:line="14" w:lineRule="exact"/>
        <w:rPr>
          <w:rFonts w:ascii="Arial" w:cs="Arial" w:eastAsia="Arial" w:hAnsi="Arial"/>
          <w:sz w:val="9"/>
          <w:szCs w:val="9"/>
          <w:color w:val="auto"/>
        </w:rPr>
      </w:pPr>
    </w:p>
    <w:p>
      <w:pPr>
        <w:ind w:left="560" w:hanging="217"/>
        <w:spacing w:after="0"/>
        <w:tabs>
          <w:tab w:leader="none" w:pos="560" w:val="left"/>
        </w:tabs>
        <w:numPr>
          <w:ilvl w:val="0"/>
          <w:numId w:val="1"/>
        </w:numPr>
        <w:rPr>
          <w:rFonts w:ascii="Arial" w:cs="Arial" w:eastAsia="Arial" w:hAnsi="Arial"/>
          <w:sz w:val="9"/>
          <w:szCs w:val="9"/>
          <w:color w:val="auto"/>
        </w:rPr>
      </w:pPr>
      <w:r>
        <w:rPr>
          <w:rFonts w:ascii="Arial" w:cs="Arial" w:eastAsia="Arial" w:hAnsi="Arial"/>
          <w:sz w:val="9"/>
          <w:szCs w:val="9"/>
          <w:color w:val="auto"/>
        </w:rPr>
        <w:t>Estimated solely for the purpose of calculating the registration fee pursuant to Rule 457(c) of the Securities Act on the basis of the average of the high and low sales prices of the common units reported on the New York Stock Exchange on November 20, 2008.</w:t>
      </w:r>
    </w:p>
    <w:p>
      <w:pPr>
        <w:spacing w:after="0" w:line="34" w:lineRule="exact"/>
        <w:rPr>
          <w:rFonts w:ascii="Arial" w:cs="Arial" w:eastAsia="Arial" w:hAnsi="Arial"/>
          <w:sz w:val="9"/>
          <w:szCs w:val="9"/>
          <w:color w:val="auto"/>
        </w:rPr>
      </w:pPr>
    </w:p>
    <w:p>
      <w:pPr>
        <w:ind w:left="560" w:hanging="217"/>
        <w:spacing w:after="0"/>
        <w:tabs>
          <w:tab w:leader="none" w:pos="560" w:val="left"/>
        </w:tabs>
        <w:numPr>
          <w:ilvl w:val="0"/>
          <w:numId w:val="1"/>
        </w:numPr>
        <w:rPr>
          <w:rFonts w:ascii="Arial" w:cs="Arial" w:eastAsia="Arial" w:hAnsi="Arial"/>
          <w:sz w:val="9"/>
          <w:szCs w:val="9"/>
          <w:color w:val="auto"/>
        </w:rPr>
      </w:pPr>
      <w:r>
        <w:rPr>
          <w:rFonts w:ascii="Arial" w:cs="Arial" w:eastAsia="Arial" w:hAnsi="Arial"/>
          <w:sz w:val="9"/>
          <w:szCs w:val="9"/>
          <w:color w:val="auto"/>
        </w:rPr>
        <w:t>The proposed maximum offering price per common unit will be determined from time to time by the selling unitholders in connection with, and at the time of, the sale by the selling unitholders of the securities registered hereunder.</w:t>
      </w:r>
    </w:p>
    <w:p>
      <w:pPr>
        <w:spacing w:after="0" w:line="14" w:lineRule="exact"/>
        <w:rPr>
          <w:rFonts w:ascii="Arial" w:cs="Arial" w:eastAsia="Arial" w:hAnsi="Arial"/>
          <w:sz w:val="9"/>
          <w:szCs w:val="9"/>
          <w:color w:val="auto"/>
        </w:rPr>
      </w:pPr>
    </w:p>
    <w:p>
      <w:pPr>
        <w:ind w:left="560" w:hanging="217"/>
        <w:spacing w:after="0" w:line="256" w:lineRule="auto"/>
        <w:tabs>
          <w:tab w:leader="none" w:pos="560" w:val="left"/>
        </w:tabs>
        <w:numPr>
          <w:ilvl w:val="0"/>
          <w:numId w:val="1"/>
        </w:numPr>
        <w:rPr>
          <w:rFonts w:ascii="Arial" w:cs="Arial" w:eastAsia="Arial" w:hAnsi="Arial"/>
          <w:sz w:val="9"/>
          <w:szCs w:val="9"/>
          <w:color w:val="auto"/>
        </w:rPr>
      </w:pPr>
      <w:r>
        <w:rPr>
          <w:rFonts w:ascii="Arial" w:cs="Arial" w:eastAsia="Arial" w:hAnsi="Arial"/>
          <w:sz w:val="9"/>
          <w:szCs w:val="9"/>
          <w:color w:val="auto"/>
        </w:rPr>
        <w:t>All of the units included in this Registration Statement were previously covered by Registration Statement No. 333-126447. Pursuant to Rule 415(a)(6) of the Securities Act, the $92,073 filing fee previously paid in connection with such unsold common units will continue to be applied to such unsold common units. As a result, no filing fee is being paid herewith.</w:t>
      </w:r>
    </w:p>
    <w:p>
      <w:pPr>
        <w:spacing w:after="0" w:line="62" w:lineRule="exact"/>
        <w:rPr>
          <w:sz w:val="20"/>
          <w:szCs w:val="20"/>
          <w:color w:val="auto"/>
        </w:rPr>
      </w:pPr>
    </w:p>
    <w:p>
      <w:pPr>
        <w:ind w:left="340" w:right="60" w:firstLine="216"/>
        <w:spacing w:after="0" w:line="259" w:lineRule="auto"/>
        <w:rPr>
          <w:sz w:val="20"/>
          <w:szCs w:val="20"/>
          <w:color w:val="auto"/>
        </w:rPr>
      </w:pPr>
      <w:r>
        <w:rPr>
          <w:rFonts w:ascii="Arial" w:cs="Arial" w:eastAsia="Arial" w:hAnsi="Arial"/>
          <w:sz w:val="10"/>
          <w:szCs w:val="10"/>
          <w:color w:val="auto"/>
        </w:rPr>
        <w:t>Pursuant to Rule 415(a)(6), the offering of the common units covered by this Registration Statement that were previously covered by Registration Statement No. 333-126447 will be deemed terminated as of the date of effectiveness of this Registration Statement.</w:t>
      </w:r>
    </w:p>
    <w:p>
      <w:pPr>
        <w:spacing w:after="0" w:line="13" w:lineRule="exact"/>
        <w:rPr>
          <w:sz w:val="20"/>
          <w:szCs w:val="20"/>
          <w:color w:val="auto"/>
        </w:rPr>
      </w:pPr>
    </w:p>
    <w:p>
      <w:pPr>
        <w:ind w:left="340" w:right="80" w:firstLine="216"/>
        <w:spacing w:after="0" w:line="246"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29845</wp:posOffset>
            </wp:positionV>
            <wp:extent cx="684720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151130</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287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6255" cy="287655"/>
                    </a:xfrm>
                    <a:prstGeom prst="rect">
                      <a:avLst/>
                    </a:prstGeom>
                    <a:noFill/>
                  </pic:spPr>
                </pic:pic>
              </a:graphicData>
            </a:graphic>
          </wp:anchor>
        </w:drawing>
      </w:r>
    </w:p>
    <w:p>
      <w:pPr>
        <w:spacing w:after="0" w:line="308" w:lineRule="exact"/>
        <w:rPr>
          <w:sz w:val="20"/>
          <w:szCs w:val="20"/>
          <w:color w:val="auto"/>
        </w:rPr>
      </w:pPr>
    </w:p>
    <w:p>
      <w:pPr>
        <w:ind w:left="440" w:right="440"/>
        <w:spacing w:after="0" w:line="266" w:lineRule="auto"/>
        <w:rPr>
          <w:sz w:val="20"/>
          <w:szCs w:val="20"/>
          <w:color w:val="auto"/>
        </w:rPr>
      </w:pPr>
      <w:r>
        <w:rPr>
          <w:rFonts w:ascii="Arial" w:cs="Arial" w:eastAsia="Arial" w:hAnsi="Arial"/>
          <w:sz w:val="10"/>
          <w:szCs w:val="10"/>
          <w:color w:val="E8112D"/>
        </w:rPr>
        <w:t>The information in this prospectus is not complete and may be changed. The selling unitholders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8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E8112D"/>
        </w:rPr>
        <w:t>SUBJECT TO COMPLETION, DATED NOVEMBER 25, 2008</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PROSPECTUS</w:t>
      </w: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17,646,478 Common Units</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31"/>
          <w:szCs w:val="31"/>
          <w:b w:val="1"/>
          <w:bCs w:val="1"/>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86995</wp:posOffset>
            </wp:positionV>
            <wp:extent cx="114236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16" w:lineRule="exact"/>
        <w:rPr>
          <w:sz w:val="20"/>
          <w:szCs w:val="20"/>
          <w:color w:val="auto"/>
        </w:rPr>
      </w:pPr>
    </w:p>
    <w:p>
      <w:pPr>
        <w:ind w:left="680" w:right="1020" w:firstLine="399"/>
        <w:spacing w:after="0" w:line="264" w:lineRule="auto"/>
        <w:rPr>
          <w:sz w:val="20"/>
          <w:szCs w:val="20"/>
          <w:color w:val="auto"/>
        </w:rPr>
      </w:pPr>
      <w:r>
        <w:rPr>
          <w:rFonts w:ascii="Arial" w:cs="Arial" w:eastAsia="Arial" w:hAnsi="Arial"/>
          <w:sz w:val="13"/>
          <w:szCs w:val="13"/>
          <w:color w:val="auto"/>
        </w:rPr>
        <w:t>Up to 17,646,478 of our common units may be offered from time to time by the selling unitholders named in this prospectus. The selling unitholders may sell the common units at various times and in various types of transactions, including sales in the open market, sales in negotiated transactions and sales by a combination of methods. We will not receive any proceeds from the sale of common units by the selling unitholders.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common units are traded on the New York Stock Exchange under the symbol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114236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2" w:lineRule="exact"/>
        <w:rPr>
          <w:sz w:val="20"/>
          <w:szCs w:val="20"/>
          <w:color w:val="auto"/>
        </w:rPr>
      </w:pPr>
    </w:p>
    <w:p>
      <w:pPr>
        <w:ind w:left="680" w:right="840" w:firstLine="499"/>
        <w:spacing w:after="0" w:line="364" w:lineRule="auto"/>
        <w:rPr>
          <w:sz w:val="20"/>
          <w:szCs w:val="20"/>
          <w:color w:val="auto"/>
        </w:rPr>
      </w:pPr>
      <w:r>
        <w:rPr>
          <w:rFonts w:ascii="Arial" w:cs="Arial" w:eastAsia="Arial" w:hAnsi="Arial"/>
          <w:sz w:val="13"/>
          <w:szCs w:val="13"/>
          <w:b w:val="1"/>
          <w:bCs w:val="1"/>
          <w:color w:val="auto"/>
        </w:rPr>
        <w:t>Investing in our common units involves risks. Limited partnerships are inherently different from corporations. You should carefully consider the factors described under “Risk Factors” beginning on page 5 of this prospectus before you make an investment in our securities.</w:t>
      </w:r>
    </w:p>
    <w:p>
      <w:pPr>
        <w:spacing w:after="0" w:line="1"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55880</wp:posOffset>
            </wp:positionV>
            <wp:extent cx="114236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780" w:type="dxa"/>
            <w:vAlign w:val="bottom"/>
          </w:tcPr>
          <w:p>
            <w:pPr>
              <w:ind w:left="2080"/>
              <w:spacing w:after="0"/>
              <w:rPr>
                <w:sz w:val="20"/>
                <w:szCs w:val="20"/>
                <w:color w:val="auto"/>
              </w:rPr>
            </w:pPr>
            <w:r>
              <w:rPr>
                <w:rFonts w:ascii="Arial" w:cs="Arial" w:eastAsia="Arial" w:hAnsi="Arial"/>
                <w:sz w:val="13"/>
                <w:szCs w:val="13"/>
                <w:color w:val="auto"/>
                <w:w w:val="98"/>
              </w:rPr>
              <w:t>The date of this prospectus is</w:t>
            </w:r>
          </w:p>
        </w:tc>
        <w:tc>
          <w:tcPr>
            <w:tcW w:w="5200" w:type="dxa"/>
            <w:vAlign w:val="bottom"/>
          </w:tcPr>
          <w:p>
            <w:pPr>
              <w:jc w:val="right"/>
              <w:ind w:right="4614"/>
              <w:spacing w:after="0"/>
              <w:rPr>
                <w:sz w:val="20"/>
                <w:szCs w:val="20"/>
                <w:color w:val="auto"/>
              </w:rPr>
            </w:pPr>
            <w:r>
              <w:rPr>
                <w:rFonts w:ascii="Arial" w:cs="Arial" w:eastAsia="Arial" w:hAnsi="Arial"/>
                <w:sz w:val="13"/>
                <w:szCs w:val="13"/>
                <w:color w:val="auto"/>
              </w:rPr>
              <w:t>, 2008.</w:t>
            </w:r>
          </w:p>
        </w:tc>
      </w:tr>
      <w:tr>
        <w:trPr>
          <w:trHeight w:val="100"/>
        </w:trPr>
        <w:tc>
          <w:tcPr>
            <w:tcW w:w="68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5200" w:type="dxa"/>
            <w:vAlign w:val="bottom"/>
          </w:tcPr>
          <w:p>
            <w:pPr>
              <w:spacing w:after="0"/>
              <w:rPr>
                <w:sz w:val="8"/>
                <w:szCs w:val="8"/>
                <w:color w:val="auto"/>
              </w:rPr>
            </w:pPr>
          </w:p>
        </w:tc>
      </w:tr>
      <w:tr>
        <w:trPr>
          <w:trHeight w:val="250"/>
        </w:trPr>
        <w:tc>
          <w:tcPr>
            <w:tcW w:w="680" w:type="dxa"/>
            <w:vAlign w:val="bottom"/>
            <w:tcBorders>
              <w:bottom w:val="single" w:sz="8" w:color="808080"/>
            </w:tcBorders>
          </w:tcPr>
          <w:p>
            <w:pPr>
              <w:spacing w:after="0"/>
              <w:rPr>
                <w:sz w:val="21"/>
                <w:szCs w:val="21"/>
                <w:color w:val="auto"/>
              </w:rPr>
            </w:pPr>
          </w:p>
        </w:tc>
        <w:tc>
          <w:tcPr>
            <w:tcW w:w="1800" w:type="dxa"/>
            <w:vAlign w:val="bottom"/>
            <w:tcBorders>
              <w:bottom w:val="single" w:sz="8" w:color="808080"/>
            </w:tcBorders>
          </w:tcPr>
          <w:p>
            <w:pPr>
              <w:spacing w:after="0"/>
              <w:rPr>
                <w:sz w:val="21"/>
                <w:szCs w:val="21"/>
                <w:color w:val="auto"/>
              </w:rPr>
            </w:pPr>
          </w:p>
        </w:tc>
        <w:tc>
          <w:tcPr>
            <w:tcW w:w="3780" w:type="dxa"/>
            <w:vAlign w:val="bottom"/>
            <w:tcBorders>
              <w:bottom w:val="single" w:sz="8" w:color="808080"/>
            </w:tcBorders>
          </w:tcPr>
          <w:p>
            <w:pPr>
              <w:spacing w:after="0"/>
              <w:rPr>
                <w:sz w:val="21"/>
                <w:szCs w:val="21"/>
                <w:color w:val="auto"/>
              </w:rPr>
            </w:pPr>
          </w:p>
        </w:tc>
        <w:tc>
          <w:tcPr>
            <w:tcW w:w="52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40" w:type="dxa"/>
            <w:vAlign w:val="bottom"/>
          </w:tcPr>
          <w:p>
            <w:pPr>
              <w:jc w:val="right"/>
              <w:ind w:right="4394"/>
              <w:spacing w:after="0"/>
              <w:rPr>
                <w:sz w:val="20"/>
                <w:szCs w:val="20"/>
                <w:color w:val="auto"/>
              </w:rPr>
            </w:pPr>
            <w:r>
              <w:rPr>
                <w:rFonts w:ascii="Arial" w:cs="Arial" w:eastAsia="Arial" w:hAnsi="Arial"/>
                <w:sz w:val="13"/>
                <w:szCs w:val="13"/>
                <w:b w:val="1"/>
                <w:bCs w:val="1"/>
                <w:color w:val="auto"/>
              </w:rPr>
              <w:t>Table of Contents</w:t>
            </w:r>
          </w:p>
        </w:tc>
      </w:tr>
      <w:tr>
        <w:trPr>
          <w:trHeight w:val="306"/>
        </w:trPr>
        <w:tc>
          <w:tcPr>
            <w:tcW w:w="1640" w:type="dxa"/>
            <w:vAlign w:val="bottom"/>
            <w:tcBorders>
              <w:bottom w:val="single" w:sz="8" w:color="0000EE"/>
            </w:tcBorders>
            <w:gridSpan w:val="11"/>
          </w:tcPr>
          <w:p>
            <w:pPr>
              <w:spacing w:after="0"/>
              <w:rPr>
                <w:rFonts w:ascii="Arial" w:cs="Arial" w:eastAsia="Arial" w:hAnsi="Arial"/>
                <w:sz w:val="13"/>
                <w:szCs w:val="13"/>
                <w:color w:val="0000EE"/>
                <w:w w:val="94"/>
              </w:rPr>
            </w:pPr>
            <w:hyperlink w:anchor="page4">
              <w:r>
                <w:rPr>
                  <w:rFonts w:ascii="Arial" w:cs="Arial" w:eastAsia="Arial" w:hAnsi="Arial"/>
                  <w:sz w:val="13"/>
                  <w:szCs w:val="13"/>
                  <w:color w:val="0000EE"/>
                  <w:w w:val="94"/>
                </w:rPr>
                <w:t>ABOUT THIS PROSPECTUS</w:t>
              </w:r>
            </w:hyperlink>
          </w:p>
        </w:tc>
        <w:tc>
          <w:tcPr>
            <w:tcW w:w="2160" w:type="dxa"/>
            <w:vAlign w:val="bottom"/>
            <w:gridSpan w:val="7"/>
          </w:tcPr>
          <w:p>
            <w:pPr>
              <w:spacing w:after="0"/>
              <w:rPr>
                <w:sz w:val="24"/>
                <w:szCs w:val="24"/>
                <w:color w:val="auto"/>
              </w:rPr>
            </w:pPr>
          </w:p>
        </w:tc>
        <w:tc>
          <w:tcPr>
            <w:tcW w:w="6140" w:type="dxa"/>
            <w:vAlign w:val="bottom"/>
          </w:tcPr>
          <w:p>
            <w:pPr>
              <w:jc w:val="right"/>
              <w:spacing w:after="0"/>
              <w:rPr>
                <w:sz w:val="20"/>
                <w:szCs w:val="20"/>
                <w:color w:val="auto"/>
              </w:rPr>
            </w:pPr>
            <w:r>
              <w:rPr>
                <w:rFonts w:ascii="Arial" w:cs="Arial" w:eastAsia="Arial" w:hAnsi="Arial"/>
                <w:sz w:val="13"/>
                <w:szCs w:val="13"/>
                <w:color w:val="auto"/>
              </w:rPr>
              <w:t>i</w:t>
            </w:r>
          </w:p>
        </w:tc>
      </w:tr>
      <w:tr>
        <w:trPr>
          <w:trHeight w:val="137"/>
        </w:trPr>
        <w:tc>
          <w:tcPr>
            <w:tcW w:w="3800" w:type="dxa"/>
            <w:vAlign w:val="bottom"/>
            <w:gridSpan w:val="18"/>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WHERE YOU CAN FIND MORE INFORMATION</w:t>
              </w:r>
            </w:hyperlink>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2780" w:type="dxa"/>
            <w:vAlign w:val="bottom"/>
            <w:tcBorders>
              <w:top w:val="single" w:sz="8" w:color="0000EE"/>
            </w:tcBorders>
            <w:gridSpan w:val="16"/>
          </w:tcPr>
          <w:p>
            <w:pPr>
              <w:spacing w:after="0" w:line="138" w:lineRule="exact"/>
              <w:rPr>
                <w:rFonts w:ascii="Arial" w:cs="Arial" w:eastAsia="Arial" w:hAnsi="Arial"/>
                <w:sz w:val="13"/>
                <w:szCs w:val="13"/>
                <w:color w:val="0000EE"/>
              </w:rPr>
            </w:pPr>
            <w:hyperlink w:anchor="page7">
              <w:r>
                <w:rPr>
                  <w:rFonts w:ascii="Arial" w:cs="Arial" w:eastAsia="Arial" w:hAnsi="Arial"/>
                  <w:sz w:val="13"/>
                  <w:szCs w:val="13"/>
                  <w:color w:val="0000EE"/>
                </w:rPr>
                <w:t>FORWARD-LOOKING STATEMENTS</w:t>
              </w:r>
            </w:hyperlink>
          </w:p>
        </w:tc>
        <w:tc>
          <w:tcPr>
            <w:tcW w:w="1020" w:type="dxa"/>
            <w:vAlign w:val="bottom"/>
            <w:gridSpan w:val="2"/>
          </w:tcPr>
          <w:p>
            <w:pPr>
              <w:spacing w:after="0"/>
              <w:rPr>
                <w:sz w:val="11"/>
                <w:szCs w:val="11"/>
                <w:color w:val="auto"/>
              </w:rPr>
            </w:pPr>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r>
      <w:tr>
        <w:trPr>
          <w:trHeight w:val="137"/>
        </w:trPr>
        <w:tc>
          <w:tcPr>
            <w:tcW w:w="86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6"/>
              </w:rPr>
            </w:pPr>
            <w:hyperlink w:anchor="page8">
              <w:r>
                <w:rPr>
                  <w:rFonts w:ascii="Arial" w:cs="Arial" w:eastAsia="Arial" w:hAnsi="Arial"/>
                  <w:sz w:val="13"/>
                  <w:szCs w:val="13"/>
                  <w:color w:val="0000EE"/>
                  <w:w w:val="96"/>
                </w:rPr>
                <w:t>WHO WE ARE</w:t>
              </w:r>
            </w:hyperlink>
          </w:p>
        </w:tc>
        <w:tc>
          <w:tcPr>
            <w:tcW w:w="1280" w:type="dxa"/>
            <w:vAlign w:val="bottom"/>
            <w:tcBorders>
              <w:top w:val="single" w:sz="8" w:color="0000EE"/>
            </w:tcBorders>
            <w:gridSpan w:val="8"/>
          </w:tcPr>
          <w:p>
            <w:pPr>
              <w:spacing w:after="0"/>
              <w:rPr>
                <w:sz w:val="11"/>
                <w:szCs w:val="11"/>
                <w:color w:val="auto"/>
              </w:rPr>
            </w:pPr>
          </w:p>
        </w:tc>
        <w:tc>
          <w:tcPr>
            <w:tcW w:w="1660" w:type="dxa"/>
            <w:vAlign w:val="bottom"/>
            <w:gridSpan w:val="5"/>
          </w:tcPr>
          <w:p>
            <w:pPr>
              <w:spacing w:after="0"/>
              <w:rPr>
                <w:sz w:val="11"/>
                <w:szCs w:val="11"/>
                <w:color w:val="auto"/>
              </w:rPr>
            </w:pPr>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r>
      <w:tr>
        <w:trPr>
          <w:trHeight w:val="137"/>
        </w:trPr>
        <w:tc>
          <w:tcPr>
            <w:tcW w:w="920" w:type="dxa"/>
            <w:vAlign w:val="bottom"/>
            <w:tcBorders>
              <w:bottom w:val="single" w:sz="8" w:color="0000EE"/>
            </w:tcBorders>
            <w:gridSpan w:val="6"/>
          </w:tcPr>
          <w:p>
            <w:pPr>
              <w:spacing w:after="0" w:line="138" w:lineRule="exact"/>
              <w:rPr>
                <w:rFonts w:ascii="Arial" w:cs="Arial" w:eastAsia="Arial" w:hAnsi="Arial"/>
                <w:sz w:val="13"/>
                <w:szCs w:val="13"/>
                <w:color w:val="0000EE"/>
                <w:w w:val="93"/>
              </w:rPr>
            </w:pPr>
            <w:hyperlink w:anchor="page9">
              <w:r>
                <w:rPr>
                  <w:rFonts w:ascii="Arial" w:cs="Arial" w:eastAsia="Arial" w:hAnsi="Arial"/>
                  <w:sz w:val="13"/>
                  <w:szCs w:val="13"/>
                  <w:color w:val="0000EE"/>
                  <w:w w:val="93"/>
                </w:rPr>
                <w:t>RISK FACTORS</w:t>
              </w:r>
            </w:hyperlink>
          </w:p>
        </w:tc>
        <w:tc>
          <w:tcPr>
            <w:tcW w:w="2880" w:type="dxa"/>
            <w:vAlign w:val="bottom"/>
            <w:gridSpan w:val="12"/>
          </w:tcPr>
          <w:p>
            <w:pPr>
              <w:spacing w:after="0"/>
              <w:rPr>
                <w:sz w:val="11"/>
                <w:szCs w:val="11"/>
                <w:color w:val="auto"/>
              </w:rPr>
            </w:pPr>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r>
      <w:tr>
        <w:trPr>
          <w:trHeight w:val="137"/>
        </w:trPr>
        <w:tc>
          <w:tcPr>
            <w:tcW w:w="1160" w:type="dxa"/>
            <w:vAlign w:val="bottom"/>
            <w:tcBorders>
              <w:bottom w:val="single" w:sz="8" w:color="0000EE"/>
            </w:tcBorders>
            <w:gridSpan w:val="8"/>
          </w:tcPr>
          <w:p>
            <w:pPr>
              <w:spacing w:after="0" w:line="138" w:lineRule="exact"/>
              <w:rPr>
                <w:rFonts w:ascii="Arial" w:cs="Arial" w:eastAsia="Arial" w:hAnsi="Arial"/>
                <w:sz w:val="13"/>
                <w:szCs w:val="13"/>
                <w:color w:val="0000EE"/>
                <w:w w:val="91"/>
              </w:rPr>
            </w:pPr>
            <w:hyperlink w:anchor="page10">
              <w:r>
                <w:rPr>
                  <w:rFonts w:ascii="Arial" w:cs="Arial" w:eastAsia="Arial" w:hAnsi="Arial"/>
                  <w:sz w:val="13"/>
                  <w:szCs w:val="13"/>
                  <w:color w:val="0000EE"/>
                  <w:w w:val="91"/>
                </w:rPr>
                <w:t>USE OF PROCEEDS</w:t>
              </w:r>
            </w:hyperlink>
          </w:p>
        </w:tc>
        <w:tc>
          <w:tcPr>
            <w:tcW w:w="2640" w:type="dxa"/>
            <w:vAlign w:val="bottom"/>
            <w:gridSpan w:val="10"/>
          </w:tcPr>
          <w:p>
            <w:pPr>
              <w:spacing w:after="0"/>
              <w:rPr>
                <w:sz w:val="11"/>
                <w:szCs w:val="11"/>
                <w:color w:val="auto"/>
              </w:rPr>
            </w:pPr>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r>
      <w:tr>
        <w:trPr>
          <w:trHeight w:val="137"/>
        </w:trPr>
        <w:tc>
          <w:tcPr>
            <w:tcW w:w="3800" w:type="dxa"/>
            <w:vAlign w:val="bottom"/>
            <w:gridSpan w:val="18"/>
          </w:tcPr>
          <w:p>
            <w:pPr>
              <w:spacing w:after="0" w:line="138" w:lineRule="exact"/>
              <w:rPr>
                <w:rFonts w:ascii="Arial" w:cs="Arial" w:eastAsia="Arial" w:hAnsi="Arial"/>
                <w:sz w:val="13"/>
                <w:szCs w:val="13"/>
                <w:color w:val="0000EE"/>
              </w:rPr>
            </w:pPr>
            <w:hyperlink w:anchor="page11">
              <w:r>
                <w:rPr>
                  <w:rFonts w:ascii="Arial" w:cs="Arial" w:eastAsia="Arial" w:hAnsi="Arial"/>
                  <w:sz w:val="13"/>
                  <w:szCs w:val="13"/>
                  <w:color w:val="0000EE"/>
                </w:rPr>
                <w:t>DESCRIPTION OF OUR COMMON UNITS</w:t>
              </w:r>
            </w:hyperlink>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7</w:t>
            </w:r>
          </w:p>
        </w:tc>
      </w:tr>
      <w:tr>
        <w:trPr>
          <w:trHeight w:val="137"/>
        </w:trPr>
        <w:tc>
          <w:tcPr>
            <w:tcW w:w="1820" w:type="dxa"/>
            <w:vAlign w:val="bottom"/>
            <w:tcBorders>
              <w:top w:val="single" w:sz="8" w:color="0000EE"/>
              <w:bottom w:val="single" w:sz="8" w:color="0000EE"/>
            </w:tcBorders>
            <w:gridSpan w:val="12"/>
          </w:tcPr>
          <w:p>
            <w:pPr>
              <w:spacing w:after="0" w:line="138" w:lineRule="exact"/>
              <w:rPr>
                <w:rFonts w:ascii="Arial" w:cs="Arial" w:eastAsia="Arial" w:hAnsi="Arial"/>
                <w:sz w:val="13"/>
                <w:szCs w:val="13"/>
                <w:color w:val="0000EE"/>
                <w:w w:val="98"/>
              </w:rPr>
            </w:pPr>
            <w:hyperlink w:anchor="page13">
              <w:r>
                <w:rPr>
                  <w:rFonts w:ascii="Arial" w:cs="Arial" w:eastAsia="Arial" w:hAnsi="Arial"/>
                  <w:sz w:val="13"/>
                  <w:szCs w:val="13"/>
                  <w:color w:val="0000EE"/>
                  <w:w w:val="98"/>
                </w:rPr>
                <w:t>CASH DISTRIBUTION POLICY</w:t>
              </w:r>
            </w:hyperlink>
          </w:p>
        </w:tc>
        <w:tc>
          <w:tcPr>
            <w:tcW w:w="600" w:type="dxa"/>
            <w:vAlign w:val="bottom"/>
            <w:tcBorders>
              <w:top w:val="single" w:sz="8" w:color="0000EE"/>
            </w:tcBorders>
            <w:gridSpan w:val="2"/>
          </w:tcPr>
          <w:p>
            <w:pPr>
              <w:spacing w:after="0"/>
              <w:rPr>
                <w:sz w:val="11"/>
                <w:szCs w:val="11"/>
                <w:color w:val="auto"/>
              </w:rPr>
            </w:pPr>
          </w:p>
        </w:tc>
        <w:tc>
          <w:tcPr>
            <w:tcW w:w="1380" w:type="dxa"/>
            <w:vAlign w:val="bottom"/>
            <w:gridSpan w:val="4"/>
          </w:tcPr>
          <w:p>
            <w:pPr>
              <w:spacing w:after="0"/>
              <w:rPr>
                <w:sz w:val="11"/>
                <w:szCs w:val="11"/>
                <w:color w:val="auto"/>
              </w:rPr>
            </w:pPr>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9</w:t>
            </w:r>
          </w:p>
        </w:tc>
      </w:tr>
      <w:tr>
        <w:trPr>
          <w:trHeight w:val="137"/>
        </w:trPr>
        <w:tc>
          <w:tcPr>
            <w:tcW w:w="3800" w:type="dxa"/>
            <w:vAlign w:val="bottom"/>
            <w:gridSpan w:val="18"/>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DESCRIPTION OF OUR PARTNERSHIP AGREEMENT</w:t>
              </w:r>
            </w:hyperlink>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13</w:t>
            </w:r>
          </w:p>
        </w:tc>
      </w:tr>
      <w:tr>
        <w:trPr>
          <w:trHeight w:val="137"/>
        </w:trPr>
        <w:tc>
          <w:tcPr>
            <w:tcW w:w="3100" w:type="dxa"/>
            <w:vAlign w:val="bottom"/>
            <w:tcBorders>
              <w:top w:val="single" w:sz="8" w:color="0000EE"/>
            </w:tcBorders>
            <w:gridSpan w:val="17"/>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MATERIAL INCOME TAX CONSIDERATIONS</w:t>
              </w:r>
            </w:hyperlink>
          </w:p>
        </w:tc>
        <w:tc>
          <w:tcPr>
            <w:tcW w:w="700" w:type="dxa"/>
            <w:vAlign w:val="bottom"/>
          </w:tcPr>
          <w:p>
            <w:pPr>
              <w:spacing w:after="0"/>
              <w:rPr>
                <w:sz w:val="11"/>
                <w:szCs w:val="11"/>
                <w:color w:val="auto"/>
              </w:rPr>
            </w:pPr>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16</w:t>
            </w:r>
          </w:p>
        </w:tc>
      </w:tr>
      <w:tr>
        <w:trPr>
          <w:trHeight w:val="137"/>
        </w:trPr>
        <w:tc>
          <w:tcPr>
            <w:tcW w:w="152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8"/>
              </w:rPr>
            </w:pPr>
            <w:hyperlink w:anchor="page34">
              <w:r>
                <w:rPr>
                  <w:rFonts w:ascii="Arial" w:cs="Arial" w:eastAsia="Arial" w:hAnsi="Arial"/>
                  <w:sz w:val="13"/>
                  <w:szCs w:val="13"/>
                  <w:color w:val="0000EE"/>
                  <w:w w:val="98"/>
                </w:rPr>
                <w:t>SELLING UNITHOLDERS</w:t>
              </w:r>
            </w:hyperlink>
          </w:p>
        </w:tc>
        <w:tc>
          <w:tcPr>
            <w:tcW w:w="1140" w:type="dxa"/>
            <w:vAlign w:val="bottom"/>
            <w:tcBorders>
              <w:top w:val="single" w:sz="8" w:color="0000EE"/>
            </w:tcBorders>
            <w:gridSpan w:val="5"/>
          </w:tcPr>
          <w:p>
            <w:pPr>
              <w:spacing w:after="0"/>
              <w:rPr>
                <w:sz w:val="11"/>
                <w:szCs w:val="11"/>
                <w:color w:val="auto"/>
              </w:rPr>
            </w:pPr>
          </w:p>
        </w:tc>
        <w:tc>
          <w:tcPr>
            <w:tcW w:w="1140" w:type="dxa"/>
            <w:vAlign w:val="bottom"/>
            <w:gridSpan w:val="3"/>
          </w:tcPr>
          <w:p>
            <w:pPr>
              <w:spacing w:after="0"/>
              <w:rPr>
                <w:sz w:val="11"/>
                <w:szCs w:val="11"/>
                <w:color w:val="auto"/>
              </w:rPr>
            </w:pPr>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30</w:t>
            </w:r>
          </w:p>
        </w:tc>
      </w:tr>
      <w:tr>
        <w:trPr>
          <w:trHeight w:val="137"/>
        </w:trPr>
        <w:tc>
          <w:tcPr>
            <w:tcW w:w="3800" w:type="dxa"/>
            <w:vAlign w:val="bottom"/>
            <w:gridSpan w:val="18"/>
          </w:tcPr>
          <w:p>
            <w:pPr>
              <w:spacing w:after="0" w:line="138" w:lineRule="exact"/>
              <w:rPr>
                <w:rFonts w:ascii="Arial" w:cs="Arial" w:eastAsia="Arial" w:hAnsi="Arial"/>
                <w:sz w:val="13"/>
                <w:szCs w:val="13"/>
                <w:color w:val="0000EE"/>
              </w:rPr>
            </w:pPr>
            <w:hyperlink w:anchor="page36">
              <w:r>
                <w:rPr>
                  <w:rFonts w:ascii="Arial" w:cs="Arial" w:eastAsia="Arial" w:hAnsi="Arial"/>
                  <w:sz w:val="13"/>
                  <w:szCs w:val="13"/>
                  <w:color w:val="0000EE"/>
                </w:rPr>
                <w:t>PLAN OF DISTRIBUTION</w:t>
              </w:r>
            </w:hyperlink>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32</w:t>
            </w:r>
          </w:p>
        </w:tc>
      </w:tr>
      <w:tr>
        <w:trPr>
          <w:trHeight w:val="137"/>
        </w:trPr>
        <w:tc>
          <w:tcPr>
            <w:tcW w:w="150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LEGAL MATTERS</w:t>
              </w:r>
            </w:hyperlink>
          </w:p>
        </w:tc>
        <w:tc>
          <w:tcPr>
            <w:tcW w:w="2300" w:type="dxa"/>
            <w:vAlign w:val="bottom"/>
            <w:gridSpan w:val="9"/>
          </w:tcPr>
          <w:p>
            <w:pPr>
              <w:spacing w:after="0"/>
              <w:rPr>
                <w:sz w:val="11"/>
                <w:szCs w:val="11"/>
                <w:color w:val="auto"/>
              </w:rPr>
            </w:pPr>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34</w:t>
            </w:r>
          </w:p>
        </w:tc>
      </w:tr>
      <w:tr>
        <w:trPr>
          <w:trHeight w:val="137"/>
        </w:trPr>
        <w:tc>
          <w:tcPr>
            <w:tcW w:w="106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EXPERTS</w:t>
              </w:r>
            </w:hyperlink>
          </w:p>
        </w:tc>
        <w:tc>
          <w:tcPr>
            <w:tcW w:w="2740" w:type="dxa"/>
            <w:vAlign w:val="bottom"/>
            <w:gridSpan w:val="11"/>
          </w:tcPr>
          <w:p>
            <w:pPr>
              <w:spacing w:after="0"/>
              <w:rPr>
                <w:sz w:val="11"/>
                <w:szCs w:val="11"/>
                <w:color w:val="auto"/>
              </w:rPr>
            </w:pPr>
          </w:p>
        </w:tc>
        <w:tc>
          <w:tcPr>
            <w:tcW w:w="6140" w:type="dxa"/>
            <w:vAlign w:val="bottom"/>
          </w:tcPr>
          <w:p>
            <w:pPr>
              <w:jc w:val="right"/>
              <w:spacing w:after="0" w:line="138" w:lineRule="exact"/>
              <w:rPr>
                <w:sz w:val="20"/>
                <w:szCs w:val="20"/>
                <w:color w:val="auto"/>
              </w:rPr>
            </w:pPr>
            <w:r>
              <w:rPr>
                <w:rFonts w:ascii="Arial" w:cs="Arial" w:eastAsia="Arial" w:hAnsi="Arial"/>
                <w:sz w:val="13"/>
                <w:szCs w:val="13"/>
                <w:color w:val="auto"/>
              </w:rPr>
              <w:t>34</w:t>
            </w:r>
          </w:p>
        </w:tc>
      </w:tr>
      <w:tr>
        <w:trPr>
          <w:trHeight w:val="137"/>
        </w:trPr>
        <w:tc>
          <w:tcPr>
            <w:tcW w:w="40" w:type="dxa"/>
            <w:vAlign w:val="bottom"/>
            <w:tcBorders>
              <w:top w:val="single" w:sz="8" w:color="0000EE"/>
            </w:tcBorders>
          </w:tcPr>
          <w:p>
            <w:pPr>
              <w:spacing w:after="0"/>
              <w:rPr>
                <w:sz w:val="11"/>
                <w:szCs w:val="11"/>
                <w:color w:val="auto"/>
              </w:rPr>
            </w:pPr>
          </w:p>
        </w:tc>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90"/>
              </w:rPr>
            </w:pPr>
            <w:hyperlink w:anchor="page46">
              <w:r>
                <w:rPr>
                  <w:rFonts w:ascii="Arial" w:cs="Arial" w:eastAsia="Arial" w:hAnsi="Arial"/>
                  <w:sz w:val="13"/>
                  <w:szCs w:val="13"/>
                  <w:color w:val="0000EE"/>
                  <w:w w:val="90"/>
                </w:rPr>
                <w:t>EX-5.1</w:t>
              </w:r>
            </w:hyperlink>
          </w:p>
        </w:tc>
        <w:tc>
          <w:tcPr>
            <w:tcW w:w="140" w:type="dxa"/>
            <w:vAlign w:val="bottom"/>
            <w:tcBorders>
              <w:top w:val="single" w:sz="8" w:color="0000EE"/>
            </w:tcBorders>
            <w:gridSpan w:val="2"/>
          </w:tcPr>
          <w:p>
            <w:pPr>
              <w:spacing w:after="0"/>
              <w:rPr>
                <w:sz w:val="11"/>
                <w:szCs w:val="11"/>
                <w:color w:val="auto"/>
              </w:rPr>
            </w:pPr>
          </w:p>
        </w:tc>
        <w:tc>
          <w:tcPr>
            <w:tcW w:w="3240" w:type="dxa"/>
            <w:vAlign w:val="bottom"/>
            <w:gridSpan w:val="14"/>
          </w:tcPr>
          <w:p>
            <w:pPr>
              <w:spacing w:after="0"/>
              <w:rPr>
                <w:sz w:val="11"/>
                <w:szCs w:val="11"/>
                <w:color w:val="auto"/>
              </w:rPr>
            </w:pPr>
          </w:p>
        </w:tc>
        <w:tc>
          <w:tcPr>
            <w:tcW w:w="61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48">
              <w:r>
                <w:rPr>
                  <w:rFonts w:ascii="Arial" w:cs="Arial" w:eastAsia="Arial" w:hAnsi="Arial"/>
                  <w:sz w:val="13"/>
                  <w:szCs w:val="13"/>
                  <w:color w:val="0000EE"/>
                  <w:w w:val="90"/>
                </w:rPr>
                <w:t>EX-8.1</w:t>
              </w:r>
            </w:hyperlink>
          </w:p>
        </w:tc>
        <w:tc>
          <w:tcPr>
            <w:tcW w:w="3380" w:type="dxa"/>
            <w:vAlign w:val="bottom"/>
            <w:gridSpan w:val="16"/>
          </w:tcPr>
          <w:p>
            <w:pPr>
              <w:spacing w:after="0"/>
              <w:rPr>
                <w:sz w:val="11"/>
                <w:szCs w:val="11"/>
                <w:color w:val="auto"/>
              </w:rPr>
            </w:pPr>
          </w:p>
        </w:tc>
        <w:tc>
          <w:tcPr>
            <w:tcW w:w="614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49">
              <w:r>
                <w:rPr>
                  <w:rFonts w:ascii="Arial" w:cs="Arial" w:eastAsia="Arial" w:hAnsi="Arial"/>
                  <w:sz w:val="13"/>
                  <w:szCs w:val="13"/>
                  <w:color w:val="0000EE"/>
                  <w:w w:val="89"/>
                </w:rPr>
                <w:t>EX-23.1</w:t>
              </w:r>
            </w:hyperlink>
          </w:p>
        </w:tc>
        <w:tc>
          <w:tcPr>
            <w:tcW w:w="3320" w:type="dxa"/>
            <w:vAlign w:val="bottom"/>
            <w:gridSpan w:val="15"/>
          </w:tcPr>
          <w:p>
            <w:pPr>
              <w:spacing w:after="0"/>
              <w:rPr>
                <w:sz w:val="11"/>
                <w:szCs w:val="11"/>
                <w:color w:val="auto"/>
              </w:rPr>
            </w:pPr>
          </w:p>
        </w:tc>
        <w:tc>
          <w:tcPr>
            <w:tcW w:w="6140" w:type="dxa"/>
            <w:vAlign w:val="bottom"/>
          </w:tcPr>
          <w:p>
            <w:pPr>
              <w:spacing w:after="0"/>
              <w:rPr>
                <w:sz w:val="11"/>
                <w:szCs w:val="11"/>
                <w:color w:val="auto"/>
              </w:rPr>
            </w:pPr>
          </w:p>
        </w:tc>
      </w:tr>
    </w:tbl>
    <w:p>
      <w:pPr>
        <w:spacing w:after="0" w:line="95" w:lineRule="exact"/>
        <w:rPr>
          <w:sz w:val="20"/>
          <w:szCs w:val="20"/>
          <w:color w:val="auto"/>
        </w:rPr>
      </w:pPr>
    </w:p>
    <w:p>
      <w:pPr>
        <w:ind w:right="80" w:firstLine="399"/>
        <w:spacing w:after="0" w:line="283" w:lineRule="auto"/>
        <w:rPr>
          <w:sz w:val="20"/>
          <w:szCs w:val="20"/>
          <w:color w:val="auto"/>
        </w:rPr>
      </w:pPr>
      <w:r>
        <w:rPr>
          <w:rFonts w:ascii="Arial" w:cs="Arial" w:eastAsia="Arial" w:hAnsi="Arial"/>
          <w:sz w:val="13"/>
          <w:szCs w:val="13"/>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50" w:lineRule="exact"/>
        <w:rPr>
          <w:sz w:val="20"/>
          <w:szCs w:val="20"/>
          <w:color w:val="auto"/>
        </w:rPr>
      </w:pPr>
    </w:p>
    <w:p>
      <w:pPr>
        <w:jc w:val="both"/>
        <w:ind w:firstLine="399"/>
        <w:spacing w:after="0" w:line="300" w:lineRule="auto"/>
        <w:rPr>
          <w:sz w:val="20"/>
          <w:szCs w:val="20"/>
          <w:color w:val="auto"/>
        </w:rPr>
      </w:pPr>
      <w:r>
        <w:rPr>
          <w:rFonts w:ascii="Arial" w:cs="Arial" w:eastAsia="Arial" w:hAnsi="Arial"/>
          <w:sz w:val="12"/>
          <w:szCs w:val="12"/>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ABOUT THIS PROSPECTUS</w:t>
      </w:r>
    </w:p>
    <w:p>
      <w:pPr>
        <w:spacing w:after="0" w:line="100"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This prospectus is part of a registration statement that we have filed with the Securities and Exchange Commission using a “shelf” registration process. Under this shelf registration process, the selling unitholders may, over time, offer and sell up to 17,646,478 of our common units. In connection with certain sales of securities hereunder, a prospectus supplement may accompany this prospectus. The prospectus supplement may also add to, update or change information contained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have filed a registration statement with the SEC under the Securities Act of 1933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73" w:lineRule="exact"/>
        <w:rPr>
          <w:sz w:val="20"/>
          <w:szCs w:val="20"/>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Annual Report on Form 10-K for the year ended December 31, 2007;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Quarterly Reports on Form 10-Q for the quarters ended March 31, 2008, June 30, 2008 and September 30, 2008;</w:t>
      </w:r>
    </w:p>
    <w:p>
      <w:pPr>
        <w:spacing w:after="0" w:line="86" w:lineRule="exact"/>
        <w:rPr>
          <w:rFonts w:ascii="Arial" w:cs="Arial" w:eastAsia="Arial" w:hAnsi="Arial"/>
          <w:sz w:val="13"/>
          <w:szCs w:val="13"/>
          <w:color w:val="auto"/>
        </w:rPr>
      </w:pPr>
    </w:p>
    <w:p>
      <w:pPr>
        <w:jc w:val="both"/>
        <w:ind w:left="1280" w:right="140" w:hanging="190"/>
        <w:spacing w:after="0" w:line="264" w:lineRule="auto"/>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Current Report on Form 8-K filed with the SEC on January 4, 2008 (amendment of the Limited Partnership Agreement of Plains AAP, L.P. and the Limited Liability Company Agreement of Plains All American GP LLC, modifications to the Class B Restricted Units Agreements and assignment of general partnership interest of the general partnership interest in Plains AAP, L.P.);</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Current Report on Form 8-K filed with the SEC on March 10, 2008 (audited balance sheet of PAA GP LLC as of December 31, 2007);</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Current Report on Form 8-K filed (other than Items 7.01 and 9.01, which were furnished) with the SEC on April 7, 2008 (execution of Rainbow Pipe Line Company Ltd. acquisition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Current Report on Form 8-K filed with the SEC on April 15, 2008 (amendment of the Limited Partnership Agreement of Plains All American Pipeline, L.P.);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Current Report on Form 8-K filed (other than Item 7.01, which was furnished) with the SEC on April 18, 2008 (announcement of debt offering);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Current Report on Form 8-K filed (other than Items 7.01 and 9.01, which were furnished) with the SEC on April 18, 2008 (announcement of Rainbow IDR reduction);</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Current Report on Form 8-K filed (other than Item 7.01, which was furnished) with the SEC on April 23, 2008 (documentation related to debt offering);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Current Report on Form 8-K filed (other than Item 7.01, which was furnished) with the SEC on May 12, 2008 (execution of underwriting agreement related to equity offering);</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with the SEC on May 20, 2008 (unaudited consolidated balance sheet of PAA GP LLC as of March 31,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with the SEC on May 30, 2008 (amendment of the Limited Partnership Agreement of Plains All American Pipeline, L.P.);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with the SEC on July 28, 2008 (officer title changes);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(other than Item 7.01, which was furnished) with the SEC on August 7, 2008 (amendment of the Limited Partnership Agreement of Plains AAP, L.P. and the Limited Liability Company Agreement of Plains All American GP LLC);</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with the SEC on August 19, 2008 (unaudited consolidated balance sheet of PAA GP LLC as of June 30,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with the SEC on October 31, 2008 (extension of exchange offer of senior notes);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with the SEC on November 7, 2008 (second restated credit agreement);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with the SEC on November 14, 2008 (unaudited consolidated balance sheet of PAA GP LLC as of September 30,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Current Report on Form 8-K filed (other than Item 7.01, which was furnished) with the SEC on November 14, 2008 (board of director changes); and</w:t>
      </w:r>
    </w:p>
    <w:p>
      <w:pPr>
        <w:spacing w:after="0" w:line="86"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description of our common units contained in our Form 8-A/A dated November 3, 1998 and any subsequent amendment thereto filed for the purpose of updating such description.</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4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Plains All American Pipeline, L.P.</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Houston, Texas 77002</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Attention: Tim Moore</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Telephone: (713) 646-4100</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55"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failure to implement or capitalize on planned internal growth projects;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maintenance of our credit rating and ability to receive open credit from our suppliers and trade counterparties;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continued creditworthiness of, and performance by, our counterparties, including financial institutions and trading companies with which we do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success of our risk management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environmental liabilities or events that are not covered by an indemnity, insurance or existing reserves;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abrupt or severe declines or interruptions in outer continental shelf production located offshore California and transported on our pipeline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shortages or cost increases of power supplies, materials or labor;</w:t>
      </w:r>
    </w:p>
    <w:p>
      <w:pPr>
        <w:spacing w:after="0" w:line="86" w:lineRule="exact"/>
        <w:rPr>
          <w:rFonts w:ascii="Arial" w:cs="Arial" w:eastAsia="Arial" w:hAnsi="Arial"/>
          <w:sz w:val="13"/>
          <w:szCs w:val="13"/>
          <w:color w:val="auto"/>
        </w:rPr>
      </w:pPr>
    </w:p>
    <w:p>
      <w:pPr>
        <w:ind w:left="1280" w:right="220" w:hanging="190"/>
        <w:spacing w:after="0" w:line="264"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7"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availability of, and our ability to consummate, acquisition or combination opportunities;</w:t>
      </w:r>
    </w:p>
    <w:p>
      <w:pPr>
        <w:spacing w:after="0" w:line="86"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obtain debt or equity financing on satisfactory terms to fund additional acquisitions, expansion projects, working capital requirements and the repayment or refinancing of indebtedness;</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successful integration and future performance of acquired assets or businesses and the risks associated with operating in lines of business that are distinct and separate from our historical operations;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unanticipated changes in crude oil market structure and volatility (or lack thereof);</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impact of current and future laws, rulings, governmental regulations and interpretations;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effects of competition;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interruptions in service and fluctuations in tariffs or volumes on third-party pipelines;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increased costs or lack of availability of insurance;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fluctuations in the debt and equity markets, including the price of our units at the time of vesting under our long-term incentive plans;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currency exchange rate of the Canadian dollar;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weather interference with business operations or project construction;</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risks related to the development and operation of natural gas storage facilities;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future developments and circumstances at the time distributions are declared;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general economic, market or business conditions; and</w:t>
      </w:r>
    </w:p>
    <w:p>
      <w:pPr>
        <w:spacing w:after="0" w:line="86"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factors and uncertainties inherent in the transportation, storage, terminalling and marketing of crude oil, refined products and liquefied petroleum gas and other natural gas related petroleum products.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Other factors described herein or incorporated by reference, or factors that are unknown or unpredictable, could also have a material adverse effect on future results. Please read “Risk Factors” beginning on page 5 of this prospectus and in Item 1A. “Risk Factors” in our annual report on Form 10-K for the year ended December 31, 2007. Except as required by securities laws applicable to the documents incorporated by reference, we do not intend to update these forward-looking statements and information.</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WHO WE ARE</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are a Delaware limited partnership formed in September 1998. Our operations are conducted directly and indirectly through our operating subsidiaries. We are engaged in the transportation, storage, terminalling and marketing of crude oil, refined products and liquefied petroleum gas and other natural gas related petroleum products. We own an extensive network of pipeline transportation, terminalling, storage and gathering assets in key oil producing basins, transportation corridors and at major market hubs in the United States and Canada. In addition, through our 50% equity ownership in PAA/Vulcan Gas Storage, LLC, we are also engaged in the development and operation of natural gas storage facilities.</w:t>
      </w:r>
    </w:p>
    <w:p>
      <w:pPr>
        <w:spacing w:after="0" w:line="53" w:lineRule="exact"/>
        <w:rPr>
          <w:sz w:val="20"/>
          <w:szCs w:val="20"/>
          <w:color w:val="auto"/>
        </w:rPr>
      </w:pPr>
    </w:p>
    <w:p>
      <w:pPr>
        <w:jc w:val="both"/>
        <w:ind w:left="680" w:right="340" w:firstLine="399"/>
        <w:spacing w:after="0" w:line="320" w:lineRule="auto"/>
        <w:rPr>
          <w:sz w:val="20"/>
          <w:szCs w:val="20"/>
          <w:color w:val="auto"/>
        </w:rPr>
      </w:pPr>
      <w:r>
        <w:rPr>
          <w:rFonts w:ascii="Arial" w:cs="Arial" w:eastAsia="Arial" w:hAnsi="Arial"/>
          <w:sz w:val="12"/>
          <w:szCs w:val="12"/>
          <w:color w:val="auto"/>
        </w:rPr>
        <w:t>For purposes of this prospectus, unless the context clearly indicates otherwise, “we,” “us,” “our,” “Plains All American Pipeline” and similar terms refer to Plains All American Pipeline, L.P. and its subsidiaries. References to our “general partner,” as the context requires, includes any or all of PAA GP LLC, Plains AAP, L.P. and Plains All American GP LLC.</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executive offices are located at 333 Clay Street, Suite 1600, Houston, Texas 77002 and our telephone number is (713) 646-4100.</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as to our business, properties and financial condition, please refer to the documents cited in “Where You Can Find More Information.”</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2007, in evaluating an investment in our securities. If any of these risks were to occur, our business, financial condition or results of operations could be adversely affected. In that case, the trading price of our common units could decline and you could lose all or part of your investment. When we offer and sell any securities pursuant to a prospectus supplement, we may include additional risk factors relevant to such securities in the prospectus supplement.</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060"/>
        <w:spacing w:after="0"/>
        <w:rPr>
          <w:sz w:val="20"/>
          <w:szCs w:val="20"/>
          <w:color w:val="auto"/>
        </w:rPr>
      </w:pPr>
      <w:r>
        <w:rPr>
          <w:rFonts w:ascii="Arial" w:cs="Arial" w:eastAsia="Arial" w:hAnsi="Arial"/>
          <w:sz w:val="12"/>
          <w:szCs w:val="12"/>
          <w:b w:val="1"/>
          <w:bCs w:val="1"/>
          <w:color w:val="auto"/>
        </w:rPr>
        <w:t>USE OF PROCEEDS</w:t>
      </w:r>
    </w:p>
    <w:p>
      <w:pPr>
        <w:spacing w:after="0" w:line="1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not receive any proceeds from the sale of common units by the selling unitholders.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DESCRIPTION OF OUR COMMON UNITS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outstanding common units are listed on the NYSE under the symbol “PAA.” Any additional common units we issue will also be listed on the NYSE.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transfer agent and registrar for our common units is American Stock Transfer &amp; Trust Company.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Meetings/Voting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holder of common units is entitled to one vote for each common unit on all matters submitted to a vote of the unitholders.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Status as Limited Partner or Assignee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Except as described below under “— Limited Liability,” the common units will be fully paid, and unitholders will not be required to make additional capital contributions to us.</w:t>
      </w:r>
    </w:p>
    <w:p>
      <w:pPr>
        <w:spacing w:after="0" w:line="10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Limited Liability</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67"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Reports and Records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As soon as practicable, but in no event later than 120 days after the close of each fiscal year, our general partner will furnish or make available to each unitholder of record (as of a record date selected by our general</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96" w:lineRule="auto"/>
        <w:rPr>
          <w:sz w:val="20"/>
          <w:szCs w:val="20"/>
          <w:color w:val="auto"/>
        </w:rPr>
      </w:pPr>
      <w:r>
        <w:rPr>
          <w:rFonts w:ascii="Arial" w:cs="Arial" w:eastAsia="Arial" w:hAnsi="Arial"/>
          <w:sz w:val="12"/>
          <w:szCs w:val="12"/>
          <w:color w:val="auto"/>
        </w:rPr>
        <w:t>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5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limited partner can, for a purpose reasonably related to the limited partner’s interest as a limited partner, upon reasonable demand and at his own expense, have furnished to him:</w:t>
      </w:r>
    </w:p>
    <w:p>
      <w:pPr>
        <w:spacing w:after="0" w:line="108"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current list of the name and last known address of each partner;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copy of our tax returns;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information as to the amount of cash and a description and statement of the agreed value of any other property or services, contributed or to be contributed by each partner and the date on which each became a partner;</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copies of our partnership agreement, our certificate of limited partnership, amendments to either of them and powers of attorney which have been executed under our partnership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information regarding the status of our business and financial condition;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any other information regarding our affairs as is just and reasonable.</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CASH DISTRIBUTION POLICY</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of Available Cash</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General. </w:t>
      </w:r>
      <w:r>
        <w:rPr>
          <w:rFonts w:ascii="Arial" w:cs="Arial" w:eastAsia="Arial" w:hAnsi="Arial"/>
          <w:sz w:val="13"/>
          <w:szCs w:val="13"/>
          <w:color w:val="auto"/>
        </w:rPr>
        <w:t>We will distribute to our unitholders, on a quarterly basis, all of our available cash in the manner described below.</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Definition of Available Cash. </w:t>
      </w:r>
      <w:r>
        <w:rPr>
          <w:rFonts w:ascii="Arial" w:cs="Arial" w:eastAsia="Arial" w:hAnsi="Arial"/>
          <w:sz w:val="13"/>
          <w:szCs w:val="13"/>
          <w:color w:val="auto"/>
        </w:rPr>
        <w:t>Available cash generally means, for any quarter ending prior to liquidation, all cash on hand at the end of that quarter less the amount of cash reserves</w:t>
      </w:r>
      <w:r>
        <w:rPr>
          <w:rFonts w:ascii="Arial" w:cs="Arial" w:eastAsia="Arial" w:hAnsi="Arial"/>
          <w:sz w:val="13"/>
          <w:szCs w:val="13"/>
          <w:i w:val="1"/>
          <w:iCs w:val="1"/>
          <w:color w:val="auto"/>
        </w:rPr>
        <w:t xml:space="preserve"> </w:t>
      </w:r>
      <w:r>
        <w:rPr>
          <w:rFonts w:ascii="Arial" w:cs="Arial" w:eastAsia="Arial" w:hAnsi="Arial"/>
          <w:sz w:val="13"/>
          <w:szCs w:val="13"/>
          <w:color w:val="auto"/>
        </w:rPr>
        <w:t>that are necessary or appropriate in the reasonable discretion of the general partner to:</w:t>
      </w:r>
    </w:p>
    <w:p>
      <w:pPr>
        <w:spacing w:after="0" w:line="59"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provide for the proper conduct of our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comply with applicable law or any partnership debt instrument or other agreement;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provide funds for distributions to unitholders and the general partner in respect of any one or more of the next four quarters.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Surplus and Capital Surplus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General. </w:t>
      </w:r>
      <w:r>
        <w:rPr>
          <w:rFonts w:ascii="Arial" w:cs="Arial" w:eastAsia="Arial" w:hAnsi="Arial"/>
          <w:sz w:val="13"/>
          <w:szCs w:val="13"/>
          <w:color w:val="auto"/>
        </w:rPr>
        <w:t>Cash distributions to our unitholders will be characterized as either operating surplus or capital surplus. We distribute available cash from operating surplus differently than</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cash from capital surplus. See “— Quarterly Distributions of Available Cash.”</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Definition of Operating Surplus. </w:t>
      </w:r>
      <w:r>
        <w:rPr>
          <w:rFonts w:ascii="Arial" w:cs="Arial" w:eastAsia="Arial" w:hAnsi="Arial"/>
          <w:sz w:val="13"/>
          <w:szCs w:val="13"/>
          <w:color w:val="auto"/>
        </w:rPr>
        <w:t>Operating surplus refers generally to:</w:t>
      </w:r>
    </w:p>
    <w:p>
      <w:pPr>
        <w:spacing w:after="0" w:line="96"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cash balances on the closing date of our initial public offering; plus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$25 million; plus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all of our cash receipts from operations, excluding cash that is capital surplus; less</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Definition of Capital Surplus. </w:t>
      </w:r>
      <w:r>
        <w:rPr>
          <w:rFonts w:ascii="Arial" w:cs="Arial" w:eastAsia="Arial" w:hAnsi="Arial"/>
          <w:sz w:val="13"/>
          <w:szCs w:val="13"/>
          <w:color w:val="auto"/>
        </w:rPr>
        <w:t>Capital surplus will generally be generated only by:</w:t>
      </w:r>
    </w:p>
    <w:p>
      <w:pPr>
        <w:spacing w:after="0" w:line="96"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borrowings other than working capital borrowings;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sales of debt and equity securities;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sales or other dispositions of assets for cash, other than inventory, accounts receivable and other assets in the ordinary course of business.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Incentive Distribution Rights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Issuance of Additional Units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Quarterly Distributions of Available Cash</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From Operating Surplus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make distributions of available cash from operating surplus in the following manner:</w:t>
      </w:r>
    </w:p>
    <w:p>
      <w:pPr>
        <w:spacing w:after="0" w:line="96"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First, 98% to all unitholders, pro rata, and 2% to the general partner, until we distribute for each unit an amount equal to the minimum quarterly distribution for that quarter;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Thereafter, in the manner described in “— Incentive Distribution Rights” below.</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Incentive Distribution Rights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1280" w:right="22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First, 85% to all unitholders, pro rata, and 15% to the general partner, until each unitholder receives a total of $0.495 for that quarter for each outstanding unit (the “first target distribution”);</w:t>
      </w:r>
    </w:p>
    <w:p>
      <w:pPr>
        <w:spacing w:after="0" w:line="49"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Second, 75% to all unitholders, pro rata, and 25% to the general partner, until each unitholder receives a total of $0.675 for that quarter for each outstanding unit (the “second target distribution”);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Thereafter, 50% to all unitholders, pro rata, and 50% to the general partner.</w:t>
      </w:r>
    </w:p>
    <w:p>
      <w:pPr>
        <w:spacing w:after="0" w:line="96"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Adjustments to Incentive Distribution Rights</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Upon closing of the Pacific and Rainbow acquisitions, our general partner agreed to reduce the amounts due it as incentive distributions. The total reduction in incentive distributions related to these acquisitions will be $75 million. Following our distribution in November 2008, the remaining incentive distribution reductions related to Pacific and Rainbow totaled approximately $38 million.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Distributions from Capital Surplus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How Distributions from Capital Surplus Will Be Made. </w:t>
      </w:r>
      <w:r>
        <w:rPr>
          <w:rFonts w:ascii="Arial" w:cs="Arial" w:eastAsia="Arial" w:hAnsi="Arial"/>
          <w:sz w:val="13"/>
          <w:szCs w:val="13"/>
          <w:color w:val="auto"/>
        </w:rPr>
        <w:t>We will make distributions of available cash from capital surplus in the following manner:</w:t>
      </w:r>
    </w:p>
    <w:p>
      <w:pPr>
        <w:spacing w:after="0" w:line="96" w:lineRule="exact"/>
        <w:rPr>
          <w:sz w:val="20"/>
          <w:szCs w:val="20"/>
          <w:color w:val="auto"/>
        </w:rPr>
      </w:pPr>
    </w:p>
    <w:p>
      <w:pPr>
        <w:ind w:left="1280" w:right="18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Thereafter, we will make all distributions of available cash from capital surplus as if they were from operating surplus.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Effect of a Distribution from Capital Surplus. </w:t>
      </w:r>
      <w:r>
        <w:rPr>
          <w:rFonts w:ascii="Arial" w:cs="Arial" w:eastAsia="Arial" w:hAnsi="Arial"/>
          <w:sz w:val="13"/>
          <w:szCs w:val="13"/>
          <w:color w:val="auto"/>
        </w:rPr>
        <w:t>Our partnership agreement treats a distribution of available cash from capital surplus as the repayment of the initial unit price. To show</w:t>
      </w:r>
      <w:r>
        <w:rPr>
          <w:rFonts w:ascii="Arial" w:cs="Arial" w:eastAsia="Arial" w:hAnsi="Arial"/>
          <w:sz w:val="13"/>
          <w:szCs w:val="13"/>
          <w:i w:val="1"/>
          <w:iCs w:val="1"/>
          <w:color w:val="auto"/>
        </w:rPr>
        <w:t xml:space="preserve"> </w:t>
      </w:r>
      <w:r>
        <w:rPr>
          <w:rFonts w:ascii="Arial" w:cs="Arial" w:eastAsia="Arial" w:hAnsi="Arial"/>
          <w:sz w:val="13"/>
          <w:szCs w:val="13"/>
          <w:color w:val="auto"/>
        </w:rPr>
        <w:t>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When Payback Occurs. </w:t>
      </w:r>
      <w:r>
        <w:rPr>
          <w:rFonts w:ascii="Arial" w:cs="Arial" w:eastAsia="Arial" w:hAnsi="Arial"/>
          <w:sz w:val="13"/>
          <w:szCs w:val="13"/>
          <w:color w:val="auto"/>
        </w:rPr>
        <w:t>When “payback” of the reduced initial unit price has occurred, i.e., when the unrecovered capital of the common units is zero, then</w:t>
      </w:r>
    </w:p>
    <w:p>
      <w:pPr>
        <w:spacing w:after="0" w:line="96"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minimum quarterly distribution and the target distribution levels will be reduced to zero for subsequent quarters;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distributions of available cash will be treated as operating surplus; and</w:t>
      </w:r>
    </w:p>
    <w:p>
      <w:pPr>
        <w:spacing w:after="0" w:line="86" w:lineRule="exact"/>
        <w:rPr>
          <w:rFonts w:ascii="Arial" w:cs="Arial" w:eastAsia="Arial" w:hAnsi="Arial"/>
          <w:sz w:val="13"/>
          <w:szCs w:val="13"/>
          <w:color w:val="auto"/>
        </w:rPr>
      </w:pPr>
    </w:p>
    <w:p>
      <w:pPr>
        <w:jc w:val="center"/>
        <w:ind w:left="1080" w:right="340" w:firstLine="10"/>
        <w:spacing w:after="0" w:line="473" w:lineRule="auto"/>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general partner will be entitled to receive 50% of distributions of available cash in its capacities as general partner and as holder of the incentive distribution rights. Distributions of available cash from capital surplus will not reduce the minimum quarterly distribution or target distribution levels for the quarter in which they are distributed.</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Adjustment to the Minimum Quarterly Distribution and Target Distribution Levels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How We Adjust the Minimum Quarterly Distribution and Target Distribution Levels. </w:t>
      </w:r>
      <w:r>
        <w:rPr>
          <w:rFonts w:ascii="Arial" w:cs="Arial" w:eastAsia="Arial" w:hAnsi="Arial"/>
          <w:sz w:val="13"/>
          <w:szCs w:val="13"/>
          <w:color w:val="auto"/>
        </w:rPr>
        <w:t>In addition to adjusting the minimum quarterly distribution and target distribution levels to</w:t>
      </w:r>
      <w:r>
        <w:rPr>
          <w:rFonts w:ascii="Arial" w:cs="Arial" w:eastAsia="Arial" w:hAnsi="Arial"/>
          <w:sz w:val="13"/>
          <w:szCs w:val="13"/>
          <w:i w:val="1"/>
          <w:iCs w:val="1"/>
          <w:color w:val="auto"/>
        </w:rPr>
        <w:t xml:space="preserve"> </w:t>
      </w:r>
      <w:r>
        <w:rPr>
          <w:rFonts w:ascii="Arial" w:cs="Arial" w:eastAsia="Arial" w:hAnsi="Arial"/>
          <w:sz w:val="13"/>
          <w:szCs w:val="13"/>
          <w:color w:val="auto"/>
        </w:rPr>
        <w:t>reflect a distribution of capital surplus, if we combine our units into fewer units or subdivide our units into a greater number of units (but not if we issue additional common units for cash or property), we will proportionately adjust:</w:t>
      </w:r>
    </w:p>
    <w:p>
      <w:pPr>
        <w:spacing w:after="0" w:line="6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minimum quarterly distribution;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target distribution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unrecovered capital;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amounts calculated on a per unit basis.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If We Became Subject to Taxation. </w:t>
      </w:r>
      <w:r>
        <w:rPr>
          <w:rFonts w:ascii="Arial" w:cs="Arial" w:eastAsia="Arial" w:hAnsi="Arial"/>
          <w:sz w:val="13"/>
          <w:szCs w:val="13"/>
          <w:color w:val="auto"/>
        </w:rPr>
        <w:t>If legislation is enacted or if existing law is modified or interpreted by the relevant governmental authority so that we become taxable as a</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67" w:lineRule="exact"/>
        <w:rPr>
          <w:sz w:val="20"/>
          <w:szCs w:val="20"/>
          <w:color w:val="auto"/>
        </w:rPr>
      </w:pPr>
    </w:p>
    <w:p>
      <w:pPr>
        <w:ind w:left="1280" w:right="10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one minus the sum of (x) the maximum effective federal income tax rate to which we as an entity were subject plus (y) any increase in state and local income taxes to which we are subject for the taxable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year of the event, after adjusting for any allowable deductions for federal income tax purposes for the payment of state and local income taxes.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Distribution of Cash Upon Liquidation</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General. </w:t>
      </w:r>
      <w:r>
        <w:rPr>
          <w:rFonts w:ascii="Arial" w:cs="Arial" w:eastAsia="Arial" w:hAnsi="Arial"/>
          <w:sz w:val="13"/>
          <w:szCs w:val="13"/>
          <w:color w:val="auto"/>
        </w:rPr>
        <w:t>If we dissolve and liquidate, we will sell our assets or otherwise dispose of our assets and we will adjust the partners’ capital account balances to show any resulting gain or</w:t>
      </w:r>
      <w:r>
        <w:rPr>
          <w:rFonts w:ascii="Arial" w:cs="Arial" w:eastAsia="Arial" w:hAnsi="Arial"/>
          <w:sz w:val="13"/>
          <w:szCs w:val="13"/>
          <w:i w:val="1"/>
          <w:iCs w:val="1"/>
          <w:color w:val="auto"/>
        </w:rPr>
        <w:t xml:space="preserve"> </w:t>
      </w:r>
      <w:r>
        <w:rPr>
          <w:rFonts w:ascii="Arial" w:cs="Arial" w:eastAsia="Arial" w:hAnsi="Arial"/>
          <w:sz w:val="13"/>
          <w:szCs w:val="13"/>
          <w:color w:val="auto"/>
        </w:rPr>
        <w:t>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Manner of Adjustment. </w:t>
      </w:r>
      <w:r>
        <w:rPr>
          <w:rFonts w:ascii="Arial" w:cs="Arial" w:eastAsia="Arial" w:hAnsi="Arial"/>
          <w:sz w:val="13"/>
          <w:szCs w:val="13"/>
          <w:color w:val="auto"/>
        </w:rPr>
        <w:t>If we liquidate, we would allocate any loss to the general partner and each unitholder as follows:</w:t>
      </w:r>
    </w:p>
    <w:p>
      <w:pPr>
        <w:spacing w:after="0" w:line="96" w:lineRule="exact"/>
        <w:rPr>
          <w:sz w:val="20"/>
          <w:szCs w:val="20"/>
          <w:color w:val="auto"/>
        </w:rPr>
      </w:pPr>
    </w:p>
    <w:p>
      <w:pPr>
        <w:ind w:left="1280" w:right="22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Thereafter, 100% to the general partner.</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Interim Adjustments to Capital Accounts. </w:t>
      </w:r>
      <w:r>
        <w:rPr>
          <w:rFonts w:ascii="Arial" w:cs="Arial" w:eastAsia="Arial" w:hAnsi="Arial"/>
          <w:sz w:val="12"/>
          <w:szCs w:val="12"/>
          <w:color w:val="auto"/>
        </w:rPr>
        <w:t>If we issued additional security interests or made distributions of property, interim adjustments to capital accounts would also be made.</w:t>
      </w:r>
      <w:r>
        <w:rPr>
          <w:rFonts w:ascii="Arial" w:cs="Arial" w:eastAsia="Arial" w:hAnsi="Arial"/>
          <w:sz w:val="12"/>
          <w:szCs w:val="12"/>
          <w:i w:val="1"/>
          <w:iCs w:val="1"/>
          <w:color w:val="auto"/>
        </w:rPr>
        <w:t xml:space="preserve"> </w:t>
      </w:r>
      <w:r>
        <w:rPr>
          <w:rFonts w:ascii="Arial" w:cs="Arial" w:eastAsia="Arial" w:hAnsi="Arial"/>
          <w:sz w:val="12"/>
          <w:szCs w:val="12"/>
          <w:color w:val="auto"/>
        </w:rPr>
        <w:t>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DESCRIPTION OF OUR PARTNERSHIP AGREEMENT</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following is a summary of the material provisions of our partnership agreement. The following provisions of our partnership agreement are summarized elsewhere in this prospectus:</w:t>
      </w:r>
    </w:p>
    <w:p>
      <w:pPr>
        <w:spacing w:after="0" w:line="59"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distributions of our available cash are described under “Cash Distribution Policy;”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allocations of taxable income and other tax matters are described under “Material Income Tax Considerations;”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rights of holders of common units are described under “Description of Our Common Units.”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Purpose</w:t>
      </w:r>
    </w:p>
    <w:p>
      <w:pPr>
        <w:spacing w:after="0" w:line="100"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Reimbursements of Our General Partner</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Additional Securities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Amendments to Our Partnership Agreement</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Withdrawal or Removal of Our General Partner</w:t>
      </w:r>
    </w:p>
    <w:p>
      <w:pPr>
        <w:spacing w:after="0" w:line="10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55" w:lineRule="exact"/>
        <w:rPr>
          <w:sz w:val="20"/>
          <w:szCs w:val="20"/>
          <w:color w:val="auto"/>
        </w:rPr>
      </w:pPr>
    </w:p>
    <w:p>
      <w:pPr>
        <w:jc w:val="both"/>
        <w:ind w:left="680" w:right="320" w:firstLine="399"/>
        <w:spacing w:after="0" w:line="289" w:lineRule="auto"/>
        <w:rPr>
          <w:sz w:val="20"/>
          <w:szCs w:val="20"/>
          <w:color w:val="auto"/>
        </w:rPr>
      </w:pPr>
      <w:r>
        <w:rPr>
          <w:rFonts w:ascii="Arial" w:cs="Arial" w:eastAsia="Arial" w:hAnsi="Arial"/>
          <w:sz w:val="12"/>
          <w:szCs w:val="12"/>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53"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5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addition, our partnership agreement expressly permits the sale, in whole or in part, of the ownership of our general partner. Our general partner may also transfer, in whole or in part, the common units it owns.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Liquidation and Distribution of Proceeds</w:t>
      </w:r>
    </w:p>
    <w:p>
      <w:pPr>
        <w:spacing w:after="0" w:line="100"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12"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first, towards the payment of all of our creditors and the creation of a reserve for contingent liabilities;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then, to all partners in accordance with the positive balance in the respective capital accounts.</w:t>
      </w:r>
    </w:p>
    <w:p>
      <w:pPr>
        <w:spacing w:after="0" w:line="96"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 of Management Provisions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partnership agreement contains the following specific provisions that are intended to discourage a person or group from attempting to remove our general partner or otherwise change management:</w:t>
      </w:r>
    </w:p>
    <w:p>
      <w:pPr>
        <w:spacing w:after="0" w:line="59" w:lineRule="exact"/>
        <w:rPr>
          <w:sz w:val="20"/>
          <w:szCs w:val="20"/>
          <w:color w:val="auto"/>
        </w:rPr>
      </w:pPr>
    </w:p>
    <w:p>
      <w:pPr>
        <w:ind w:left="1280" w:right="20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generally, if a person acquires 20% or more of any class of units then outstanding other than from our general partner or its affiliates, the units owned by such person cannot be voted on any matter; and</w:t>
      </w:r>
    </w:p>
    <w:p>
      <w:pPr>
        <w:spacing w:after="0" w:line="49"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Limited Call Right</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71"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MATERIAL INCOME TAX CONSIDERATIONS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existing and proposed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w:t>
      </w:r>
    </w:p>
    <w:p>
      <w:pPr>
        <w:spacing w:after="0" w:line="55"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3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5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Partnership Status</w:t>
      </w:r>
    </w:p>
    <w:p>
      <w:pPr>
        <w:spacing w:after="0" w:line="100" w:lineRule="exact"/>
        <w:rPr>
          <w:sz w:val="20"/>
          <w:szCs w:val="20"/>
          <w:color w:val="auto"/>
        </w:rPr>
      </w:pPr>
    </w:p>
    <w:p>
      <w:pPr>
        <w:jc w:val="both"/>
        <w:ind w:left="680" w:right="20" w:firstLine="399"/>
        <w:spacing w:after="0" w:line="334" w:lineRule="auto"/>
        <w:rPr>
          <w:sz w:val="20"/>
          <w:szCs w:val="20"/>
          <w:color w:val="auto"/>
        </w:rPr>
      </w:pPr>
      <w:r>
        <w:rPr>
          <w:rFonts w:ascii="Arial" w:cs="Arial" w:eastAsia="Arial" w:hAnsi="Arial"/>
          <w:sz w:val="11"/>
          <w:szCs w:val="11"/>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w:t>
      </w:r>
    </w:p>
    <w:p>
      <w:pPr>
        <w:spacing w:after="0" w:line="32"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1" w:lineRule="auto"/>
        <w:rPr>
          <w:sz w:val="20"/>
          <w:szCs w:val="20"/>
          <w:color w:val="auto"/>
        </w:rPr>
      </w:pPr>
      <w:r>
        <w:rPr>
          <w:rFonts w:ascii="Arial" w:cs="Arial" w:eastAsia="Arial" w:hAnsi="Arial"/>
          <w:sz w:val="12"/>
          <w:szCs w:val="12"/>
          <w:color w:val="auto"/>
        </w:rPr>
        <w:t>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w:t>
      </w:r>
    </w:p>
    <w:p>
      <w:pPr>
        <w:spacing w:after="0" w:line="58"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w:t>
      </w:r>
    </w:p>
    <w:p>
      <w:pPr>
        <w:spacing w:after="0" w:line="3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 rendering its opinion, Vinson &amp; Elkins L.L.P. has relied on factual representations made by us and our general partner. The representations made by us and our general partner upon which Vinson &amp; Elkins L.L.P. has relied are:</w:t>
      </w:r>
    </w:p>
    <w:p>
      <w:pPr>
        <w:spacing w:after="0" w:line="20" w:lineRule="exact"/>
        <w:rPr>
          <w:sz w:val="20"/>
          <w:szCs w:val="20"/>
          <w:color w:val="auto"/>
        </w:rPr>
      </w:pPr>
    </w:p>
    <w:p>
      <w:pPr>
        <w:ind w:left="1640" w:hanging="171"/>
        <w:spacing w:after="0"/>
        <w:tabs>
          <w:tab w:leader="none" w:pos="1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Neither we nor the operating partnerships have elected or will elect to be treated as a corporation;</w:t>
      </w:r>
    </w:p>
    <w:p>
      <w:pPr>
        <w:spacing w:after="0" w:line="56" w:lineRule="exact"/>
        <w:rPr>
          <w:rFonts w:ascii="Arial" w:cs="Arial" w:eastAsia="Arial" w:hAnsi="Arial"/>
          <w:sz w:val="13"/>
          <w:szCs w:val="13"/>
          <w:color w:val="auto"/>
        </w:rPr>
      </w:pPr>
    </w:p>
    <w:p>
      <w:pPr>
        <w:ind w:left="1080" w:right="40" w:firstLine="389"/>
        <w:spacing w:after="0" w:line="276" w:lineRule="auto"/>
        <w:tabs>
          <w:tab w:leader="none" w:pos="1649" w:val="left"/>
        </w:tabs>
        <w:numPr>
          <w:ilvl w:val="0"/>
          <w:numId w:val="20"/>
        </w:numPr>
        <w:rPr>
          <w:rFonts w:ascii="Arial" w:cs="Arial" w:eastAsia="Arial" w:hAnsi="Arial"/>
          <w:sz w:val="13"/>
          <w:szCs w:val="13"/>
          <w:color w:val="auto"/>
        </w:rPr>
      </w:pPr>
      <w:r>
        <w:rPr>
          <w:rFonts w:ascii="Arial" w:cs="Arial" w:eastAsia="Arial" w:hAnsi="Arial"/>
          <w:sz w:val="13"/>
          <w:szCs w:val="13"/>
          <w:color w:val="auto"/>
        </w:rPr>
        <w:t>For each taxable year, more than 90% of our gross income has been and will be income that Vinson &amp; Elkins L.L.P. has opined or will opine is “qualifying income” within the meaning of Section 7704(d) of the Internal Revenue Code; and</w:t>
      </w:r>
    </w:p>
    <w:p>
      <w:pPr>
        <w:spacing w:after="0" w:line="19" w:lineRule="exact"/>
        <w:rPr>
          <w:rFonts w:ascii="Arial" w:cs="Arial" w:eastAsia="Arial" w:hAnsi="Arial"/>
          <w:sz w:val="13"/>
          <w:szCs w:val="13"/>
          <w:color w:val="auto"/>
        </w:rPr>
      </w:pPr>
    </w:p>
    <w:p>
      <w:pPr>
        <w:ind w:left="1080" w:firstLine="389"/>
        <w:spacing w:after="0" w:line="264" w:lineRule="auto"/>
        <w:tabs>
          <w:tab w:leader="none" w:pos="1641" w:val="left"/>
        </w:tabs>
        <w:numPr>
          <w:ilvl w:val="0"/>
          <w:numId w:val="20"/>
        </w:numPr>
        <w:rPr>
          <w:rFonts w:ascii="Arial" w:cs="Arial" w:eastAsia="Arial" w:hAnsi="Arial"/>
          <w:sz w:val="13"/>
          <w:szCs w:val="13"/>
          <w:color w:val="auto"/>
        </w:rPr>
      </w:pPr>
      <w:r>
        <w:rPr>
          <w:rFonts w:ascii="Arial" w:cs="Arial" w:eastAsia="Arial" w:hAnsi="Arial"/>
          <w:sz w:val="13"/>
          <w:szCs w:val="13"/>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67"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55"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discussion below is based on Vinson &amp; Elkins L.L.P.’s opinion that we will be classified as a partnership for federal income tax purposes.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Limited Partner Status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Unitholders who have become limited partners of Plains All American Pipeline, L.P. will be treated as partners of Plains All American Pipeline, L.P. for federal income tax purposes. Also, unitholders whose common units are held in street name or by a nominee and who have the right to direct the nominee in the exercise of all substantive rights attendant to the ownership of their common units will be treated as partners of Plains All American Pipeline, L.P. for federal income tax purposes.</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references to “unitholders” in the discussion that follows are to persons who are treated as partners in Plains All American Pipeline, L.P. for federal income tax purposes.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Consequences of Unit Ownership</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Flow-Through of Taxable Income. </w:t>
      </w:r>
      <w:r>
        <w:rPr>
          <w:rFonts w:ascii="Arial" w:cs="Arial" w:eastAsia="Arial" w:hAnsi="Arial"/>
          <w:sz w:val="13"/>
          <w:szCs w:val="13"/>
          <w:color w:val="auto"/>
        </w:rPr>
        <w:t>We will not pay any federal income tax. Instead, each unitholder will be required to report on his income tax return his share of our income, gains,</w:t>
      </w:r>
      <w:r>
        <w:rPr>
          <w:rFonts w:ascii="Arial" w:cs="Arial" w:eastAsia="Arial" w:hAnsi="Arial"/>
          <w:sz w:val="13"/>
          <w:szCs w:val="13"/>
          <w:i w:val="1"/>
          <w:iCs w:val="1"/>
          <w:color w:val="auto"/>
        </w:rPr>
        <w:t xml:space="preserve"> </w:t>
      </w:r>
      <w:r>
        <w:rPr>
          <w:rFonts w:ascii="Arial" w:cs="Arial" w:eastAsia="Arial" w:hAnsi="Arial"/>
          <w:sz w:val="13"/>
          <w:szCs w:val="13"/>
          <w:color w:val="auto"/>
        </w:rPr>
        <w:t>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Treatment of Distributions. </w:t>
      </w:r>
      <w:r>
        <w:rPr>
          <w:rFonts w:ascii="Arial" w:cs="Arial" w:eastAsia="Arial" w:hAnsi="Arial"/>
          <w:sz w:val="13"/>
          <w:szCs w:val="13"/>
          <w:color w:val="auto"/>
        </w:rPr>
        <w:t>Distributions by us to a unitholder generally will not be taxable to the unitholder for federal income tax purposes, except to the extent the amount of any</w:t>
      </w:r>
      <w:r>
        <w:rPr>
          <w:rFonts w:ascii="Arial" w:cs="Arial" w:eastAsia="Arial" w:hAnsi="Arial"/>
          <w:sz w:val="13"/>
          <w:szCs w:val="13"/>
          <w:i w:val="1"/>
          <w:iCs w:val="1"/>
          <w:color w:val="auto"/>
        </w:rPr>
        <w:t xml:space="preserve"> </w:t>
      </w:r>
      <w:r>
        <w:rPr>
          <w:rFonts w:ascii="Arial" w:cs="Arial" w:eastAsia="Arial" w:hAnsi="Arial"/>
          <w:sz w:val="13"/>
          <w:szCs w:val="13"/>
          <w:color w:val="auto"/>
        </w:rPr>
        <w:t>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see “— Limitations on Deductibility of Losses.”</w:t>
      </w:r>
    </w:p>
    <w:p>
      <w:pPr>
        <w:spacing w:after="0" w:line="7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 “Section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w:t>
      </w:r>
    </w:p>
    <w:p>
      <w:pPr>
        <w:spacing w:after="0" w:line="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Basis of Common Units. </w:t>
      </w:r>
      <w:r>
        <w:rPr>
          <w:rFonts w:ascii="Arial" w:cs="Arial" w:eastAsia="Arial" w:hAnsi="Arial"/>
          <w:sz w:val="13"/>
          <w:szCs w:val="13"/>
          <w:color w:val="auto"/>
        </w:rPr>
        <w:t>A unitholder’s initial tax basis for his common units will be the amount he paid for our common units plus his share of our nonrecourse liabilities. That basis</w:t>
      </w:r>
      <w:r>
        <w:rPr>
          <w:rFonts w:ascii="Arial" w:cs="Arial" w:eastAsia="Arial" w:hAnsi="Arial"/>
          <w:sz w:val="13"/>
          <w:szCs w:val="13"/>
          <w:i w:val="1"/>
          <w:iCs w:val="1"/>
          <w:color w:val="auto"/>
        </w:rPr>
        <w:t xml:space="preserve"> </w:t>
      </w:r>
      <w:r>
        <w:rPr>
          <w:rFonts w:ascii="Arial" w:cs="Arial" w:eastAsia="Arial" w:hAnsi="Arial"/>
          <w:sz w:val="13"/>
          <w:szCs w:val="13"/>
          <w:color w:val="auto"/>
        </w:rPr>
        <w:t>will be increased by his share of our income and by any increases in his share of our nonrecourse liabilities. That basis will be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w:t>
      </w:r>
    </w:p>
    <w:p>
      <w:pPr>
        <w:spacing w:after="0" w:line="5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i w:val="1"/>
          <w:iCs w:val="1"/>
          <w:color w:val="auto"/>
        </w:rPr>
        <w:t xml:space="preserve">Limitations on Deductibility of Losses. </w:t>
      </w:r>
      <w:r>
        <w:rPr>
          <w:rFonts w:ascii="Arial" w:cs="Arial" w:eastAsia="Arial" w:hAnsi="Arial"/>
          <w:sz w:val="13"/>
          <w:szCs w:val="13"/>
          <w:color w:val="auto"/>
        </w:rPr>
        <w:t>The deduction by a unitholder of his share of our losses will be limited to the tax basis in his units and, in the case of an individual unitholder,</w:t>
      </w:r>
      <w:r>
        <w:rPr>
          <w:rFonts w:ascii="Arial" w:cs="Arial" w:eastAsia="Arial" w:hAnsi="Arial"/>
          <w:sz w:val="13"/>
          <w:szCs w:val="13"/>
          <w:i w:val="1"/>
          <w:iCs w:val="1"/>
          <w:color w:val="auto"/>
        </w:rPr>
        <w:t xml:space="preserve"> </w:t>
      </w:r>
      <w:r>
        <w:rPr>
          <w:rFonts w:ascii="Arial" w:cs="Arial" w:eastAsia="Arial" w:hAnsi="Arial"/>
          <w:sz w:val="13"/>
          <w:szCs w:val="13"/>
          <w:color w:val="auto"/>
        </w:rPr>
        <w:t>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general, a unitholder will be at risk to the extent of the tax basis of his units, excluding any portion of that basis attributable to his share of our nonrecourse liabilities, reduced by</w:t>
      </w:r>
    </w:p>
    <w:p>
      <w:pPr>
        <w:spacing w:after="0" w:line="27" w:lineRule="exact"/>
        <w:rPr>
          <w:sz w:val="20"/>
          <w:szCs w:val="20"/>
          <w:color w:val="auto"/>
        </w:rPr>
      </w:pPr>
    </w:p>
    <w:p>
      <w:pPr>
        <w:ind w:left="680" w:firstLine="7"/>
        <w:spacing w:after="0" w:line="256" w:lineRule="auto"/>
        <w:tabs>
          <w:tab w:leader="none" w:pos="836"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w:t>
      </w:r>
    </w:p>
    <w:p>
      <w:pPr>
        <w:spacing w:after="0" w:line="72"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w:t>
      </w:r>
    </w:p>
    <w:p>
      <w:pPr>
        <w:spacing w:after="0" w:line="58"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59"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i w:val="1"/>
          <w:iCs w:val="1"/>
          <w:color w:val="auto"/>
        </w:rPr>
        <w:t xml:space="preserve">Limitations on Interest Deductions. </w:t>
      </w:r>
      <w:r>
        <w:rPr>
          <w:rFonts w:ascii="Arial" w:cs="Arial" w:eastAsia="Arial" w:hAnsi="Arial"/>
          <w:sz w:val="13"/>
          <w:szCs w:val="13"/>
          <w:color w:val="auto"/>
        </w:rPr>
        <w:t>The deductibility of a non-corporate taxpayer’s “investment interest expense” is generally limited to the amount of that taxpayer’s “net</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 income.” Investment interest expense includes:</w:t>
      </w:r>
    </w:p>
    <w:p>
      <w:pPr>
        <w:spacing w:after="0" w:line="59"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interest on indebtedness properly allocable to property held for investment;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interest expense attributed to portfolio income;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portion of interest expense incurred to purchase or carry an interest in a passive activity to the extent attributable to portfolio income.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w:t>
      </w:r>
    </w:p>
    <w:p>
      <w:pPr>
        <w:spacing w:after="0" w:line="71"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i w:val="1"/>
          <w:iCs w:val="1"/>
          <w:color w:val="auto"/>
        </w:rPr>
        <w:t xml:space="preserve">Entity-Level Collections. </w:t>
      </w:r>
      <w:r>
        <w:rPr>
          <w:rFonts w:ascii="Arial" w:cs="Arial" w:eastAsia="Arial" w:hAnsi="Arial"/>
          <w:sz w:val="11"/>
          <w:szCs w:val="11"/>
          <w:color w:val="auto"/>
        </w:rPr>
        <w:t>If we are required or elect under applicable law to pay any federal, state, local or foreign income tax on behalf of any unitholder or our general partner or</w:t>
      </w:r>
      <w:r>
        <w:rPr>
          <w:rFonts w:ascii="Arial" w:cs="Arial" w:eastAsia="Arial" w:hAnsi="Arial"/>
          <w:sz w:val="11"/>
          <w:szCs w:val="11"/>
          <w:i w:val="1"/>
          <w:iCs w:val="1"/>
          <w:color w:val="auto"/>
        </w:rPr>
        <w:t xml:space="preserve"> </w:t>
      </w:r>
      <w:r>
        <w:rPr>
          <w:rFonts w:ascii="Arial" w:cs="Arial" w:eastAsia="Arial" w:hAnsi="Arial"/>
          <w:sz w:val="11"/>
          <w:szCs w:val="11"/>
          <w:color w:val="auto"/>
        </w:rPr>
        <w:t>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4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Allocation of Income, Gain, Loss and Deduction. </w:t>
      </w:r>
      <w:r>
        <w:rPr>
          <w:rFonts w:ascii="Arial" w:cs="Arial" w:eastAsia="Arial" w:hAnsi="Arial"/>
          <w:sz w:val="12"/>
          <w:szCs w:val="12"/>
          <w:color w:val="auto"/>
        </w:rPr>
        <w:t>In general, if we have a net profit, our items of income, gain, loss and deduction will be allocated among our general partner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w:t>
      </w:r>
    </w:p>
    <w:p>
      <w:pPr>
        <w:spacing w:after="0" w:line="53"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Specified items of our income, gain, loss and deduction will be allocated to account for the difference between the tax basis and fair market value of our assets at the time of an offering,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 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w:t>
      </w:r>
    </w:p>
    <w:p>
      <w:pPr>
        <w:spacing w:after="0" w:line="6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71"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his relative contributions to us;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interests of all the partners in profits and losses;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interest of all the partners in cash flow;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rights of all the partners to distributions of capital upon liquidation.</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Vinson &amp; Elkins L.L.P. is of the opinion that, with the exception of the issues described in ‘‘— Section 754 Election” and “— Disposition of Common Units — Allocations Between Transferors and Transferees,” allocations under our partnership agreement will be given effect for federal income tax purposes in determining a partner’s share of an item of income, gain, loss or deduction.</w:t>
      </w:r>
    </w:p>
    <w:p>
      <w:pPr>
        <w:spacing w:after="0" w:line="67"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i w:val="1"/>
          <w:iCs w:val="1"/>
          <w:color w:val="auto"/>
        </w:rPr>
        <w:t xml:space="preserve">Treatment of Short Sales. </w:t>
      </w:r>
      <w:r>
        <w:rPr>
          <w:rFonts w:ascii="Arial" w:cs="Arial" w:eastAsia="Arial" w:hAnsi="Arial"/>
          <w:sz w:val="11"/>
          <w:szCs w:val="11"/>
          <w:color w:val="auto"/>
        </w:rPr>
        <w:t>A unitholder whose units are loaned to a “short seller” to cover a short sale of units may be considered as having disposed of those units. If so, he would no</w:t>
      </w:r>
      <w:r>
        <w:rPr>
          <w:rFonts w:ascii="Arial" w:cs="Arial" w:eastAsia="Arial" w:hAnsi="Arial"/>
          <w:sz w:val="11"/>
          <w:szCs w:val="11"/>
          <w:i w:val="1"/>
          <w:iCs w:val="1"/>
          <w:color w:val="auto"/>
        </w:rPr>
        <w:t xml:space="preserve"> </w:t>
      </w:r>
      <w:r>
        <w:rPr>
          <w:rFonts w:ascii="Arial" w:cs="Arial" w:eastAsia="Arial" w:hAnsi="Arial"/>
          <w:sz w:val="11"/>
          <w:szCs w:val="11"/>
          <w:color w:val="auto"/>
        </w:rPr>
        <w:t>longer be treated for tax purposes as a partner with respect to those units during the period of the loan and may recognize gain or loss from the disposition. As a result, during this period:</w:t>
      </w:r>
    </w:p>
    <w:p>
      <w:pPr>
        <w:spacing w:after="0" w:line="12"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of our income, gain, loss or deduction with respect to those units would not be reportable by the unitholder;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cash distributions received by the unitholder as to those units would be fully taxable;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all of these distributions would appear to be ordinary income.</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announced that it is actively studying issues relating to the tax treatment of short sales of partnership interests. Please also read “— Disposition of Common Units — Recognition of Gain or Loss.”</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Alternative Minimum Tax. </w:t>
      </w:r>
      <w:r>
        <w:rPr>
          <w:rFonts w:ascii="Arial" w:cs="Arial" w:eastAsia="Arial" w:hAnsi="Arial"/>
          <w:sz w:val="13"/>
          <w:szCs w:val="13"/>
          <w:color w:val="auto"/>
        </w:rPr>
        <w:t>Each unitholder will be required to take into account his distributive share of any items of our income, gain, loss or deduction for purposes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Tax Rates. </w:t>
      </w:r>
      <w:r>
        <w:rPr>
          <w:rFonts w:ascii="Arial" w:cs="Arial" w:eastAsia="Arial" w:hAnsi="Arial"/>
          <w:sz w:val="13"/>
          <w:szCs w:val="13"/>
          <w:color w:val="auto"/>
        </w:rPr>
        <w:t>Under current law, the highest marginal U.S. federal income tax rate applicable to ordinary income of individuals is 35% and the highest marginal U.S. federal income tax</w:t>
      </w:r>
      <w:r>
        <w:rPr>
          <w:rFonts w:ascii="Arial" w:cs="Arial" w:eastAsia="Arial" w:hAnsi="Arial"/>
          <w:sz w:val="13"/>
          <w:szCs w:val="13"/>
          <w:i w:val="1"/>
          <w:iCs w:val="1"/>
          <w:color w:val="auto"/>
        </w:rPr>
        <w:t xml:space="preserve"> </w:t>
      </w:r>
      <w:r>
        <w:rPr>
          <w:rFonts w:ascii="Arial" w:cs="Arial" w:eastAsia="Arial" w:hAnsi="Arial"/>
          <w:sz w:val="13"/>
          <w:szCs w:val="13"/>
          <w:color w:val="auto"/>
        </w:rPr>
        <w:t>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Section 754 Election. </w:t>
      </w:r>
      <w:r>
        <w:rPr>
          <w:rFonts w:ascii="Arial" w:cs="Arial" w:eastAsia="Arial" w:hAnsi="Arial"/>
          <w:sz w:val="13"/>
          <w:szCs w:val="13"/>
          <w:color w:val="auto"/>
        </w:rPr>
        <w:t>We will make the election permitted by Section 754 of the Internal Revenue Code. That election is irrevocable without the consent of the IRS. The election will</w:t>
      </w:r>
      <w:r>
        <w:rPr>
          <w:rFonts w:ascii="Arial" w:cs="Arial" w:eastAsia="Arial" w:hAnsi="Arial"/>
          <w:sz w:val="13"/>
          <w:szCs w:val="13"/>
          <w:i w:val="1"/>
          <w:iCs w:val="1"/>
          <w:color w:val="auto"/>
        </w:rPr>
        <w:t xml:space="preserve"> </w:t>
      </w:r>
      <w:r>
        <w:rPr>
          <w:rFonts w:ascii="Arial" w:cs="Arial" w:eastAsia="Arial" w:hAnsi="Arial"/>
          <w:sz w:val="13"/>
          <w:szCs w:val="13"/>
          <w:color w:val="auto"/>
        </w:rPr>
        <w:t>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w:t>
      </w:r>
    </w:p>
    <w:p>
      <w:pPr>
        <w:spacing w:after="0" w:line="71"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Where the remedial allocation method is adopted (which we have generally adopted as to all of our properties), the Treasury Regulations under Section 743 of the Internal Revenue Code require a portion of the Section 743(b) adjustment that is attributable to recovery property under Section 168 of the Internal Revenue Code whose book basis is in excess of its tax basis to be depreciated over the remaining cost recovery period for the Section 704(c) built in gain. Under Treasury Regulation Section 1.167(c)-1(a)(6), a Section 743(b)</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 Uniformity of Units.”</w:t>
      </w:r>
    </w:p>
    <w:p>
      <w:pPr>
        <w:spacing w:after="0" w:line="72"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w:t>
      </w:r>
    </w:p>
    <w:p>
      <w:pPr>
        <w:spacing w:after="0" w:line="21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permission from the IRS to revoke our Section 754 election. If permission is granted, a subsequent purchaser of units may be allocated more income than he would have been allocated had the election not been revoked.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Treatment of Operations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Accounting Method and Taxable Year. </w:t>
      </w:r>
      <w:r>
        <w:rPr>
          <w:rFonts w:ascii="Arial" w:cs="Arial" w:eastAsia="Arial" w:hAnsi="Arial"/>
          <w:sz w:val="12"/>
          <w:szCs w:val="12"/>
          <w:color w:val="auto"/>
        </w:rPr>
        <w:t>We use the year ending December 31 as our taxable year and the accrual method of accounting for federal income tax purposes. Each</w:t>
      </w:r>
      <w:r>
        <w:rPr>
          <w:rFonts w:ascii="Arial" w:cs="Arial" w:eastAsia="Arial" w:hAnsi="Arial"/>
          <w:sz w:val="12"/>
          <w:szCs w:val="12"/>
          <w:i w:val="1"/>
          <w:iCs w:val="1"/>
          <w:color w:val="auto"/>
        </w:rPr>
        <w:t xml:space="preserve"> </w:t>
      </w:r>
      <w:r>
        <w:rPr>
          <w:rFonts w:ascii="Arial" w:cs="Arial" w:eastAsia="Arial" w:hAnsi="Arial"/>
          <w:sz w:val="12"/>
          <w:szCs w:val="12"/>
          <w:color w:val="auto"/>
        </w:rPr>
        <w:t>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w:t>
      </w:r>
    </w:p>
    <w:p>
      <w:pPr>
        <w:spacing w:after="0" w:line="55"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Initial Tax Basis, Depreciation and Amortization. </w:t>
      </w:r>
      <w:r>
        <w:rPr>
          <w:rFonts w:ascii="Arial" w:cs="Arial" w:eastAsia="Arial" w:hAnsi="Arial"/>
          <w:sz w:val="13"/>
          <w:szCs w:val="13"/>
          <w:color w:val="auto"/>
        </w:rPr>
        <w:t>The tax basis of our assets will be used for purposes of computing depreciation and cost recovery deductions and, ultimately, gain</w:t>
      </w:r>
      <w:r>
        <w:rPr>
          <w:rFonts w:ascii="Arial" w:cs="Arial" w:eastAsia="Arial" w:hAnsi="Arial"/>
          <w:sz w:val="13"/>
          <w:szCs w:val="13"/>
          <w:i w:val="1"/>
          <w:iCs w:val="1"/>
          <w:color w:val="auto"/>
        </w:rPr>
        <w:t xml:space="preserve"> </w:t>
      </w:r>
      <w:r>
        <w:rPr>
          <w:rFonts w:ascii="Arial" w:cs="Arial" w:eastAsia="Arial" w:hAnsi="Arial"/>
          <w:sz w:val="13"/>
          <w:szCs w:val="13"/>
          <w:color w:val="auto"/>
        </w:rPr>
        <w:t>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 Tax Consequences of Unit Ownership — Allocation of Income, Gain, Loss and Deduction.”</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 Tax Consequences of Unit Ownership — Allocation of Income, Gain, Loss and Deduction” and “— Disposition of Common Units — Recognition of Gain or Loss.”</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Valuation and Tax Basis of Our Properties. </w:t>
      </w:r>
      <w:r>
        <w:rPr>
          <w:rFonts w:ascii="Arial" w:cs="Arial" w:eastAsia="Arial" w:hAnsi="Arial"/>
          <w:sz w:val="12"/>
          <w:szCs w:val="12"/>
          <w:color w:val="auto"/>
        </w:rPr>
        <w:t>The federal income tax consequences of the ownership and disposition of units will depend in part on our estimates of the relative fair</w:t>
      </w:r>
      <w:r>
        <w:rPr>
          <w:rFonts w:ascii="Arial" w:cs="Arial" w:eastAsia="Arial" w:hAnsi="Arial"/>
          <w:sz w:val="12"/>
          <w:szCs w:val="12"/>
          <w:i w:val="1"/>
          <w:iCs w:val="1"/>
          <w:color w:val="auto"/>
        </w:rPr>
        <w:t xml:space="preserve"> </w:t>
      </w:r>
      <w:r>
        <w:rPr>
          <w:rFonts w:ascii="Arial" w:cs="Arial" w:eastAsia="Arial" w:hAnsi="Arial"/>
          <w:sz w:val="12"/>
          <w:szCs w:val="12"/>
          <w:color w:val="auto"/>
        </w:rPr>
        <w:t>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Disposition of Common Units</w:t>
      </w:r>
    </w:p>
    <w:p>
      <w:pPr>
        <w:spacing w:after="0" w:line="100"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i w:val="1"/>
          <w:iCs w:val="1"/>
          <w:color w:val="auto"/>
        </w:rPr>
        <w:t xml:space="preserve">Recognition of Gain or Loss. </w:t>
      </w:r>
      <w:r>
        <w:rPr>
          <w:rFonts w:ascii="Arial" w:cs="Arial" w:eastAsia="Arial" w:hAnsi="Arial"/>
          <w:sz w:val="11"/>
          <w:szCs w:val="11"/>
          <w:color w:val="auto"/>
        </w:rPr>
        <w:t>Gain or loss will be recognized on a sale of units equal to the difference between the amount realized and the unitholder’s tax basis for the units sold. A</w:t>
      </w:r>
      <w:r>
        <w:rPr>
          <w:rFonts w:ascii="Arial" w:cs="Arial" w:eastAsia="Arial" w:hAnsi="Arial"/>
          <w:sz w:val="11"/>
          <w:szCs w:val="11"/>
          <w:i w:val="1"/>
          <w:iCs w:val="1"/>
          <w:color w:val="auto"/>
        </w:rPr>
        <w:t xml:space="preserve"> </w:t>
      </w:r>
      <w:r>
        <w:rPr>
          <w:rFonts w:ascii="Arial" w:cs="Arial" w:eastAsia="Arial" w:hAnsi="Arial"/>
          <w:sz w:val="11"/>
          <w:szCs w:val="11"/>
          <w:color w:val="auto"/>
        </w:rPr>
        <w:t>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32"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3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59"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w:t>
      </w:r>
    </w:p>
    <w:p>
      <w:pPr>
        <w:spacing w:after="0" w:line="6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35"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short sale;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 offsetting notional principal contract;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futures or forward contract with respect to the partnership interest or substantially identical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Allocations Between Transferors and Transferees. </w:t>
      </w:r>
      <w:r>
        <w:rPr>
          <w:rFonts w:ascii="Arial" w:cs="Arial" w:eastAsia="Arial" w:hAnsi="Arial"/>
          <w:sz w:val="13"/>
          <w:szCs w:val="13"/>
          <w:color w:val="auto"/>
        </w:rPr>
        <w:t>In general, our taxable income and losses will be determined annually, will be prorated on a monthly basis and will be subsequently</w:t>
      </w:r>
      <w:r>
        <w:rPr>
          <w:rFonts w:ascii="Arial" w:cs="Arial" w:eastAsia="Arial" w:hAnsi="Arial"/>
          <w:sz w:val="13"/>
          <w:szCs w:val="13"/>
          <w:i w:val="1"/>
          <w:iCs w:val="1"/>
          <w:color w:val="auto"/>
        </w:rPr>
        <w:t xml:space="preserve"> </w:t>
      </w:r>
      <w:r>
        <w:rPr>
          <w:rFonts w:ascii="Arial" w:cs="Arial" w:eastAsia="Arial" w:hAnsi="Arial"/>
          <w:sz w:val="13"/>
          <w:szCs w:val="13"/>
          <w:color w:val="auto"/>
        </w:rPr>
        <w:t>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7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Although simplifying conventions are contemplated by the Internal Revenue Code and most publicly traded partnerships use similar simplifying conventions, the use of this method may not be permitted under existing Treasury Regulations.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w:t>
      </w:r>
    </w:p>
    <w:p>
      <w:pPr>
        <w:spacing w:after="0" w:line="7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59" w:lineRule="exact"/>
        <w:rPr>
          <w:sz w:val="20"/>
          <w:szCs w:val="20"/>
          <w:color w:val="auto"/>
        </w:rPr>
      </w:pPr>
    </w:p>
    <w:p>
      <w:pPr>
        <w:jc w:val="both"/>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Notification Requirements. </w:t>
      </w:r>
      <w:r>
        <w:rPr>
          <w:rFonts w:ascii="Arial" w:cs="Arial" w:eastAsia="Arial" w:hAnsi="Arial"/>
          <w:sz w:val="13"/>
          <w:szCs w:val="13"/>
          <w:color w:val="auto"/>
        </w:rPr>
        <w:t>A unitholder who sells any of his units is generally required to notify us in writing of that sale within 30 days after the sale (or, if earlier, January 15 of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71"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Constructive Termination. </w:t>
      </w:r>
      <w:r>
        <w:rPr>
          <w:rFonts w:ascii="Arial" w:cs="Arial" w:eastAsia="Arial" w:hAnsi="Arial"/>
          <w:sz w:val="12"/>
          <w:szCs w:val="12"/>
          <w:color w:val="auto"/>
        </w:rPr>
        <w:t>We will be considered to have been terminated for tax purposes if there are sales or exchanges which, in the aggregate, constitute 50% or more of the total</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Uniformity of Units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 Tax Consequences of Unit Ownership — Section 754 Election.”</w:t>
      </w:r>
    </w:p>
    <w:p>
      <w:pPr>
        <w:spacing w:after="0" w:line="7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consistent with the regulations under Section 743 of the Internal Revenue Code, even though that position may be inconsistent with Treasury Regulation Section 1.167(c)-1(a)(6), which is not expected to directly apply to a material portion of our assets, and Treasury Regulation Section 1.197-2(g)(3).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Tax-Exempt Organizations and Other Investors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71" w:lineRule="exact"/>
        <w:rPr>
          <w:sz w:val="20"/>
          <w:szCs w:val="20"/>
          <w:color w:val="auto"/>
        </w:rPr>
      </w:pPr>
    </w:p>
    <w:p>
      <w:pPr>
        <w:ind w:left="680" w:right="40" w:firstLine="399"/>
        <w:spacing w:after="0" w:line="301" w:lineRule="auto"/>
        <w:rPr>
          <w:sz w:val="20"/>
          <w:szCs w:val="20"/>
          <w:color w:val="auto"/>
        </w:rPr>
      </w:pPr>
      <w:r>
        <w:rPr>
          <w:rFonts w:ascii="Arial" w:cs="Arial" w:eastAsia="Arial" w:hAnsi="Arial"/>
          <w:sz w:val="11"/>
          <w:szCs w:val="11"/>
          <w:color w:val="auto"/>
        </w:rPr>
        <w:t>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w:t>
      </w:r>
    </w:p>
    <w:p>
      <w:pPr>
        <w:spacing w:after="0" w:line="2" w:lineRule="exact"/>
        <w:rPr>
          <w:sz w:val="20"/>
          <w:szCs w:val="20"/>
          <w:color w:val="auto"/>
        </w:rPr>
      </w:pPr>
    </w:p>
    <w:p>
      <w:pPr>
        <w:ind w:left="680" w:right="40"/>
        <w:spacing w:after="0" w:line="298" w:lineRule="auto"/>
        <w:rPr>
          <w:sz w:val="20"/>
          <w:szCs w:val="20"/>
          <w:color w:val="auto"/>
        </w:rPr>
      </w:pPr>
      <w:r>
        <w:rPr>
          <w:rFonts w:ascii="Arial" w:cs="Arial" w:eastAsia="Arial" w:hAnsi="Arial"/>
          <w:sz w:val="11"/>
          <w:szCs w:val="11"/>
          <w:color w:val="auto"/>
        </w:rPr>
        <w:t>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w:t>
      </w:r>
    </w:p>
    <w:p>
      <w:pPr>
        <w:spacing w:after="0" w:line="1" w:lineRule="exact"/>
        <w:rPr>
          <w:sz w:val="20"/>
          <w:szCs w:val="20"/>
          <w:color w:val="auto"/>
        </w:rPr>
      </w:pPr>
    </w:p>
    <w:p>
      <w:pPr>
        <w:ind w:left="680" w:right="440"/>
        <w:spacing w:after="0" w:line="264" w:lineRule="auto"/>
        <w:rPr>
          <w:sz w:val="20"/>
          <w:szCs w:val="20"/>
          <w:color w:val="auto"/>
        </w:rPr>
      </w:pPr>
      <w:r>
        <w:rPr>
          <w:rFonts w:ascii="Arial" w:cs="Arial" w:eastAsia="Arial" w:hAnsi="Arial"/>
          <w:sz w:val="13"/>
          <w:szCs w:val="13"/>
          <w:color w:val="auto"/>
        </w:rPr>
        <w:t>U.S. real property interests and we do not expect that to change in the foreseeable future. Therefore, foreign unitholders may be subject to federal income tax on gain from the sale or disposition of their units.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Administrative Matters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Information Returns and Audit Procedures. </w:t>
      </w:r>
      <w:r>
        <w:rPr>
          <w:rFonts w:ascii="Arial" w:cs="Arial" w:eastAsia="Arial" w:hAnsi="Arial"/>
          <w:sz w:val="13"/>
          <w:szCs w:val="13"/>
          <w:color w:val="auto"/>
        </w:rPr>
        <w:t>We intend to furnish to each unitholder, within 90 days after the close of each calendar year, specific tax information, including a</w:t>
      </w:r>
      <w:r>
        <w:rPr>
          <w:rFonts w:ascii="Arial" w:cs="Arial" w:eastAsia="Arial" w:hAnsi="Arial"/>
          <w:sz w:val="13"/>
          <w:szCs w:val="13"/>
          <w:i w:val="1"/>
          <w:iCs w:val="1"/>
          <w:color w:val="auto"/>
        </w:rPr>
        <w:t xml:space="preserve"> </w:t>
      </w:r>
      <w:r>
        <w:rPr>
          <w:rFonts w:ascii="Arial" w:cs="Arial" w:eastAsia="Arial" w:hAnsi="Arial"/>
          <w:sz w:val="13"/>
          <w:szCs w:val="13"/>
          <w:color w:val="auto"/>
        </w:rPr>
        <w:t>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72" w:lineRule="exact"/>
        <w:rPr>
          <w:sz w:val="20"/>
          <w:szCs w:val="20"/>
          <w:color w:val="auto"/>
        </w:rPr>
      </w:pPr>
    </w:p>
    <w:p>
      <w:pPr>
        <w:jc w:val="both"/>
        <w:ind w:left="680" w:right="40" w:firstLine="399"/>
        <w:spacing w:after="0" w:line="320" w:lineRule="auto"/>
        <w:rPr>
          <w:sz w:val="20"/>
          <w:szCs w:val="20"/>
          <w:color w:val="auto"/>
        </w:rPr>
      </w:pPr>
      <w:r>
        <w:rPr>
          <w:rFonts w:ascii="Arial" w:cs="Arial" w:eastAsia="Arial" w:hAnsi="Arial"/>
          <w:sz w:val="12"/>
          <w:szCs w:val="12"/>
          <w:color w:val="auto"/>
        </w:rPr>
        <w:t>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35" w:lineRule="exact"/>
        <w:rPr>
          <w:sz w:val="20"/>
          <w:szCs w:val="20"/>
          <w:color w:val="auto"/>
        </w:rPr>
      </w:pPr>
    </w:p>
    <w:p>
      <w:pPr>
        <w:jc w:val="both"/>
        <w:ind w:left="680" w:right="40" w:firstLine="399"/>
        <w:spacing w:after="0" w:line="334" w:lineRule="auto"/>
        <w:rPr>
          <w:sz w:val="20"/>
          <w:szCs w:val="20"/>
          <w:color w:val="auto"/>
        </w:rPr>
      </w:pPr>
      <w:r>
        <w:rPr>
          <w:rFonts w:ascii="Arial" w:cs="Arial" w:eastAsia="Arial" w:hAnsi="Arial"/>
          <w:sz w:val="11"/>
          <w:szCs w:val="11"/>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w:t>
      </w:r>
    </w:p>
    <w:p>
      <w:pPr>
        <w:spacing w:after="0" w:line="3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Tax Matters Partner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profits or by any group of unitholders having in the aggregate at least a 5% interest in profits. However, only one action for judicial review will go forward, and each unitholder with an interest in the outcome may participate.</w:t>
      </w:r>
    </w:p>
    <w:p>
      <w:pPr>
        <w:spacing w:after="0" w:line="59"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w:t>
      </w:r>
    </w:p>
    <w:p>
      <w:pPr>
        <w:spacing w:after="0" w:line="67"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name, address and taxpayer identification number of the beneficial owner and the nominee;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whether the beneficial owner is:</w:t>
      </w:r>
    </w:p>
    <w:p>
      <w:pPr>
        <w:spacing w:after="0" w:line="96" w:lineRule="exact"/>
        <w:rPr>
          <w:rFonts w:ascii="Arial" w:cs="Arial" w:eastAsia="Arial" w:hAnsi="Arial"/>
          <w:sz w:val="13"/>
          <w:szCs w:val="13"/>
          <w:color w:val="auto"/>
        </w:rPr>
      </w:pPr>
    </w:p>
    <w:p>
      <w:pPr>
        <w:ind w:left="1500" w:hanging="214"/>
        <w:spacing w:after="0"/>
        <w:tabs>
          <w:tab w:leader="none" w:pos="15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 person that is not a United States person;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 foreign government, an international organization or any wholly owned agency or instrumentality of either of the foregoing; or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 tax-exempt entity;</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amount and description of units held, acquired or transferred for the beneficial owner; and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specific information including the dates of acquisitions and transfers, means of acquisitions and transfers, and acquisition cost for purchases, as well as the amount of net proceeds from sales.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67"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i w:val="1"/>
          <w:iCs w:val="1"/>
          <w:color w:val="auto"/>
        </w:rPr>
        <w:t xml:space="preserve">Accuracy-Related Penalties. </w:t>
      </w:r>
      <w:r>
        <w:rPr>
          <w:rFonts w:ascii="Arial" w:cs="Arial" w:eastAsia="Arial" w:hAnsi="Arial"/>
          <w:sz w:val="11"/>
          <w:szCs w:val="11"/>
          <w:color w:val="auto"/>
        </w:rPr>
        <w:t>An additional tax equal to 20% of the amount of any portion of an underpayment of tax that is attributable to one or more specified causes, including</w:t>
      </w:r>
      <w:r>
        <w:rPr>
          <w:rFonts w:ascii="Arial" w:cs="Arial" w:eastAsia="Arial" w:hAnsi="Arial"/>
          <w:sz w:val="11"/>
          <w:szCs w:val="11"/>
          <w:i w:val="1"/>
          <w:iCs w:val="1"/>
          <w:color w:val="auto"/>
        </w:rPr>
        <w:t xml:space="preserve"> </w:t>
      </w:r>
      <w:r>
        <w:rPr>
          <w:rFonts w:ascii="Arial" w:cs="Arial" w:eastAsia="Arial" w:hAnsi="Arial"/>
          <w:sz w:val="11"/>
          <w:szCs w:val="11"/>
          <w:color w:val="auto"/>
        </w:rPr>
        <w:t>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3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67"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for which there is, or was, “substantial authority;”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 to which there is a reasonable basis and the pertinent facts of that position are disclosed on the return.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 substantial valuation misstatement exists if the value of any property, or the adjusted basis of any property, claimed on a tax return is 150% or more of the amount determined to be the correct amount of the valuation or adjusted basis. No penalty is imposed unless the portion of the underpayment attributable to a substantial valuation misstatement exceeds $5,000 ($10,000 for most corporations). If the valuation claimed 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 return is 200% or more than the correct valuation, the penalty imposed increases to 40%. We do not anticipate making any valuation misstatements.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Reportable Transactions. </w:t>
      </w:r>
      <w:r>
        <w:rPr>
          <w:rFonts w:ascii="Arial" w:cs="Arial" w:eastAsia="Arial" w:hAnsi="Arial"/>
          <w:sz w:val="13"/>
          <w:szCs w:val="13"/>
          <w:color w:val="auto"/>
        </w:rPr>
        <w:t>If we were to engage in a “reportable transaction,” we (and possibly you and others) would be required to make a detailed disclosure of the transaction to</w:t>
      </w:r>
      <w:r>
        <w:rPr>
          <w:rFonts w:ascii="Arial" w:cs="Arial" w:eastAsia="Arial" w:hAnsi="Arial"/>
          <w:sz w:val="13"/>
          <w:szCs w:val="13"/>
          <w:i w:val="1"/>
          <w:iCs w:val="1"/>
          <w:color w:val="auto"/>
        </w:rPr>
        <w:t xml:space="preserve"> </w:t>
      </w:r>
      <w:r>
        <w:rPr>
          <w:rFonts w:ascii="Arial" w:cs="Arial" w:eastAsia="Arial" w:hAnsi="Arial"/>
          <w:sz w:val="13"/>
          <w:szCs w:val="13"/>
          <w:color w:val="auto"/>
        </w:rPr>
        <w:t>the IRS. A transaction may be a 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 Information Returns and Audit Procedures.”</w:t>
      </w:r>
    </w:p>
    <w:p>
      <w:pPr>
        <w:spacing w:after="0" w:line="71"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59"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accuracy-related penalties with a broader scope, significantly narrower exceptions, and potentially greater amounts than described above at “— Accuracy-Related Penalties;”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for those persons otherwise entitled to deduct interest on federal tax deficiencies, nondeductibility of interest on any resulting tax liability;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the case of a listed transaction, an extended statute of limitations.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expect to engage in any “reportable transactions.”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Local, Foreign and Other Tax Considerations</w:t>
      </w:r>
    </w:p>
    <w:p>
      <w:pPr>
        <w:spacing w:after="0" w:line="100"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Entity-Level Collections.” Based on current law and our estimate of our future operations, the general partner anticipates that any amounts required to be withheld will not be material.</w:t>
      </w:r>
    </w:p>
    <w:p>
      <w:pPr>
        <w:spacing w:after="0" w:line="5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b w:val="1"/>
          <w:bCs w:val="1"/>
          <w:color w:val="auto"/>
        </w:rPr>
        <w:t>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SELLING UNITHOLDERS</w:t>
      </w:r>
    </w:p>
    <w:p>
      <w:pPr>
        <w:spacing w:after="0" w:line="10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This prospectus covers the offering for resale of up to 17,646,478 common units by selling unitholders identified below. No offer or sale may occur unless the registration statement that includes this prospectus has been declared effective by the SEC, and remains effective at the time such selling unitholder offers or sells such common units. We are required (under certain circumstances) to update this prospectus to reflect material developments in our business, financial position and results of operations. The following table sets forth information relating to the selling unitholders’ beneficial ownership of our common units as of November 3, 2008 and is based on information provided by the selling unitholders:</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rPr>
              <w:t>Common Units Owned After</w:t>
            </w: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Common Units</w:t>
            </w: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Offering</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2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elling Unitholders</w:t>
            </w:r>
          </w:p>
        </w:tc>
        <w:tc>
          <w:tcPr>
            <w:tcW w:w="1500" w:type="dxa"/>
            <w:vAlign w:val="bottom"/>
            <w:gridSpan w:val="2"/>
          </w:tcPr>
          <w:p>
            <w:pPr>
              <w:jc w:val="center"/>
              <w:ind w:right="380"/>
              <w:spacing w:after="0" w:line="91" w:lineRule="exact"/>
              <w:rPr>
                <w:sz w:val="20"/>
                <w:szCs w:val="20"/>
                <w:color w:val="auto"/>
              </w:rPr>
            </w:pPr>
            <w:r>
              <w:rPr>
                <w:rFonts w:ascii="Arial" w:cs="Arial" w:eastAsia="Arial" w:hAnsi="Arial"/>
                <w:sz w:val="10"/>
                <w:szCs w:val="10"/>
                <w:b w:val="1"/>
                <w:bCs w:val="1"/>
                <w:color w:val="auto"/>
              </w:rPr>
              <w:t>Owned Prior</w:t>
            </w:r>
          </w:p>
        </w:tc>
        <w:tc>
          <w:tcPr>
            <w:tcW w:w="1480" w:type="dxa"/>
            <w:vAlign w:val="bottom"/>
            <w:gridSpan w:val="2"/>
          </w:tcPr>
          <w:p>
            <w:pPr>
              <w:jc w:val="center"/>
              <w:ind w:right="400"/>
              <w:spacing w:after="0" w:line="91" w:lineRule="exact"/>
              <w:rPr>
                <w:sz w:val="20"/>
                <w:szCs w:val="20"/>
                <w:color w:val="auto"/>
              </w:rPr>
            </w:pPr>
            <w:r>
              <w:rPr>
                <w:rFonts w:ascii="Arial" w:cs="Arial" w:eastAsia="Arial" w:hAnsi="Arial"/>
                <w:sz w:val="10"/>
                <w:szCs w:val="10"/>
                <w:b w:val="1"/>
                <w:bCs w:val="1"/>
                <w:color w:val="auto"/>
                <w:w w:val="95"/>
              </w:rPr>
              <w:t>Common Units</w:t>
            </w:r>
          </w:p>
        </w:tc>
        <w:tc>
          <w:tcPr>
            <w:tcW w:w="1200" w:type="dxa"/>
            <w:vAlign w:val="bottom"/>
            <w:gridSpan w:val="2"/>
          </w:tcPr>
          <w:p>
            <w:pPr>
              <w:jc w:val="right"/>
              <w:ind w:right="560"/>
              <w:spacing w:after="0" w:line="91" w:lineRule="exact"/>
              <w:rPr>
                <w:sz w:val="20"/>
                <w:szCs w:val="20"/>
                <w:color w:val="auto"/>
              </w:rPr>
            </w:pPr>
            <w:r>
              <w:rPr>
                <w:rFonts w:ascii="Arial" w:cs="Arial" w:eastAsia="Arial" w:hAnsi="Arial"/>
                <w:sz w:val="10"/>
                <w:szCs w:val="10"/>
                <w:b w:val="1"/>
                <w:bCs w:val="1"/>
                <w:color w:val="auto"/>
              </w:rPr>
              <w:t>Number of</w:t>
            </w: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200" w:type="dxa"/>
            <w:vAlign w:val="bottom"/>
            <w:vMerge w:val="continue"/>
          </w:tcPr>
          <w:p>
            <w:pPr>
              <w:spacing w:after="0"/>
              <w:rPr>
                <w:sz w:val="10"/>
                <w:szCs w:val="1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to Offering</w:t>
            </w:r>
          </w:p>
        </w:tc>
        <w:tc>
          <w:tcPr>
            <w:tcW w:w="14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Being Offered</w:t>
            </w:r>
          </w:p>
        </w:tc>
        <w:tc>
          <w:tcPr>
            <w:tcW w:w="120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Units</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Vulcan Energy Corporation(1)</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12,390,120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12,390,120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Vulcan Capital Private Equity I LLC(1)</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1,995,954</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1,298,280</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697,674</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KAFU Holdings, L.P.(2)</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8,739,470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1,540,349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5,738,556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Kayne Anderson MLP Fund LLP(2)</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8,739,470</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421,941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5,738,556</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Kayne Anderson Energy Fund II, L.P.(2)</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8,739,470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973,710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5,738,556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Kayne Anderson Capital Income Partners QP, L.P.(2)</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8,739,470</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64,914</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5,738,556</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Wachovia Investors, Inc.</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262,934</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262,934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Flores Family Limited Partnership(3)</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458,956</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458,956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John T. Raymond(4)</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433,617</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97,171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336,446</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5200" w:type="dxa"/>
            <w:vAlign w:val="bottom"/>
          </w:tcPr>
          <w:p>
            <w:pPr>
              <w:spacing w:after="0"/>
              <w:rPr>
                <w:sz w:val="20"/>
                <w:szCs w:val="20"/>
                <w:color w:val="auto"/>
              </w:rPr>
            </w:pPr>
            <w:r>
              <w:rPr>
                <w:rFonts w:ascii="Arial" w:cs="Arial" w:eastAsia="Arial" w:hAnsi="Arial"/>
                <w:sz w:val="13"/>
                <w:szCs w:val="13"/>
                <w:color w:val="auto"/>
              </w:rPr>
              <w:t>Plains AAP, L.P.(5)</w:t>
            </w: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138,103</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138,103</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Less than 1%.</w:t>
      </w:r>
    </w:p>
    <w:p>
      <w:pPr>
        <w:spacing w:after="0" w:line="47" w:lineRule="exact"/>
        <w:rPr>
          <w:sz w:val="20"/>
          <w:szCs w:val="20"/>
          <w:color w:val="auto"/>
        </w:rPr>
      </w:pPr>
    </w:p>
    <w:p>
      <w:pPr>
        <w:ind w:left="1000" w:right="20" w:hanging="259"/>
        <w:spacing w:after="0" w:line="260"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Mr. Paul Allen controls Vulcan Capital Private Equity I LLC, which is the record holder of 1,995,954 common units. In addition, Mr. Allen owns approximately 80% of the outstanding shares of common stock of Vulcan Energy Corporation. Vulcan Energy Corporation is the sole stockholder of Vulcan Energy GP Holdings Inc., which owns approximately 50% of the equity of our general partner. Mr. Allen disclaims any deemed beneficial ownership, beyond his pecuniary interest, in any of our partner interests held by Vulcan Capital Private Equity I LLC, Vulcan Energy Corporation or Vulcan Energy GP Holdings Inc.</w:t>
      </w:r>
    </w:p>
    <w:p>
      <w:pPr>
        <w:spacing w:after="0" w:line="20" w:lineRule="exact"/>
        <w:rPr>
          <w:rFonts w:ascii="Arial" w:cs="Arial" w:eastAsia="Arial" w:hAnsi="Arial"/>
          <w:sz w:val="13"/>
          <w:szCs w:val="13"/>
          <w:color w:val="auto"/>
        </w:rPr>
      </w:pPr>
    </w:p>
    <w:p>
      <w:pPr>
        <w:ind w:left="1000" w:right="40" w:hanging="259"/>
        <w:spacing w:after="0" w:line="281" w:lineRule="auto"/>
        <w:tabs>
          <w:tab w:leader="none" w:pos="10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Various accounts (including those of the selling unitholders) under the management and control of Kayne Anderson Capital Advisors, L.P., the general partner of which is Kayne Anderson Investment Management, Inc., own 8,739,470 common units. Mr. Sinnott, the President of Kayne Anderson Investment Management, Inc., has been designated as one of our directors by KAFU Holdings, L.P., which owns a portion of our general partner. Mr. Sinnott disclaims any deemed beneficial ownership of any units held by Kayne Anderson Investment Management, Inc. or its affiliates, beyond his pecuniary interest in such units. KA Associates, Inc., an affiliate of the selling unitholders, is a broker-dealer registered pursuant to Section 15(b) of the Exchange Act and is a member of the NASD. Each selling unitholder (i) purchased the securities for the selling unitholder’s own account, not as a nominee or agent, in the ordinary course of business and with no intention of selling or otherwise distributing securities in any transaction in violation of securities laws and (ii) at the time of purchase, did not have any agreement or understanding, direct or indirect, with any other person to sell or otherwise distribute the purchased securities.</w:t>
      </w:r>
    </w:p>
    <w:p>
      <w:pPr>
        <w:spacing w:after="0" w:line="9" w:lineRule="exact"/>
        <w:rPr>
          <w:rFonts w:ascii="Arial" w:cs="Arial" w:eastAsia="Arial" w:hAnsi="Arial"/>
          <w:sz w:val="12"/>
          <w:szCs w:val="12"/>
          <w:color w:val="auto"/>
        </w:rPr>
      </w:pPr>
    </w:p>
    <w:p>
      <w:pPr>
        <w:ind w:left="1000" w:hanging="259"/>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James C. Flores, a general partner of the Flores Family Limited Partnership, is a director of Vulcan Energy Corporation.</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Mr. Raymond is a director of Vulcan Energy Corporation.</w:t>
      </w:r>
    </w:p>
    <w:p>
      <w:pPr>
        <w:spacing w:after="0" w:line="47" w:lineRule="exact"/>
        <w:rPr>
          <w:rFonts w:ascii="Arial" w:cs="Arial" w:eastAsia="Arial" w:hAnsi="Arial"/>
          <w:sz w:val="13"/>
          <w:szCs w:val="13"/>
          <w:color w:val="auto"/>
        </w:rPr>
      </w:pPr>
    </w:p>
    <w:p>
      <w:pPr>
        <w:ind w:left="1000" w:right="80" w:hanging="259"/>
        <w:spacing w:after="0" w:line="276"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Plains AAP, L.P. is the sole member of our general partner and maintains a Performance Option Plan funded by common units owned by Plains AAP, L.P. To the extent any options on these units are exercised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on a cashless basis by their holders, our general partner may sell any units it retains after such exercise pursuant to this prospectus.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Any prospectus supplement reflecting a sale of common units hereunder will set forth, with respect to the selling unitholders:</w:t>
      </w:r>
    </w:p>
    <w:p>
      <w:pPr>
        <w:spacing w:after="0" w:line="96"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name of the selling unitholders;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nature of the position, office or other material relationship which the selling unitholders will have had within the prior three years with us or any of our affiliates;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number of common units owned by the selling unitholders prior to the offering;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amount of common units to be offered for the selling unitholders’ account;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amount and (if one percent or more) the percentage of common units to be owned by the selling unitholders after the completion of the offering.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expenses incurred with the registration of the common units owned by the selling unitholders will be borne by us.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PLAN OF DISTRIBUTION</w:t>
      </w:r>
    </w:p>
    <w:p>
      <w:pPr>
        <w:spacing w:after="0" w:line="10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We are registering the common units on behalf of the selling unitholders. As used in this prospectus, “selling unitholders” includes donees and pledgees selling common units received from a named selling unitholder after the date of this prospectus.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this prospectus, the selling unitholders intend to offer our securities to the public:</w:t>
      </w:r>
    </w:p>
    <w:p>
      <w:pPr>
        <w:spacing w:after="0" w:line="96"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through one or more broker-dealers;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through underwriters;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directly to investors.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selling unitholders may price the common units offered from time to time:</w:t>
      </w:r>
    </w:p>
    <w:p>
      <w:pPr>
        <w:spacing w:after="0" w:line="96"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at market prices prevailing at the time of any sale under this registration statement;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prices related to market prices;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negotiated prices.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will pay the costs and expenses of the registration and offering of the common units offered hereby. We will not pay any underwriting fees, discounts and selling commissions allocable to each selling unitholder’s sale of its respective common units, which will be paid by the selling unitholders. Broker-dealers may act as agent or may purchase securities as principal and thereafter resell the securities from time to time:</w:t>
      </w:r>
    </w:p>
    <w:p>
      <w:pPr>
        <w:spacing w:after="0" w:line="67" w:lineRule="exact"/>
        <w:rPr>
          <w:sz w:val="20"/>
          <w:szCs w:val="20"/>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or through one or more transactions (which may involve crosses and block transactions) or distributions;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on the New York Stock Exchange;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the over-the-counter market;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private transactions.</w:t>
      </w:r>
    </w:p>
    <w:p>
      <w:pPr>
        <w:spacing w:after="0" w:line="96"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5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To the extent required, the names of the specific managing underwriter or underwriters, if any, as well as other important information, will be set forth in prospectus supplements. In that event, the discounts and commissions we and the selling unitholders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71"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addition, the selling unitholders have advised us that they may sell common units in compliance with Rule 144, if available, or pursuant to other available exemptions from the registration requirements under the Securities Act, rather than pursuant to this prospectus.</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aggregate maximum compensation the underwriters will receive in connection with the sale of any securities under this prospectus and the registration statement of which it forms a part will not exceed 10% of the gross proceeds from the sale.</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Because FINRA views our common units as interests in a direct participation program, any offering of common units under the registration statement of which this prospectus forms a part will be made in compliance with Rule 2810 of the NASD Conduct Rules.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validity of the common units will be passed upon for Plains All American Pipeline by Vinson &amp; Elkins L.L.P., Houston, Texas, offered in this registration statement. The selling unitholders’ counsel and the underwriters’ own legal counsel will advise them about other issues relating to any offering in which they participate.</w:t>
      </w:r>
    </w:p>
    <w:p>
      <w:pPr>
        <w:spacing w:after="0" w:line="2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2007, have been so incorporated in reliance on the report of PricewaterhouseCoopers LLP, an independent registered public accounting firm, given on the authority of said firm as experts in auditing and accounting.</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balance sheet as of December 31, 2007 of PAA GP LLC incorporated in this prospectus by reference to the Current Report on Form 8-K of Plains All American Pipeline, L.P. filed March 10, 2008 has been so incorporated in reliance on the report of PricewaterhouseCoopers LLP, an independent registered public accounting firm, given on the authority of said firm as experts in auditing and accounting.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INFORMATION REQUIRED IN THE REGISTRATION STATEMENT</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Set forth below are the expenses (other than underwriting discounts and commissions) expected to be incurred in connection with the issuance and distribution of the securities registered hereby. With the exception of the Securities and Exchange Commission registration fee, the amounts set forth below are estimates.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19,262</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FINRA filing fee</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50,000</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Accounting fees and expenses</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20,000</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Printing and engraving expenses</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Miscellaneous</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r>
      <w:tr>
        <w:trPr>
          <w:trHeight w:val="20"/>
        </w:trPr>
        <w:tc>
          <w:tcPr>
            <w:tcW w:w="9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209,262</w:t>
            </w:r>
          </w:p>
        </w:tc>
      </w:tr>
    </w:tbl>
    <w:p>
      <w:pPr>
        <w:spacing w:after="0" w:line="15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Indemnification of Officers and Members of Our Board of Directors</w:t>
      </w:r>
    </w:p>
    <w:p>
      <w:pPr>
        <w:spacing w:after="0" w:line="10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his, her or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w:t>
      </w:r>
    </w:p>
    <w:p>
      <w:pPr>
        <w:spacing w:after="0" w:line="61"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w:t>
      </w:r>
    </w:p>
    <w:p>
      <w:pPr>
        <w:spacing w:after="0" w:line="1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260" w:hanging="174"/>
        <w:spacing w:after="0"/>
        <w:tabs>
          <w:tab w:leader="none" w:pos="126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106"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  Form of Underwriting Agreement</w:t>
      </w:r>
    </w:p>
    <w:p>
      <w:pPr>
        <w:spacing w:after="0" w:line="15"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  Opinion of Vinson &amp; Elkins L.L.P. as to the legality of the securities being registered</w:t>
      </w:r>
    </w:p>
    <w:p>
      <w:pPr>
        <w:spacing w:after="0" w:line="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color w:val="auto"/>
        </w:rPr>
        <w:t>—  Opinion of Vinson &amp; Elkins L.L.P. relating to tax matters</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  Consent of PricewaterhouseCoopers LLP</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  Consent of Vinson &amp; Elkins L.L.P. (contained in Exhibits 5.1 and 8.1)</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  Powers of Attorney (included on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Filed herewith.</w:t>
      </w:r>
    </w:p>
    <w:p>
      <w:pPr>
        <w:spacing w:after="0" w:line="47"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To be filed as an exhibit to a report pursuant to Section 13(a) or 15(d) of the Securities Exchange Act of 1934 or in a post-effective amendment to this registration statement.</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undersigned registrants hereby undertakes: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A. The undersigned registrant hereby undertakes:</w:t>
      </w:r>
    </w:p>
    <w:p>
      <w:pPr>
        <w:spacing w:after="0" w:line="96" w:lineRule="exact"/>
        <w:rPr>
          <w:sz w:val="20"/>
          <w:szCs w:val="20"/>
          <w:color w:val="auto"/>
        </w:rPr>
      </w:pPr>
    </w:p>
    <w:p>
      <w:pPr>
        <w:ind w:left="2040" w:hanging="188"/>
        <w:spacing w:after="0"/>
        <w:tabs>
          <w:tab w:leader="none" w:pos="20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To file, during any period in which offers or sales are being made, a post-effective amendment to this registration statement:</w:t>
      </w:r>
    </w:p>
    <w:p>
      <w:pPr>
        <w:spacing w:after="0" w:line="96" w:lineRule="exact"/>
        <w:rPr>
          <w:rFonts w:ascii="Arial" w:cs="Arial" w:eastAsia="Arial" w:hAnsi="Arial"/>
          <w:sz w:val="13"/>
          <w:szCs w:val="13"/>
          <w:color w:val="auto"/>
        </w:rPr>
      </w:pPr>
    </w:p>
    <w:p>
      <w:pPr>
        <w:ind w:left="2500" w:hanging="169"/>
        <w:spacing w:after="0"/>
        <w:tabs>
          <w:tab w:leader="none" w:pos="2500" w:val="left"/>
        </w:tabs>
        <w:numPr>
          <w:ilvl w:val="1"/>
          <w:numId w:val="36"/>
        </w:numPr>
        <w:rPr>
          <w:rFonts w:ascii="Arial" w:cs="Arial" w:eastAsia="Arial" w:hAnsi="Arial"/>
          <w:sz w:val="13"/>
          <w:szCs w:val="13"/>
          <w:color w:val="auto"/>
        </w:rPr>
      </w:pPr>
      <w:r>
        <w:rPr>
          <w:rFonts w:ascii="Arial" w:cs="Arial" w:eastAsia="Arial" w:hAnsi="Arial"/>
          <w:sz w:val="13"/>
          <w:szCs w:val="13"/>
          <w:color w:val="auto"/>
        </w:rPr>
        <w:t>To include any prospectus required by Section 10(a)(3) of the Securities Act;</w:t>
      </w:r>
    </w:p>
    <w:p>
      <w:pPr>
        <w:spacing w:after="0" w:line="96" w:lineRule="exact"/>
        <w:rPr>
          <w:rFonts w:ascii="Arial" w:cs="Arial" w:eastAsia="Arial" w:hAnsi="Arial"/>
          <w:sz w:val="13"/>
          <w:szCs w:val="13"/>
          <w:color w:val="auto"/>
        </w:rPr>
      </w:pPr>
    </w:p>
    <w:p>
      <w:pPr>
        <w:ind w:left="1980" w:right="20" w:firstLine="351"/>
        <w:spacing w:after="0" w:line="257" w:lineRule="auto"/>
        <w:tabs>
          <w:tab w:leader="none" w:pos="2510" w:val="left"/>
        </w:tabs>
        <w:numPr>
          <w:ilvl w:val="1"/>
          <w:numId w:val="36"/>
        </w:numPr>
        <w:rPr>
          <w:rFonts w:ascii="Arial" w:cs="Arial" w:eastAsia="Arial" w:hAnsi="Arial"/>
          <w:sz w:val="13"/>
          <w:szCs w:val="13"/>
          <w:color w:val="auto"/>
        </w:rPr>
      </w:pPr>
      <w:r>
        <w:rPr>
          <w:rFonts w:ascii="Arial" w:cs="Arial" w:eastAsia="Arial" w:hAnsi="Arial"/>
          <w:sz w:val="13"/>
          <w:szCs w:val="13"/>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71" w:lineRule="exact"/>
        <w:rPr>
          <w:rFonts w:ascii="Arial" w:cs="Arial" w:eastAsia="Arial" w:hAnsi="Arial"/>
          <w:sz w:val="13"/>
          <w:szCs w:val="13"/>
          <w:color w:val="auto"/>
        </w:rPr>
      </w:pPr>
    </w:p>
    <w:p>
      <w:pPr>
        <w:ind w:left="1980" w:right="40" w:firstLine="351"/>
        <w:spacing w:after="0" w:line="276" w:lineRule="auto"/>
        <w:tabs>
          <w:tab w:leader="none" w:pos="2503" w:val="left"/>
        </w:tabs>
        <w:numPr>
          <w:ilvl w:val="1"/>
          <w:numId w:val="36"/>
        </w:numPr>
        <w:rPr>
          <w:rFonts w:ascii="Arial" w:cs="Arial" w:eastAsia="Arial" w:hAnsi="Arial"/>
          <w:sz w:val="13"/>
          <w:szCs w:val="13"/>
          <w:color w:val="auto"/>
        </w:rPr>
      </w:pPr>
      <w:r>
        <w:rPr>
          <w:rFonts w:ascii="Arial" w:cs="Arial" w:eastAsia="Arial" w:hAnsi="Arial"/>
          <w:sz w:val="13"/>
          <w:szCs w:val="13"/>
          <w:color w:val="auto"/>
        </w:rPr>
        <w:t>To include any material information with respect to the plan of distribution not previously disclosed in this registration statement or any material change to the information in this registration statement;</w:t>
      </w:r>
    </w:p>
    <w:p>
      <w:pPr>
        <w:spacing w:after="0" w:line="59" w:lineRule="exact"/>
        <w:rPr>
          <w:sz w:val="20"/>
          <w:szCs w:val="20"/>
          <w:color w:val="auto"/>
        </w:rPr>
      </w:pPr>
    </w:p>
    <w:p>
      <w:pPr>
        <w:ind w:left="1980" w:right="300"/>
        <w:spacing w:after="0" w:line="276" w:lineRule="auto"/>
        <w:rPr>
          <w:sz w:val="20"/>
          <w:szCs w:val="20"/>
          <w:color w:val="auto"/>
        </w:rPr>
      </w:pPr>
      <w:r>
        <w:rPr>
          <w:rFonts w:ascii="Arial" w:cs="Arial" w:eastAsia="Arial" w:hAnsi="Arial"/>
          <w:sz w:val="13"/>
          <w:szCs w:val="13"/>
          <w:color w:val="auto"/>
        </w:rPr>
        <w:t>provided, however, that paragraphs (l)(a), (l)(b) and (1)(c) above do not apply if the information required to be included in a post-effective amendment by those paragraphs is contained in</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980" w:right="60"/>
        <w:spacing w:after="0" w:line="320" w:lineRule="auto"/>
        <w:rPr>
          <w:sz w:val="20"/>
          <w:szCs w:val="20"/>
          <w:color w:val="auto"/>
        </w:rPr>
      </w:pPr>
      <w:r>
        <w:rPr>
          <w:rFonts w:ascii="Arial" w:cs="Arial" w:eastAsia="Arial" w:hAnsi="Arial"/>
          <w:sz w:val="12"/>
          <w:szCs w:val="12"/>
          <w:color w:val="auto"/>
        </w:rPr>
        <w:t>reports filed with or furnished to the SEC by the registrant pursuant to Section 13 or 15(d) of the Securities Exchange Act of 1934 that are incorporated by reference in this registration statement, or is contained in a form of prospectus filed pursuant to Rule 424(b) that is part of the registration statement.</w:t>
      </w:r>
    </w:p>
    <w:p>
      <w:pPr>
        <w:spacing w:after="0" w:line="35" w:lineRule="exact"/>
        <w:rPr>
          <w:sz w:val="20"/>
          <w:szCs w:val="20"/>
          <w:color w:val="auto"/>
        </w:rPr>
      </w:pPr>
    </w:p>
    <w:p>
      <w:pPr>
        <w:ind w:left="1480" w:firstLine="372"/>
        <w:spacing w:after="0" w:line="320" w:lineRule="auto"/>
        <w:tabs>
          <w:tab w:leader="none" w:pos="203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each of the post-effective amendments shall be deemed to be a new registration statement relating to the securities offered therein, and the offering of the securities at that time shall be deemed to be the initial bona fide offering thereof.</w:t>
      </w:r>
    </w:p>
    <w:p>
      <w:pPr>
        <w:spacing w:after="0" w:line="35" w:lineRule="exact"/>
        <w:rPr>
          <w:rFonts w:ascii="Arial" w:cs="Arial" w:eastAsia="Arial" w:hAnsi="Arial"/>
          <w:sz w:val="12"/>
          <w:szCs w:val="12"/>
          <w:color w:val="auto"/>
        </w:rPr>
      </w:pPr>
    </w:p>
    <w:p>
      <w:pPr>
        <w:ind w:left="2040" w:hanging="188"/>
        <w:spacing w:after="0"/>
        <w:tabs>
          <w:tab w:leader="none" w:pos="20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07" w:lineRule="exact"/>
        <w:rPr>
          <w:rFonts w:ascii="Arial" w:cs="Arial" w:eastAsia="Arial" w:hAnsi="Arial"/>
          <w:sz w:val="12"/>
          <w:szCs w:val="12"/>
          <w:color w:val="auto"/>
        </w:rPr>
      </w:pPr>
    </w:p>
    <w:p>
      <w:pPr>
        <w:ind w:left="2040" w:hanging="188"/>
        <w:spacing w:after="0"/>
        <w:tabs>
          <w:tab w:leader="none" w:pos="20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That, for the purpose of determining liability under the Securities Act to any purchaser:</w:t>
      </w:r>
    </w:p>
    <w:p>
      <w:pPr>
        <w:spacing w:after="0" w:line="96" w:lineRule="exact"/>
        <w:rPr>
          <w:rFonts w:ascii="Arial" w:cs="Arial" w:eastAsia="Arial" w:hAnsi="Arial"/>
          <w:sz w:val="13"/>
          <w:szCs w:val="13"/>
          <w:color w:val="auto"/>
        </w:rPr>
      </w:pPr>
    </w:p>
    <w:p>
      <w:pPr>
        <w:ind w:left="1980" w:right="20" w:firstLine="351"/>
        <w:spacing w:after="0" w:line="276" w:lineRule="auto"/>
        <w:tabs>
          <w:tab w:leader="none" w:pos="2505" w:val="left"/>
        </w:tabs>
        <w:numPr>
          <w:ilvl w:val="1"/>
          <w:numId w:val="37"/>
        </w:numPr>
        <w:rPr>
          <w:rFonts w:ascii="Arial" w:cs="Arial" w:eastAsia="Arial" w:hAnsi="Arial"/>
          <w:sz w:val="13"/>
          <w:szCs w:val="13"/>
          <w:color w:val="auto"/>
        </w:rPr>
      </w:pPr>
      <w:r>
        <w:rPr>
          <w:rFonts w:ascii="Arial" w:cs="Arial" w:eastAsia="Arial" w:hAnsi="Arial"/>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9" w:lineRule="exact"/>
        <w:rPr>
          <w:rFonts w:ascii="Arial" w:cs="Arial" w:eastAsia="Arial" w:hAnsi="Arial"/>
          <w:sz w:val="13"/>
          <w:szCs w:val="13"/>
          <w:color w:val="auto"/>
        </w:rPr>
      </w:pPr>
    </w:p>
    <w:p>
      <w:pPr>
        <w:ind w:left="1980" w:right="60" w:firstLine="351"/>
        <w:spacing w:after="0" w:line="278" w:lineRule="auto"/>
        <w:tabs>
          <w:tab w:leader="none" w:pos="2513" w:val="left"/>
        </w:tabs>
        <w:numPr>
          <w:ilvl w:val="1"/>
          <w:numId w:val="37"/>
        </w:numPr>
        <w:rPr>
          <w:rFonts w:ascii="Arial" w:cs="Arial" w:eastAsia="Arial" w:hAnsi="Arial"/>
          <w:sz w:val="12"/>
          <w:szCs w:val="12"/>
          <w:color w:val="auto"/>
        </w:rPr>
      </w:pPr>
      <w:r>
        <w:rPr>
          <w:rFonts w:ascii="Arial" w:cs="Arial" w:eastAsia="Arial" w:hAnsi="Arial"/>
          <w:sz w:val="12"/>
          <w:szCs w:val="12"/>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2" w:lineRule="exact"/>
        <w:rPr>
          <w:rFonts w:ascii="Arial" w:cs="Arial" w:eastAsia="Arial" w:hAnsi="Arial"/>
          <w:sz w:val="12"/>
          <w:szCs w:val="12"/>
          <w:color w:val="auto"/>
        </w:rPr>
      </w:pPr>
    </w:p>
    <w:p>
      <w:pPr>
        <w:ind w:left="1480" w:right="20" w:firstLine="372"/>
        <w:spacing w:after="0" w:line="260" w:lineRule="auto"/>
        <w:tabs>
          <w:tab w:leader="none" w:pos="203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9" w:lineRule="exact"/>
        <w:rPr>
          <w:rFonts w:ascii="Arial" w:cs="Arial" w:eastAsia="Arial" w:hAnsi="Arial"/>
          <w:sz w:val="13"/>
          <w:szCs w:val="13"/>
          <w:color w:val="auto"/>
        </w:rPr>
      </w:pPr>
    </w:p>
    <w:p>
      <w:pPr>
        <w:ind w:left="2500" w:hanging="169"/>
        <w:spacing w:after="0"/>
        <w:tabs>
          <w:tab w:leader="none" w:pos="2500" w:val="left"/>
        </w:tabs>
        <w:numPr>
          <w:ilvl w:val="1"/>
          <w:numId w:val="37"/>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1980" w:right="440" w:firstLine="351"/>
        <w:spacing w:after="0" w:line="276" w:lineRule="auto"/>
        <w:tabs>
          <w:tab w:leader="none" w:pos="2505" w:val="left"/>
        </w:tabs>
        <w:numPr>
          <w:ilvl w:val="1"/>
          <w:numId w:val="37"/>
        </w:numPr>
        <w:rPr>
          <w:rFonts w:ascii="Arial" w:cs="Arial" w:eastAsia="Arial" w:hAnsi="Arial"/>
          <w:sz w:val="13"/>
          <w:szCs w:val="13"/>
          <w:color w:val="auto"/>
        </w:rPr>
      </w:pPr>
      <w:r>
        <w:rPr>
          <w:rFonts w:ascii="Arial" w:cs="Arial" w:eastAsia="Arial" w:hAnsi="Arial"/>
          <w:sz w:val="13"/>
          <w:szCs w:val="13"/>
          <w:color w:val="auto"/>
        </w:rPr>
        <w:t>Any free writing prospectus relating to the offering prepared by or on behalf of the undersigned registrant or used or referred to by the undersigned registrant;</w:t>
      </w:r>
    </w:p>
    <w:p>
      <w:pPr>
        <w:spacing w:after="0" w:line="59" w:lineRule="exact"/>
        <w:rPr>
          <w:rFonts w:ascii="Arial" w:cs="Arial" w:eastAsia="Arial" w:hAnsi="Arial"/>
          <w:sz w:val="13"/>
          <w:szCs w:val="13"/>
          <w:color w:val="auto"/>
        </w:rPr>
      </w:pPr>
    </w:p>
    <w:p>
      <w:pPr>
        <w:ind w:left="1980" w:right="180" w:firstLine="351"/>
        <w:spacing w:after="0" w:line="276" w:lineRule="auto"/>
        <w:tabs>
          <w:tab w:leader="none" w:pos="2503" w:val="left"/>
        </w:tabs>
        <w:numPr>
          <w:ilvl w:val="1"/>
          <w:numId w:val="37"/>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2500" w:hanging="169"/>
        <w:spacing w:after="0"/>
        <w:tabs>
          <w:tab w:leader="none" w:pos="2500" w:val="left"/>
        </w:tabs>
        <w:numPr>
          <w:ilvl w:val="1"/>
          <w:numId w:val="37"/>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200" w:firstLine="383"/>
        <w:spacing w:after="0" w:line="260" w:lineRule="auto"/>
        <w:rPr>
          <w:sz w:val="20"/>
          <w:szCs w:val="20"/>
          <w:color w:val="auto"/>
        </w:rPr>
      </w:pPr>
      <w:r>
        <w:rPr>
          <w:rFonts w:ascii="Arial" w:cs="Arial" w:eastAsia="Arial" w:hAnsi="Arial"/>
          <w:sz w:val="13"/>
          <w:szCs w:val="13"/>
          <w:color w:val="auto"/>
        </w:rPr>
        <w:t>B. The undersigned registrant hereby undertakes that, for purposes of determining any liability under the Securities Act, each filing of its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the securities at that time shall be deemed to be the initial bona fide offering thereof.</w:t>
      </w:r>
    </w:p>
    <w:p>
      <w:pPr>
        <w:spacing w:after="0" w:line="70" w:lineRule="exact"/>
        <w:rPr>
          <w:sz w:val="20"/>
          <w:szCs w:val="20"/>
          <w:color w:val="auto"/>
        </w:rPr>
      </w:pPr>
    </w:p>
    <w:p>
      <w:pPr>
        <w:ind w:left="1080" w:firstLine="383"/>
        <w:spacing w:after="0" w:line="256" w:lineRule="auto"/>
        <w:rPr>
          <w:sz w:val="20"/>
          <w:szCs w:val="20"/>
          <w:color w:val="auto"/>
        </w:rPr>
      </w:pPr>
      <w:r>
        <w:rPr>
          <w:rFonts w:ascii="Arial" w:cs="Arial" w:eastAsia="Arial" w:hAnsi="Arial"/>
          <w:sz w:val="13"/>
          <w:szCs w:val="13"/>
          <w:color w:val="auto"/>
        </w:rPr>
        <w:t>C. 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that indemnification is against public policy as expressed in the Securities Act and is, therefore, unenforceable. In the event that a claim for indemnification against any liability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40" w:firstLine="399"/>
        <w:spacing w:after="0" w:line="371" w:lineRule="auto"/>
        <w:rPr>
          <w:sz w:val="20"/>
          <w:szCs w:val="20"/>
          <w:color w:val="auto"/>
        </w:rPr>
      </w:pPr>
      <w:r>
        <w:rPr>
          <w:rFonts w:ascii="Arial" w:cs="Arial" w:eastAsia="Arial" w:hAnsi="Arial"/>
          <w:sz w:val="11"/>
          <w:szCs w:val="11"/>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November 25, 2008.</w:t>
      </w:r>
    </w:p>
    <w:p>
      <w:pPr>
        <w:spacing w:after="0" w:line="87"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PLAINS ALL AMERICAN PIPELINE, L.P.</w:t>
      </w:r>
    </w:p>
    <w:p>
      <w:pPr>
        <w:spacing w:after="0" w:line="3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PAA GP LLC, its general partner</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AAP, L.P., its sole member</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Plains All American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GREG L. ARMSTRONG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2"/>
                <w:szCs w:val="12"/>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color w:val="auto"/>
              </w:rPr>
              <w:t>Greg L. Armstrong</w:t>
            </w:r>
          </w:p>
        </w:tc>
      </w:tr>
      <w:tr>
        <w:trPr>
          <w:trHeight w:val="165"/>
        </w:trPr>
        <w:tc>
          <w:tcPr>
            <w:tcW w:w="59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gridSpan w:val="2"/>
          </w:tcPr>
          <w:p>
            <w:pPr>
              <w:ind w:left="380"/>
              <w:spacing w:after="0"/>
              <w:rPr>
                <w:sz w:val="20"/>
                <w:szCs w:val="20"/>
                <w:color w:val="auto"/>
              </w:rPr>
            </w:pPr>
            <w:r>
              <w:rPr>
                <w:rFonts w:ascii="Arial" w:cs="Arial" w:eastAsia="Arial" w:hAnsi="Arial"/>
                <w:sz w:val="13"/>
                <w:szCs w:val="13"/>
                <w:color w:val="auto"/>
              </w:rPr>
              <w:t>Chairman of the Board and Chief Executive Officer</w:t>
            </w:r>
          </w:p>
        </w:tc>
      </w:tr>
      <w:tr>
        <w:trPr>
          <w:trHeight w:val="442"/>
        </w:trPr>
        <w:tc>
          <w:tcPr>
            <w:tcW w:w="6400" w:type="dxa"/>
            <w:vAlign w:val="bottom"/>
            <w:gridSpan w:val="2"/>
          </w:tcPr>
          <w:p>
            <w:pPr>
              <w:ind w:left="5580"/>
              <w:spacing w:after="0"/>
              <w:rPr>
                <w:sz w:val="20"/>
                <w:szCs w:val="20"/>
                <w:color w:val="auto"/>
              </w:rPr>
            </w:pPr>
            <w:r>
              <w:rPr>
                <w:rFonts w:ascii="Arial" w:cs="Arial" w:eastAsia="Arial" w:hAnsi="Arial"/>
                <w:sz w:val="13"/>
                <w:szCs w:val="13"/>
                <w:color w:val="auto"/>
              </w:rPr>
              <w:t>II-5</w:t>
            </w:r>
          </w:p>
        </w:tc>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9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06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right="840" w:firstLine="399"/>
        <w:spacing w:after="0" w:line="256" w:lineRule="auto"/>
        <w:rPr>
          <w:sz w:val="20"/>
          <w:szCs w:val="20"/>
          <w:color w:val="auto"/>
        </w:rPr>
      </w:pPr>
      <w:r>
        <w:rPr>
          <w:rFonts w:ascii="Arial" w:cs="Arial" w:eastAsia="Arial" w:hAnsi="Arial"/>
          <w:sz w:val="13"/>
          <w:szCs w:val="13"/>
          <w:color w:val="auto"/>
        </w:rPr>
        <w:t>Each person whose signature appears below appoints Al Swanson and Tim Moore, and each of them, either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of their or his substitute and substitutes, may lawfully do or cause to be done by virtue hereof.</w:t>
      </w:r>
    </w:p>
    <w:p>
      <w:pPr>
        <w:spacing w:after="0" w:line="73" w:lineRule="exact"/>
        <w:rPr>
          <w:sz w:val="20"/>
          <w:szCs w:val="20"/>
          <w:color w:val="auto"/>
        </w:rPr>
      </w:pPr>
    </w:p>
    <w:p>
      <w:pPr>
        <w:ind w:left="680" w:right="128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as amended, this registration statement has been signed by the following persons in the capacities and on the dates indicated below.</w:t>
      </w:r>
    </w:p>
    <w:p>
      <w:pPr>
        <w:spacing w:after="0" w:line="55" w:lineRule="exact"/>
        <w:rPr>
          <w:sz w:val="20"/>
          <w:szCs w:val="20"/>
          <w:color w:val="auto"/>
        </w:rPr>
      </w:pPr>
    </w:p>
    <w:p>
      <w:pPr>
        <w:ind w:left="680" w:right="840" w:firstLine="399"/>
        <w:spacing w:after="0" w:line="283" w:lineRule="auto"/>
        <w:rPr>
          <w:sz w:val="20"/>
          <w:szCs w:val="20"/>
          <w:color w:val="auto"/>
        </w:rPr>
      </w:pPr>
      <w:r>
        <w:rPr>
          <w:rFonts w:ascii="Arial" w:cs="Arial" w:eastAsia="Arial" w:hAnsi="Arial"/>
          <w:sz w:val="13"/>
          <w:szCs w:val="13"/>
          <w:b w:val="1"/>
          <w:bCs w:val="1"/>
          <w:color w:val="auto"/>
        </w:rPr>
        <w:t>PLAINS ALL AMERICAN GP LLC, for itself and as the general partner of PLAINS AAP, L.P., which is the sole member of PAA GP LLC, which is the general partner of PLAINS ALL AMERICAN PIPELINE, L.P.</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GREG L. ARMSTRONG</w:t>
            </w:r>
          </w:p>
        </w:tc>
        <w:tc>
          <w:tcPr>
            <w:tcW w:w="4100" w:type="dxa"/>
            <w:vAlign w:val="bottom"/>
          </w:tcPr>
          <w:p>
            <w:pPr>
              <w:jc w:val="center"/>
              <w:ind w:left="14"/>
              <w:spacing w:after="0"/>
              <w:rPr>
                <w:sz w:val="20"/>
                <w:szCs w:val="20"/>
                <w:color w:val="auto"/>
              </w:rPr>
            </w:pPr>
            <w:r>
              <w:rPr>
                <w:rFonts w:ascii="Arial" w:cs="Arial" w:eastAsia="Arial" w:hAnsi="Arial"/>
                <w:sz w:val="13"/>
                <w:szCs w:val="13"/>
                <w:color w:val="auto"/>
                <w:w w:val="93"/>
              </w:rPr>
              <w:t>Chairman of the Board, Chief Executive Officer and Director</w:t>
            </w:r>
          </w:p>
        </w:tc>
        <w:tc>
          <w:tcPr>
            <w:tcW w:w="2560" w:type="dxa"/>
            <w:vAlign w:val="bottom"/>
          </w:tcPr>
          <w:p>
            <w:pPr>
              <w:ind w:left="400"/>
              <w:spacing w:after="0"/>
              <w:rPr>
                <w:sz w:val="20"/>
                <w:szCs w:val="20"/>
                <w:color w:val="auto"/>
              </w:rPr>
            </w:pPr>
            <w:r>
              <w:rPr>
                <w:rFonts w:ascii="Arial" w:cs="Arial" w:eastAsia="Arial" w:hAnsi="Arial"/>
                <w:sz w:val="13"/>
                <w:szCs w:val="13"/>
                <w:color w:val="auto"/>
              </w:rPr>
              <w:t>November 25, 2008</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Greg L. Armstrong</w:t>
            </w:r>
          </w:p>
        </w:tc>
        <w:tc>
          <w:tcPr>
            <w:tcW w:w="4100" w:type="dxa"/>
            <w:vAlign w:val="bottom"/>
          </w:tcPr>
          <w:p>
            <w:pPr>
              <w:jc w:val="center"/>
              <w:spacing w:after="0" w:line="136" w:lineRule="exact"/>
              <w:rPr>
                <w:sz w:val="20"/>
                <w:szCs w:val="20"/>
                <w:color w:val="auto"/>
              </w:rPr>
            </w:pPr>
            <w:r>
              <w:rPr>
                <w:rFonts w:ascii="Arial" w:cs="Arial" w:eastAsia="Arial" w:hAnsi="Arial"/>
                <w:sz w:val="13"/>
                <w:szCs w:val="13"/>
                <w:color w:val="auto"/>
                <w:w w:val="94"/>
              </w:rPr>
              <w:t>(Principal Executive Officer)</w:t>
            </w:r>
          </w:p>
        </w:tc>
        <w:tc>
          <w:tcPr>
            <w:tcW w:w="2560" w:type="dxa"/>
            <w:vAlign w:val="bottom"/>
          </w:tcPr>
          <w:p>
            <w:pPr>
              <w:spacing w:after="0"/>
              <w:rPr>
                <w:sz w:val="14"/>
                <w:szCs w:val="14"/>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AL SWANSON</w:t>
            </w:r>
          </w:p>
        </w:tc>
        <w:tc>
          <w:tcPr>
            <w:tcW w:w="4100" w:type="dxa"/>
            <w:vAlign w:val="bottom"/>
          </w:tcPr>
          <w:p>
            <w:pPr>
              <w:jc w:val="center"/>
              <w:ind w:left="14"/>
              <w:spacing w:after="0"/>
              <w:rPr>
                <w:sz w:val="20"/>
                <w:szCs w:val="20"/>
                <w:color w:val="auto"/>
              </w:rPr>
            </w:pPr>
            <w:r>
              <w:rPr>
                <w:rFonts w:ascii="Arial" w:cs="Arial" w:eastAsia="Arial" w:hAnsi="Arial"/>
                <w:sz w:val="13"/>
                <w:szCs w:val="13"/>
                <w:color w:val="auto"/>
                <w:w w:val="92"/>
              </w:rPr>
              <w:t>Senior Vice President and Chief Financial Officer</w:t>
            </w:r>
          </w:p>
        </w:tc>
        <w:tc>
          <w:tcPr>
            <w:tcW w:w="2560" w:type="dxa"/>
            <w:vAlign w:val="bottom"/>
          </w:tcPr>
          <w:p>
            <w:pPr>
              <w:ind w:left="400"/>
              <w:spacing w:after="0"/>
              <w:rPr>
                <w:sz w:val="20"/>
                <w:szCs w:val="20"/>
                <w:color w:val="auto"/>
              </w:rPr>
            </w:pPr>
            <w:r>
              <w:rPr>
                <w:rFonts w:ascii="Arial" w:cs="Arial" w:eastAsia="Arial" w:hAnsi="Arial"/>
                <w:sz w:val="13"/>
                <w:szCs w:val="13"/>
                <w:color w:val="auto"/>
              </w:rPr>
              <w:t>November 25, 2008</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Al Swanson</w:t>
            </w:r>
          </w:p>
        </w:tc>
        <w:tc>
          <w:tcPr>
            <w:tcW w:w="4100" w:type="dxa"/>
            <w:vAlign w:val="bottom"/>
          </w:tcPr>
          <w:p>
            <w:pPr>
              <w:jc w:val="center"/>
              <w:ind w:left="14"/>
              <w:spacing w:after="0" w:line="136" w:lineRule="exact"/>
              <w:rPr>
                <w:sz w:val="20"/>
                <w:szCs w:val="20"/>
                <w:color w:val="auto"/>
              </w:rPr>
            </w:pPr>
            <w:r>
              <w:rPr>
                <w:rFonts w:ascii="Arial" w:cs="Arial" w:eastAsia="Arial" w:hAnsi="Arial"/>
                <w:sz w:val="13"/>
                <w:szCs w:val="13"/>
                <w:color w:val="auto"/>
                <w:w w:val="96"/>
              </w:rPr>
              <w:t>(Principal Financial Officer)</w:t>
            </w:r>
          </w:p>
        </w:tc>
        <w:tc>
          <w:tcPr>
            <w:tcW w:w="2560" w:type="dxa"/>
            <w:vAlign w:val="bottom"/>
          </w:tcPr>
          <w:p>
            <w:pPr>
              <w:spacing w:after="0"/>
              <w:rPr>
                <w:sz w:val="14"/>
                <w:szCs w:val="14"/>
                <w:color w:val="auto"/>
              </w:rPr>
            </w:pPr>
          </w:p>
        </w:tc>
      </w:tr>
      <w:tr>
        <w:trPr>
          <w:trHeight w:val="297"/>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TINA L. VAL</w:t>
            </w: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Vice President — Accounting and Chief Accounting Officer</w:t>
            </w:r>
          </w:p>
        </w:tc>
        <w:tc>
          <w:tcPr>
            <w:tcW w:w="2560" w:type="dxa"/>
            <w:vAlign w:val="bottom"/>
          </w:tcPr>
          <w:p>
            <w:pPr>
              <w:ind w:left="400"/>
              <w:spacing w:after="0"/>
              <w:rPr>
                <w:sz w:val="20"/>
                <w:szCs w:val="20"/>
                <w:color w:val="auto"/>
              </w:rPr>
            </w:pPr>
            <w:r>
              <w:rPr>
                <w:rFonts w:ascii="Arial" w:cs="Arial" w:eastAsia="Arial" w:hAnsi="Arial"/>
                <w:sz w:val="13"/>
                <w:szCs w:val="13"/>
                <w:color w:val="auto"/>
              </w:rPr>
              <w:t>November 25, 2008</w:t>
            </w: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Tina L. Val</w:t>
            </w:r>
          </w:p>
        </w:tc>
        <w:tc>
          <w:tcPr>
            <w:tcW w:w="4100" w:type="dxa"/>
            <w:vAlign w:val="bottom"/>
          </w:tcPr>
          <w:p>
            <w:pPr>
              <w:jc w:val="center"/>
              <w:ind w:left="14"/>
              <w:spacing w:after="0" w:line="136" w:lineRule="exact"/>
              <w:rPr>
                <w:sz w:val="20"/>
                <w:szCs w:val="20"/>
                <w:color w:val="auto"/>
              </w:rPr>
            </w:pPr>
            <w:r>
              <w:rPr>
                <w:rFonts w:ascii="Arial" w:cs="Arial" w:eastAsia="Arial" w:hAnsi="Arial"/>
                <w:sz w:val="13"/>
                <w:szCs w:val="13"/>
                <w:color w:val="auto"/>
                <w:w w:val="96"/>
              </w:rPr>
              <w:t>(Principal Accounting Officer)</w:t>
            </w:r>
          </w:p>
        </w:tc>
        <w:tc>
          <w:tcPr>
            <w:tcW w:w="2560" w:type="dxa"/>
            <w:vAlign w:val="bottom"/>
          </w:tcPr>
          <w:p>
            <w:pPr>
              <w:spacing w:after="0"/>
              <w:rPr>
                <w:sz w:val="14"/>
                <w:szCs w:val="14"/>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 LANCE CONN</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560" w:type="dxa"/>
            <w:vAlign w:val="bottom"/>
          </w:tcPr>
          <w:p>
            <w:pPr>
              <w:ind w:left="40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W. Lance Conn</w:t>
            </w:r>
          </w:p>
        </w:tc>
        <w:tc>
          <w:tcPr>
            <w:tcW w:w="410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EVERARDO GOYANES</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560" w:type="dxa"/>
            <w:vAlign w:val="bottom"/>
          </w:tcPr>
          <w:p>
            <w:pPr>
              <w:ind w:left="40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Everardo Goyanes</w:t>
            </w:r>
          </w:p>
        </w:tc>
        <w:tc>
          <w:tcPr>
            <w:tcW w:w="410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GARY R. PETERSEN</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560" w:type="dxa"/>
            <w:vAlign w:val="bottom"/>
          </w:tcPr>
          <w:p>
            <w:pPr>
              <w:ind w:left="40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Gary R. Petersen</w:t>
            </w:r>
          </w:p>
        </w:tc>
        <w:tc>
          <w:tcPr>
            <w:tcW w:w="410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V. SINNOTT</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560" w:type="dxa"/>
            <w:vAlign w:val="bottom"/>
          </w:tcPr>
          <w:p>
            <w:pPr>
              <w:ind w:left="40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Robert V. Sinnott</w:t>
            </w:r>
          </w:p>
        </w:tc>
        <w:tc>
          <w:tcPr>
            <w:tcW w:w="410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ARTHUR L. SMITH</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560" w:type="dxa"/>
            <w:vAlign w:val="bottom"/>
          </w:tcPr>
          <w:p>
            <w:pPr>
              <w:ind w:left="40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Arthur L. Smith</w:t>
            </w:r>
          </w:p>
        </w:tc>
        <w:tc>
          <w:tcPr>
            <w:tcW w:w="410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 TAFT SYMONDS</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560" w:type="dxa"/>
            <w:vAlign w:val="bottom"/>
          </w:tcPr>
          <w:p>
            <w:pPr>
              <w:ind w:left="400"/>
              <w:spacing w:after="0"/>
              <w:rPr>
                <w:sz w:val="20"/>
                <w:szCs w:val="20"/>
                <w:color w:val="auto"/>
              </w:rPr>
            </w:pPr>
            <w:r>
              <w:rPr>
                <w:rFonts w:ascii="Arial" w:cs="Arial" w:eastAsia="Arial" w:hAnsi="Arial"/>
                <w:sz w:val="13"/>
                <w:szCs w:val="13"/>
                <w:color w:val="auto"/>
              </w:rPr>
              <w:t>November 25,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 Taft Symonds</w:t>
            </w:r>
          </w:p>
        </w:tc>
        <w:tc>
          <w:tcPr>
            <w:tcW w:w="410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100" w:type="dxa"/>
            <w:vAlign w:val="bottom"/>
          </w:tcPr>
          <w:p>
            <w:pPr>
              <w:ind w:left="780"/>
              <w:spacing w:after="0"/>
              <w:rPr>
                <w:sz w:val="20"/>
                <w:szCs w:val="20"/>
                <w:color w:val="auto"/>
              </w:rPr>
            </w:pPr>
            <w:r>
              <w:rPr>
                <w:rFonts w:ascii="Arial" w:cs="Arial" w:eastAsia="Arial" w:hAnsi="Arial"/>
                <w:sz w:val="13"/>
                <w:szCs w:val="13"/>
                <w:color w:val="auto"/>
              </w:rPr>
              <w:t>II-6</w:t>
            </w:r>
          </w:p>
        </w:tc>
        <w:tc>
          <w:tcPr>
            <w:tcW w:w="25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25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INDEX TO EXHIBITS</w:t>
      </w:r>
    </w:p>
    <w:p>
      <w:pPr>
        <w:spacing w:after="0" w:line="110"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  Form of Underwriting Agreement</w:t>
      </w:r>
    </w:p>
    <w:p>
      <w:pPr>
        <w:spacing w:after="0" w:line="15"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  Opinion of Vinson &amp; Elkins L.L.P. as to the legality of the securities being registered</w:t>
      </w:r>
    </w:p>
    <w:p>
      <w:pPr>
        <w:spacing w:after="0" w:line="8" w:lineRule="exact"/>
        <w:rPr>
          <w:sz w:val="20"/>
          <w:szCs w:val="20"/>
          <w:color w:val="auto"/>
        </w:rPr>
      </w:pPr>
    </w:p>
    <w:p>
      <w:pPr>
        <w:ind w:left="960"/>
        <w:spacing w:after="0"/>
        <w:tabs>
          <w:tab w:leader="none" w:pos="136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color w:val="auto"/>
        </w:rPr>
        <w:t>—  Opinion of Vinson &amp; Elkins L.L.P. relating to tax matters</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  Consent of PricewaterhouseCoopers LLP</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  Consent of Vinson &amp; Elkins L.L.P. (contained in Exhibits 5.1 and 8.1)</w:t>
      </w:r>
    </w:p>
    <w:p>
      <w:pPr>
        <w:spacing w:after="0" w:line="8"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  Powers of Attorney (included on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Filed herewith.</w:t>
      </w:r>
    </w:p>
    <w:p>
      <w:pPr>
        <w:spacing w:after="0" w:line="47" w:lineRule="exact"/>
        <w:rPr>
          <w:sz w:val="20"/>
          <w:szCs w:val="20"/>
          <w:color w:val="auto"/>
        </w:rPr>
      </w:pPr>
    </w:p>
    <w:p>
      <w:pPr>
        <w:ind w:left="700"/>
        <w:spacing w:after="0"/>
        <w:tabs>
          <w:tab w:leader="none" w:pos="8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To be filed as an exhibit to a report pursuant to Section 13(a) or 15(d) of the Securities Exchange Act of 1934 or in a post-effective amendment to this registration statement.</w:t>
      </w:r>
    </w:p>
    <w:p>
      <w:pPr>
        <w:sectPr>
          <w:pgSz w:w="11900" w:h="16838" w:orient="portrait"/>
          <w:cols w:equalWidth="0" w:num="1">
            <w:col w:w="10239"/>
          </w:cols>
          <w:pgMar w:left="220" w:top="343"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3"/>
          <w:szCs w:val="13"/>
          <w:b w:val="1"/>
          <w:bCs w:val="1"/>
          <w:color w:val="auto"/>
        </w:rPr>
        <w:t>Exhibit 5.1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Vinson &amp; Elkins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1001 Fannin, Suite 2500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Houston, Texas 77002-6760</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November 25,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Plains All American Pipeline, L.P. 333 Clay Street, Suite 1600 Houston, Texas 77002</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 Plains All American Pipeline, L.P. — Registration Statement on Form S-3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420" w:firstLine="161"/>
        <w:spacing w:after="0" w:line="285" w:lineRule="auto"/>
        <w:rPr>
          <w:sz w:val="20"/>
          <w:szCs w:val="20"/>
          <w:color w:val="auto"/>
        </w:rPr>
      </w:pPr>
      <w:r>
        <w:rPr>
          <w:rFonts w:ascii="Arial" w:cs="Arial" w:eastAsia="Arial" w:hAnsi="Arial"/>
          <w:sz w:val="12"/>
          <w:szCs w:val="12"/>
          <w:color w:val="auto"/>
        </w:rPr>
        <w:t>We have acted as counsel to Plains All American Pipeline, L.P., a Delaware limited partnership (the “Partnership”), with respect to certain legal matters in connection with the preparation of the Registration Statement on Form S-3 (such Registration Statement, as amended on the effective date thereof being referred to herein as the “Registration Statement”) filed with the Securities and Exchange Commission (the “Commission”) under the Securities Act of 1933, as amended (the “Securities Act”), on the date hereof and to which this opinion is an exhibit. The Registration Statement relates to the registration of 17,646,478 common units representing limited partner interests of the Partnership (the “Common Units”), for the account of the selling unitholders identified in the Registration Statement. We have also participated in the preparation of the prospectus relating to the Registration Statement and included as a part thereof (the “Prospectus”).</w:t>
      </w:r>
    </w:p>
    <w:p>
      <w:pPr>
        <w:spacing w:after="0" w:line="46" w:lineRule="exact"/>
        <w:rPr>
          <w:sz w:val="20"/>
          <w:szCs w:val="20"/>
          <w:color w:val="auto"/>
        </w:rPr>
      </w:pPr>
    </w:p>
    <w:p>
      <w:pPr>
        <w:jc w:val="both"/>
        <w:ind w:right="460" w:firstLine="157"/>
        <w:spacing w:after="0" w:line="264" w:lineRule="auto"/>
        <w:rPr>
          <w:sz w:val="20"/>
          <w:szCs w:val="20"/>
          <w:color w:val="auto"/>
        </w:rPr>
      </w:pPr>
      <w:r>
        <w:rPr>
          <w:rFonts w:ascii="Arial" w:cs="Arial" w:eastAsia="Arial" w:hAnsi="Arial"/>
          <w:sz w:val="13"/>
          <w:szCs w:val="13"/>
          <w:color w:val="auto"/>
        </w:rPr>
        <w:t>As the basis for the opinion hereinafter expressed, we have examined such statutes, including the Delaware Revised Uniform Limited Partnership Act (the “Delaware Act”), corporate records and documents, certificates of corporate and public officials, and other instruments and documents as we deemed necessary or advisable for the purposes of this opinion. In such examination, we assumed the authenticity of all documents submitted to us as originals and the conformity with the original documents of all documents submitted to us as copies.</w:t>
      </w:r>
    </w:p>
    <w:p>
      <w:pPr>
        <w:spacing w:after="0" w:line="57" w:lineRule="exact"/>
        <w:rPr>
          <w:sz w:val="20"/>
          <w:szCs w:val="20"/>
          <w:color w:val="auto"/>
        </w:rPr>
      </w:pPr>
    </w:p>
    <w:p>
      <w:pPr>
        <w:ind w:right="60" w:firstLine="164"/>
        <w:spacing w:after="0" w:line="289" w:lineRule="auto"/>
        <w:rPr>
          <w:sz w:val="20"/>
          <w:szCs w:val="20"/>
          <w:color w:val="auto"/>
        </w:rPr>
      </w:pPr>
      <w:r>
        <w:rPr>
          <w:rFonts w:ascii="Arial" w:cs="Arial" w:eastAsia="Arial" w:hAnsi="Arial"/>
          <w:sz w:val="12"/>
          <w:szCs w:val="12"/>
          <w:color w:val="auto"/>
        </w:rPr>
        <w:t>In connection with this opinion, we have assumed that (i) the Registration Statement and any amendments thereto (including post-effective amendments) will have become effective, (ii) all Common Units will be sold in compliance with applicable federal and state securities laws and in the manner stated in the Registration Statement, (iii) the certificates for the Common Units will conform to the specimens thereof examined by us and will have been duly countersigned by a transfer agent and duly registered by a registrar of the Common Units, and (iv) each document submitted to us for review is accurate and complete, each such document that is an original is authentic, each such document that is a copy conforms to an authentic original and all signatures on each such document are genuine.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Based upon and subject to the foregoing, we are of the opinion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46" w:name="page47"/>
    <w:bookmarkEnd w:id="46"/>
    <w:p>
      <w:pPr>
        <w:ind w:left="300" w:hanging="138"/>
        <w:spacing w:after="0"/>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Partnership has been duly formed and is validly existing as a limited partnership under the Delaware Act.</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Common Units have been duly authorized and validly issued and are fully paid and nonassessable.</w:t>
      </w:r>
    </w:p>
    <w:p>
      <w:pPr>
        <w:spacing w:after="0" w:line="86"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opinions set forth above are limited in all respects to the federal laws of the United States of America, the Delaware Act, the Constitution of the State of Delaware, as interpreted by the courts of the State of Delaware. We hereby consent to the filing of this opinion of counsel as Exhibit 5.1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Securities Act or the rules and regulations of the Commission thereunder.</w:t>
      </w:r>
    </w:p>
    <w:p>
      <w:pPr>
        <w:spacing w:after="0" w:line="13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VINSON &amp; ELKINS L.L.P.</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VINSON &amp; ELKINS L.L.P.</w:t>
      </w:r>
    </w:p>
    <w:p>
      <w:pPr>
        <w:sectPr>
          <w:pgSz w:w="11900" w:h="16838" w:orient="portrait"/>
          <w:cols w:equalWidth="0" w:num="1">
            <w:col w:w="11160"/>
          </w:cols>
          <w:pgMar w:left="220" w:top="720" w:right="519" w:bottom="1440" w:gutter="0" w:footer="0" w:header="0"/>
        </w:sectPr>
      </w:pPr>
    </w:p>
    <w:bookmarkStart w:id="47" w:name="page48"/>
    <w:bookmarkEnd w:id="47"/>
    <w:p>
      <w:pPr>
        <w:jc w:val="right"/>
        <w:spacing w:after="0"/>
        <w:rPr>
          <w:sz w:val="20"/>
          <w:szCs w:val="20"/>
          <w:color w:val="auto"/>
        </w:rPr>
      </w:pPr>
      <w:r>
        <w:rPr>
          <w:rFonts w:ascii="Arial" w:cs="Arial" w:eastAsia="Arial" w:hAnsi="Arial"/>
          <w:sz w:val="13"/>
          <w:szCs w:val="13"/>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1073785" cy="200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73785" cy="20002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color w:val="auto"/>
        </w:rPr>
        <w:t>November 25, 2008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333 Clay Street, Suite 1600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 PLAINS ALL AMERICAN PIPELINE, L.P. REGISTRATION STATEMENT ON FORM S-3</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jc w:val="both"/>
        <w:ind w:firstLine="161"/>
        <w:spacing w:after="0" w:line="289" w:lineRule="auto"/>
        <w:rPr>
          <w:sz w:val="20"/>
          <w:szCs w:val="20"/>
          <w:color w:val="auto"/>
        </w:rPr>
      </w:pPr>
      <w:r>
        <w:rPr>
          <w:rFonts w:ascii="Arial" w:cs="Arial" w:eastAsia="Arial" w:hAnsi="Arial"/>
          <w:sz w:val="12"/>
          <w:szCs w:val="12"/>
          <w:color w:val="auto"/>
        </w:rPr>
        <w:t>We have acted as counsel for Plains All American Pipeline, L.P. (the “Partnership”), a Delaware limited partnership, with respect to certain legal matters in connection with the filing with the Securities and Exchange Commission (the “Commission”) of a registration statement to which this opinion is an exhibit (the “Registration Statement”) under the Securities Act of 1933, as amended (the “Securities Act”), regarding the offer and sale by certain unitholders of the Partnership of up to 17,646,478 common units representing limited partner interests in the Partnership (the “Common Units”). In connection therewith, we prepared the discussions (the “Discussions”) set forth under the caption “Material Income Tax Considerations” in the prospectus included in the Registration Statement.</w:t>
      </w:r>
    </w:p>
    <w:p>
      <w:pPr>
        <w:spacing w:after="0" w:line="43" w:lineRule="exact"/>
        <w:rPr>
          <w:sz w:val="20"/>
          <w:szCs w:val="20"/>
          <w:color w:val="auto"/>
        </w:rPr>
      </w:pPr>
    </w:p>
    <w:p>
      <w:pPr>
        <w:ind w:right="140" w:firstLine="157"/>
        <w:spacing w:after="0" w:line="296" w:lineRule="auto"/>
        <w:rPr>
          <w:sz w:val="20"/>
          <w:szCs w:val="20"/>
          <w:color w:val="auto"/>
        </w:rPr>
      </w:pPr>
      <w:r>
        <w:rPr>
          <w:rFonts w:ascii="Arial" w:cs="Arial" w:eastAsia="Arial" w:hAnsi="Arial"/>
          <w:sz w:val="12"/>
          <w:szCs w:val="12"/>
          <w:color w:val="auto"/>
        </w:rPr>
        <w:t>All statements of legal conclusions contained in the Discussion, unless otherwise noted, are our opinion with respect to the matters set forth therein as of the effective date of the Registration Statement qualified by the limitations contained in the Discussion. In addition, we are of the opinion that the Discussion with respect to those matters as to which no legal conclusions are provided are accurate discussions of such federal income tax matters (except for the representations and statements of fact by the Partnership and its general partner, included in the Discussion, as to which we express no opinion).</w:t>
      </w:r>
    </w:p>
    <w:p>
      <w:pPr>
        <w:spacing w:after="0" w:line="40"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We hereby consent to the filing of this opinion as an exhibit to the Registration Statement and to the use of our name in the Registration Statement. This consent does not constitute an admission that we are “experts” within the meaning of such term as used in the Securities Act or the rules and regulations of the Commission issued thereunder.</w:t>
      </w:r>
    </w:p>
    <w:p>
      <w:pPr>
        <w:spacing w:after="0" w:line="12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Very truly yours,</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VINSON &amp; ELKINS L.L.P.</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Vinson &amp; Elkins L.L.P.</w:t>
      </w:r>
    </w:p>
    <w:p>
      <w:pPr>
        <w:sectPr>
          <w:pgSz w:w="11900" w:h="16838" w:orient="portrait"/>
          <w:cols w:equalWidth="0" w:num="1">
            <w:col w:w="11460"/>
          </w:cols>
          <w:pgMar w:left="220" w:top="127" w:right="219" w:bottom="1440" w:gutter="0" w:footer="0" w:header="0"/>
        </w:sectPr>
      </w:pPr>
    </w:p>
    <w:p>
      <w:pPr>
        <w:spacing w:after="0" w:line="312" w:lineRule="exact"/>
        <w:rPr>
          <w:sz w:val="20"/>
          <w:szCs w:val="20"/>
          <w:color w:val="auto"/>
        </w:rPr>
      </w:pPr>
    </w:p>
    <w:p>
      <w:pPr>
        <w:ind w:right="1760"/>
        <w:spacing w:after="0" w:line="326" w:lineRule="auto"/>
        <w:rPr>
          <w:sz w:val="20"/>
          <w:szCs w:val="20"/>
          <w:color w:val="auto"/>
        </w:rPr>
      </w:pPr>
      <w:r>
        <w:rPr>
          <w:rFonts w:ascii="Arial" w:cs="Arial" w:eastAsia="Arial" w:hAnsi="Arial"/>
          <w:sz w:val="11"/>
          <w:szCs w:val="11"/>
          <w:b w:val="1"/>
          <w:bCs w:val="1"/>
          <w:color w:val="auto"/>
        </w:rPr>
        <w:t xml:space="preserve">Vinson &amp; Elkins LLP Attorneys at Law </w:t>
      </w:r>
      <w:r>
        <w:rPr>
          <w:rFonts w:ascii="Arial" w:cs="Arial" w:eastAsia="Arial" w:hAnsi="Arial"/>
          <w:sz w:val="11"/>
          <w:szCs w:val="11"/>
          <w:color w:val="auto"/>
        </w:rPr>
        <w:t>Austin Beijing Dallas Dubai</w:t>
      </w:r>
      <w:r>
        <w:rPr>
          <w:rFonts w:ascii="Arial" w:cs="Arial" w:eastAsia="Arial" w:hAnsi="Arial"/>
          <w:sz w:val="11"/>
          <w:szCs w:val="11"/>
          <w:b w:val="1"/>
          <w:bCs w:val="1"/>
          <w:color w:val="auto"/>
        </w:rPr>
        <w:t xml:space="preserve"> </w:t>
      </w:r>
      <w:r>
        <w:rPr>
          <w:rFonts w:ascii="Arial" w:cs="Arial" w:eastAsia="Arial" w:hAnsi="Arial"/>
          <w:sz w:val="11"/>
          <w:szCs w:val="11"/>
          <w:color w:val="auto"/>
        </w:rPr>
        <w:t>Houston London Moscow New York Shanghai Tokyo Washington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9"/>
          <w:szCs w:val="9"/>
          <w:color w:val="auto"/>
        </w:rPr>
        <w:t>First City Tower, 1001 Fannin Street, Suite 2300, Houston, TX 77002-6760</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713.758.2222</w:t>
      </w:r>
      <w:r>
        <w:rPr>
          <w:rFonts w:ascii="Arial" w:cs="Arial" w:eastAsia="Arial" w:hAnsi="Arial"/>
          <w:sz w:val="12"/>
          <w:szCs w:val="12"/>
          <w:b w:val="1"/>
          <w:bCs w:val="1"/>
          <w:color w:val="auto"/>
        </w:rPr>
        <w:t xml:space="preserve"> Fax </w:t>
      </w:r>
      <w:r>
        <w:rPr>
          <w:rFonts w:ascii="Arial" w:cs="Arial" w:eastAsia="Arial" w:hAnsi="Arial"/>
          <w:sz w:val="12"/>
          <w:szCs w:val="12"/>
          <w:color w:val="auto"/>
        </w:rPr>
        <w:t>713.758.2346</w:t>
      </w:r>
      <w:r>
        <w:rPr>
          <w:rFonts w:ascii="Arial" w:cs="Arial" w:eastAsia="Arial" w:hAnsi="Arial"/>
          <w:sz w:val="12"/>
          <w:szCs w:val="12"/>
          <w:b w:val="1"/>
          <w:bCs w:val="1"/>
          <w:color w:val="auto"/>
        </w:rPr>
        <w:t xml:space="preserve"> www.velaw.com</w:t>
      </w:r>
    </w:p>
    <w:p>
      <w:pPr>
        <w:sectPr>
          <w:pgSz w:w="11900" w:h="16838" w:orient="portrait"/>
          <w:cols w:equalWidth="0" w:num="2">
            <w:col w:w="5120" w:space="720"/>
            <w:col w:w="5620"/>
          </w:cols>
          <w:pgMar w:left="220" w:top="127" w:right="21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140"/>
        <w:spacing w:after="0" w:line="260" w:lineRule="auto"/>
        <w:rPr>
          <w:sz w:val="20"/>
          <w:szCs w:val="20"/>
          <w:color w:val="auto"/>
        </w:rPr>
      </w:pPr>
      <w:r>
        <w:rPr>
          <w:rFonts w:ascii="Arial" w:cs="Arial" w:eastAsia="Arial" w:hAnsi="Arial"/>
          <w:sz w:val="13"/>
          <w:szCs w:val="13"/>
          <w:color w:val="auto"/>
        </w:rPr>
        <w:t>We hereby consent to the incorporation by reference in this Registration Statement on Form S-3 of our report dated February 28, 2008 relating to the financial statements and the effectiveness of internal control over financial reporting, which appears in Plains All American Pipeline, L.P.’s Annual Report on Form 10-K for the year ended December 31, 2007. We also consent to the incorporation by reference of our report dated March 7, 2008 relating to the balance sheet of PAA GP, LLC, which appears in Plains All American Pipeline, L.P.’s Current Report on Form 8-K filed on March 10, 2008. We also consent to the references to us under the headings “Experts” in such Registration Statement.</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25, 2008</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Roman"/>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lvl w:ilvl="1">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2"/>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2020-02-01T06:44:18Z</dcterms:created>
  <dcterms:modified xsi:type="dcterms:W3CDTF">2020-02-01T06:44:18Z</dcterms:modified>
</cp:coreProperties>
</file>