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Plains GP Holdings, L.P.</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Shares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72651A207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2017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72651A207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12,451,955</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12,451,955</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12,451,955</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72651A207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Plains GP Holdings, L.P.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333 Clay Street, Suite 1600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Shares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72651A207</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3039"/>
        <w:spacing w:after="0" w:line="236" w:lineRule="auto"/>
        <w:rPr>
          <w:sz w:val="20"/>
          <w:szCs w:val="20"/>
          <w:color w:val="auto"/>
        </w:rPr>
      </w:pPr>
      <w:r>
        <w:rPr>
          <w:rFonts w:ascii="Courier New" w:cs="Courier New" w:eastAsia="Courier New" w:hAnsi="Courier New"/>
          <w:sz w:val="18"/>
          <w:szCs w:val="18"/>
          <w:color w:val="auto"/>
        </w:rPr>
        <w:t>Capital Research Global Investors divisions of CRMC is deemed to be the beneficial owner of 12,451,955 shares or 8% of the 154,843,193 shares believed to be outstanding.</w:t>
      </w:r>
    </w:p>
    <w:p>
      <w:pPr>
        <w:spacing w:after="0" w:line="203" w:lineRule="exact"/>
        <w:rPr>
          <w:sz w:val="20"/>
          <w:szCs w:val="20"/>
          <w:color w:val="auto"/>
        </w:rPr>
      </w:pPr>
    </w:p>
    <w:p>
      <w:pPr>
        <w:spacing w:after="0"/>
        <w:tabs>
          <w:tab w:leader="none" w:pos="1140" w:val="left"/>
          <w:tab w:leader="none" w:pos="610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r>
        <w:rPr>
          <w:sz w:val="20"/>
          <w:szCs w:val="20"/>
          <w:color w:val="auto"/>
        </w:rPr>
        <w:tab/>
      </w:r>
      <w:r>
        <w:rPr>
          <w:rFonts w:ascii="Courier New" w:cs="Courier New" w:eastAsia="Courier New" w:hAnsi="Courier New"/>
          <w:sz w:val="16"/>
          <w:szCs w:val="16"/>
          <w:color w:val="auto"/>
        </w:rPr>
        <w:t>If this</w:t>
      </w:r>
    </w:p>
    <w:p>
      <w:pPr>
        <w:ind w:left="740"/>
        <w:spacing w:after="0" w:line="238" w:lineRule="auto"/>
        <w:rPr>
          <w:sz w:val="20"/>
          <w:szCs w:val="20"/>
          <w:color w:val="auto"/>
        </w:rPr>
      </w:pPr>
      <w:r>
        <w:rPr>
          <w:rFonts w:ascii="Courier New" w:cs="Courier New" w:eastAsia="Courier New" w:hAnsi="Courier New"/>
          <w:sz w:val="18"/>
          <w:szCs w:val="18"/>
          <w:color w:val="auto"/>
        </w:rPr>
        <w:t>statement is being filed to report the fact that as of the date</w:t>
      </w:r>
    </w:p>
    <w:p>
      <w:pPr>
        <w:ind w:left="740"/>
        <w:spacing w:after="0"/>
        <w:rPr>
          <w:sz w:val="20"/>
          <w:szCs w:val="20"/>
          <w:color w:val="auto"/>
        </w:rPr>
      </w:pPr>
      <w:r>
        <w:rPr>
          <w:rFonts w:ascii="Courier New" w:cs="Courier New" w:eastAsia="Courier New" w:hAnsi="Courier New"/>
          <w:sz w:val="18"/>
          <w:szCs w:val="18"/>
          <w:color w:val="auto"/>
        </w:rPr>
        <w:t>hereof the reporting person has ceased to be the beneficial</w:t>
      </w:r>
    </w:p>
    <w:p>
      <w:pPr>
        <w:spacing w:after="0"/>
        <w:tabs>
          <w:tab w:leader="none" w:pos="6720" w:val="left"/>
        </w:tabs>
        <w:rPr>
          <w:sz w:val="20"/>
          <w:szCs w:val="20"/>
          <w:color w:val="auto"/>
        </w:rPr>
      </w:pPr>
      <w:r>
        <w:rPr>
          <w:rFonts w:ascii="Courier New" w:cs="Courier New" w:eastAsia="Courier New" w:hAnsi="Courier New"/>
          <w:sz w:val="18"/>
          <w:szCs w:val="18"/>
          <w:color w:val="auto"/>
        </w:rPr>
        <w:t>CUSIP: 72651A207</w:t>
      </w:r>
      <w:r>
        <w:rPr>
          <w:sz w:val="20"/>
          <w:szCs w:val="20"/>
          <w:color w:val="auto"/>
        </w:rPr>
        <w:tab/>
      </w:r>
      <w:r>
        <w:rPr>
          <w:rFonts w:ascii="Courier New" w:cs="Courier New" w:eastAsia="Courier New" w:hAnsi="Courier New"/>
          <w:sz w:val="16"/>
          <w:szCs w:val="16"/>
          <w:color w:val="auto"/>
        </w:rPr>
        <w:t>Page 3 of 4</w:t>
      </w:r>
    </w:p>
    <w:p>
      <w:pPr>
        <w:spacing w:after="0" w:line="200" w:lineRule="exact"/>
        <w:rPr>
          <w:sz w:val="20"/>
          <w:szCs w:val="20"/>
          <w:color w:val="auto"/>
        </w:rPr>
      </w:pPr>
    </w:p>
    <w:p>
      <w:pPr>
        <w:spacing w:after="0" w:line="385" w:lineRule="exact"/>
        <w:rPr>
          <w:sz w:val="20"/>
          <w:szCs w:val="20"/>
          <w:color w:val="auto"/>
        </w:rPr>
      </w:pPr>
    </w:p>
    <w:p>
      <w:pPr>
        <w:ind w:left="740" w:right="325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 ]</w:t>
      </w:r>
    </w:p>
    <w:p>
      <w:pPr>
        <w:spacing w:after="0" w:line="208"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144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7, 2018</w:t>
      </w:r>
    </w:p>
    <w:p>
      <w:pPr>
        <w:spacing w:after="0" w:line="200" w:lineRule="exact"/>
        <w:rPr>
          <w:sz w:val="20"/>
          <w:szCs w:val="20"/>
          <w:color w:val="auto"/>
        </w:rPr>
      </w:pPr>
    </w:p>
    <w:p>
      <w:pPr>
        <w:sectPr>
          <w:pgSz w:w="11900" w:h="16838" w:orient="portrait"/>
          <w:cols w:equalWidth="0" w:num="2">
            <w:col w:w="1720" w:space="720"/>
            <w:col w:w="7779"/>
          </w:cols>
          <w:pgMar w:left="240" w:top="136"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Donald H. Rolfe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H. Rolfe - 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Senior Counsel, Fund Business</w:t>
      </w:r>
    </w:p>
    <w:p>
      <w:pPr>
        <w:spacing w:after="0" w:line="238" w:lineRule="auto"/>
        <w:rPr>
          <w:sz w:val="20"/>
          <w:szCs w:val="20"/>
          <w:color w:val="auto"/>
        </w:rPr>
      </w:pPr>
      <w:r>
        <w:rPr>
          <w:rFonts w:ascii="Courier New" w:cs="Courier New" w:eastAsia="Courier New" w:hAnsi="Courier New"/>
          <w:sz w:val="18"/>
          <w:szCs w:val="18"/>
          <w:color w:val="auto"/>
        </w:rPr>
        <w:t>Management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2">
            <w:col w:w="2000" w:space="440"/>
            <w:col w:w="7779"/>
          </w:cols>
          <w:pgMar w:left="240" w:top="136" w:right="1440" w:bottom="1440" w:gutter="0" w:footer="0" w:header="0"/>
          <w:type w:val="continuous"/>
        </w:sectPr>
      </w:pPr>
    </w:p>
    <w:bookmarkStart w:id="3" w:name="page4"/>
    <w:bookmarkEnd w:id="3"/>
    <w:p>
      <w:pPr>
        <w:spacing w:after="0" w:line="200" w:lineRule="exact"/>
        <w:rPr>
          <w:sz w:val="20"/>
          <w:szCs w:val="20"/>
          <w:color w:val="auto"/>
        </w:rPr>
      </w:pPr>
    </w:p>
    <w:p>
      <w:pPr>
        <w:spacing w:after="0" w:line="32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72651A207</w:t>
      </w:r>
      <w:r>
        <w:rPr>
          <w:sz w:val="20"/>
          <w:szCs w:val="20"/>
          <w:color w:val="auto"/>
        </w:rPr>
        <w:tab/>
      </w:r>
      <w:r>
        <w:rPr>
          <w:rFonts w:ascii="Courier New" w:cs="Courier New" w:eastAsia="Courier New" w:hAnsi="Courier New"/>
          <w:sz w:val="16"/>
          <w:szCs w:val="16"/>
          <w:color w:val="auto"/>
        </w:rPr>
        <w:t>Page 4 of 4</w:t>
      </w:r>
    </w:p>
    <w:p>
      <w:pPr>
        <w:sectPr>
          <w:pgSz w:w="11900" w:h="16838" w:orient="portrait"/>
          <w:cols w:equalWidth="0" w:num="1">
            <w:col w:w="10219"/>
          </w:cols>
          <w:pgMar w:left="240" w:top="144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2020-01-14T09:04:51Z</dcterms:created>
  <dcterms:modified xsi:type="dcterms:W3CDTF">2020-01-14T09:04:51Z</dcterms:modified>
</cp:coreProperties>
</file>