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PEFANIS HARRY 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 1600</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ind w:left="9"/>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p>
      <w:pPr>
        <w:spacing w:after="0" w:line="24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03/12/2020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&amp; CCO</w:t>
      </w:r>
    </w:p>
    <w:p>
      <w:pPr>
        <w:spacing w:after="0" w:line="280" w:lineRule="exact"/>
        <w:rPr>
          <w:sz w:val="24"/>
          <w:szCs w:val="24"/>
          <w:color w:val="auto"/>
        </w:rPr>
      </w:pPr>
    </w:p>
    <w:p>
      <w:pPr>
        <w:sectPr>
          <w:pgSz w:w="11900" w:h="16838" w:orient="portrait"/>
          <w:cols w:equalWidth="0" w:num="3">
            <w:col w:w="3191" w:space="720"/>
            <w:col w:w="3689" w:space="135"/>
            <w:col w:w="3345"/>
          </w:cols>
          <w:pgMar w:left="460" w:top="225" w:right="359" w:bottom="1440" w:gutter="0" w:footer="0" w:header="0"/>
          <w:type w:val="continuous"/>
        </w:sectPr>
      </w:pPr>
    </w:p>
    <w:p>
      <w:pPr>
        <w:spacing w:after="0" w:line="14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7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Units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03/12/2020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20,000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6.9635</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650,194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00" w:firstLine="7"/>
        <w:spacing w:after="0" w:line="292"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in column 4 reflects the weighted average price for the common units. The units were purchased in multiple transactions at prices ranging from $6.90 to $7.06. The reporting person will provide upon request by the SEC staff, the issuer or any security holder of the issuer full information regarding the number of common units purchased at each separate price.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Harry N. Pefanis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03/12/2020</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7250"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2020-03-12T18:17:02Z</dcterms:created>
  <dcterms:modified xsi:type="dcterms:W3CDTF">2020-03-12T18:17:02Z</dcterms:modified>
</cp:coreProperties>
</file>