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March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Plains All American Pipeline, L.P.</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384"/>
              <w:spacing w:after="0"/>
              <w:rPr>
                <w:sz w:val="20"/>
                <w:szCs w:val="20"/>
                <w:color w:val="auto"/>
              </w:rPr>
            </w:pPr>
            <w:r>
              <w:rPr>
                <w:rFonts w:ascii="Arial" w:cs="Arial" w:eastAsia="Arial" w:hAnsi="Arial"/>
                <w:sz w:val="18"/>
                <w:szCs w:val="18"/>
                <w:b w:val="1"/>
                <w:bCs w:val="1"/>
                <w:color w:val="auto"/>
                <w:w w:val="96"/>
              </w:rPr>
              <w:t>DELAWARE</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1-14569</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76-0582150</w:t>
            </w:r>
          </w:p>
        </w:tc>
      </w:tr>
      <w:tr>
        <w:trPr>
          <w:trHeight w:val="149"/>
        </w:trPr>
        <w:tc>
          <w:tcPr>
            <w:tcW w:w="4020" w:type="dxa"/>
            <w:vAlign w:val="bottom"/>
          </w:tcPr>
          <w:p>
            <w:pPr>
              <w:jc w:val="center"/>
              <w:ind w:right="240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4"/>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460" w:type="dxa"/>
            <w:vAlign w:val="bottom"/>
            <w:gridSpan w:val="2"/>
          </w:tcPr>
          <w:p>
            <w:pPr>
              <w:jc w:val="center"/>
              <w:ind w:right="1066"/>
              <w:spacing w:after="0"/>
              <w:rPr>
                <w:sz w:val="20"/>
                <w:szCs w:val="20"/>
                <w:color w:val="auto"/>
              </w:rPr>
            </w:pPr>
            <w:r>
              <w:rPr>
                <w:rFonts w:ascii="Arial" w:cs="Arial" w:eastAsia="Arial" w:hAnsi="Arial"/>
                <w:sz w:val="18"/>
                <w:szCs w:val="18"/>
                <w:b w:val="1"/>
                <w:bCs w:val="1"/>
                <w:color w:val="auto"/>
                <w:w w:val="87"/>
              </w:rPr>
              <w:t>333 Clay Street, Suite 1600, Houston, Texas</w:t>
            </w: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77002</w:t>
            </w:r>
          </w:p>
        </w:tc>
      </w:tr>
      <w:tr>
        <w:trPr>
          <w:trHeight w:val="174"/>
        </w:trPr>
        <w:tc>
          <w:tcPr>
            <w:tcW w:w="4020" w:type="dxa"/>
            <w:vAlign w:val="bottom"/>
          </w:tcPr>
          <w:p>
            <w:pPr>
              <w:jc w:val="center"/>
              <w:ind w:left="12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9"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Representatives of Plains All American Pipeline, L.P. (“PAA”) intend to make presentations at the following events:</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Morgan Stanley MLP and Diversified Natural Gas Corporate Access Day in New York, NY on Wednesday, March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Raymond James Annual Institutional Investors Conference in Orlando, FL on Wednesday, March 7,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Barclays Capital Investment Grade Energy and Pipeline Conference in New York, NY on Thursday, March 8, 2012.</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Such presentations will give an overview of PAA, including strategic positioning, organic growth activities, financial growth strategies and related matters. A live webcast of the Raymond James presentation will begin at approximately 12:10 p.m. EST on March 7 and will be available for a period of seven (7) days thereafter at the following weblink: </w:t>
      </w:r>
      <w:r>
        <w:rPr>
          <w:rFonts w:ascii="Arial" w:cs="Arial" w:eastAsia="Arial" w:hAnsi="Arial"/>
          <w:sz w:val="18"/>
          <w:szCs w:val="18"/>
          <w:u w:val="single" w:color="auto"/>
          <w:color w:val="auto"/>
        </w:rPr>
        <w:t>http://www.wsw.com/webcast/rj72/paa/</w:t>
      </w:r>
      <w:r>
        <w:rPr>
          <w:rFonts w:ascii="Arial" w:cs="Arial" w:eastAsia="Arial" w:hAnsi="Arial"/>
          <w:sz w:val="18"/>
          <w:szCs w:val="18"/>
          <w:color w:val="auto"/>
        </w:rPr>
        <w:t>.</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On the morning of March 7, 2012, prepared presentation materials for these events will be made available for viewing on PAA’s website at </w:t>
      </w:r>
      <w:r>
        <w:rPr>
          <w:rFonts w:ascii="Arial" w:cs="Arial" w:eastAsia="Arial" w:hAnsi="Arial"/>
          <w:sz w:val="16"/>
          <w:szCs w:val="16"/>
          <w:u w:val="single" w:color="auto"/>
          <w:color w:val="auto"/>
        </w:rPr>
        <w:t>www.PAALP.com</w:t>
      </w:r>
      <w:r>
        <w:rPr>
          <w:rFonts w:ascii="Arial" w:cs="Arial" w:eastAsia="Arial" w:hAnsi="Arial"/>
          <w:sz w:val="16"/>
          <w:szCs w:val="16"/>
          <w:color w:val="auto"/>
        </w:rPr>
        <w:t xml:space="preserve"> under “Investor Relations – Presentations.” PAA does not undertake to update the information as posted on its website; however, it may post additional information included in future press releases and Forms 8-K, as well as posting its periodic Exchange Act reports.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March 6, 2012</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Tim Moore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2020-02-24T02:42:43Z</dcterms:created>
  <dcterms:modified xsi:type="dcterms:W3CDTF">2020-02-24T02:42:43Z</dcterms:modified>
</cp:coreProperties>
</file>