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h41468e8vk.htm"/>
        <w:bookmarkStart w:id="1" w:name="ksh41468e8vk"/>
        <w:bookmarkEnd w:id="0"/>
        <w:bookmarkEnd w:id="1"/>
        <w:r>
          <w:rPr>
            <w:rStyle w:val="InternetLink"/>
          </w:rPr>
          <w:t>Table of Contents</w:t>
        </w:r>
      </w:hyperlink>
    </w:p>
    <w:p>
      <w:pPr>
        <w:pStyle w:val="TextBody"/>
        <w:spacing w:before="0" w:after="0"/>
        <w:rPr>
          <w:bdr w:val="single" w:sz="16" w:space="1" w:color="000000"/>
        </w:rPr>
      </w:pPr>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UNITED STATES 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sz w:val="30"/>
        </w:rPr>
      </w:pPr>
      <w:r>
        <w:rPr>
          <w:rFonts w:ascii="Times New Roman;Times;serif" w:hAnsi="Times New Roman;Times;serif"/>
          <w:b/>
          <w:sz w:val="30"/>
        </w:rPr>
        <w:t>FORM 8-K</w:t>
      </w:r>
      <w:r>
        <w:rPr>
          <w:rFonts w:ascii="Times New Roman;Times;serif" w:hAnsi="Times New Roman;Times;serif"/>
          <w:sz w:val="30"/>
        </w:rPr>
        <w:t xml:space="preserve"> </w:t>
      </w:r>
    </w:p>
    <w:p>
      <w:pPr>
        <w:pStyle w:val="TextBody"/>
        <w:spacing w:before="240" w:after="283"/>
        <w:jc w:val="center"/>
        <w:rPr>
          <w:rFonts w:ascii="Times New Roman;Times;serif" w:hAnsi="Times New Roman;Times;serif"/>
          <w:sz w:val="20"/>
        </w:rPr>
      </w:pPr>
      <w:r>
        <w:rPr>
          <w:rFonts w:ascii="Times New Roman;Times;serif" w:hAnsi="Times New Roman;Times;serif"/>
          <w:b/>
          <w:sz w:val="20"/>
        </w:rPr>
        <w:t>CURRENT REPORT</w:t>
        <w:br/>
        <w:t xml:space="preserve">Pursuant to Section 13 OR 15(d) of The </w:t>
        <w:br/>
        <w:t>Securities Exchange Act of 1934</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b/>
          <w:sz w:val="17"/>
        </w:rPr>
      </w:pPr>
      <w:r>
        <w:rPr>
          <w:rFonts w:ascii="Times New Roman;Times;serif" w:hAnsi="Times New Roman;Times;serif"/>
          <w:b/>
          <w:sz w:val="17"/>
        </w:rPr>
        <w:t>Date of Report (Date of earliest event reported) September 30, 2006</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Plains All American Pipeline, L.P.</w:t>
      </w:r>
      <w:r>
        <w:rPr>
          <w:rFonts w:ascii="Times New Roman;Times;serif" w:hAnsi="Times New Roman;Times;serif"/>
          <w:sz w:val="40"/>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sz w:val="17"/>
        </w:rPr>
        <w:t>(Exact name of registrant as specified in its charter)</w:t>
      </w:r>
    </w:p>
    <w:tbl>
      <w:tblPr>
        <w:tblW w:w="5000" w:type="pct"/>
        <w:jc w:val="center"/>
        <w:tblInd w:w="0" w:type="dxa"/>
        <w:tblCellMar>
          <w:top w:w="0" w:type="dxa"/>
          <w:left w:w="0" w:type="dxa"/>
          <w:bottom w:w="0" w:type="dxa"/>
          <w:right w:w="0" w:type="dxa"/>
        </w:tblCellMar>
      </w:tblPr>
      <w:tblGrid>
        <w:gridCol w:w="3061"/>
        <w:gridCol w:w="510"/>
        <w:gridCol w:w="3062"/>
        <w:gridCol w:w="510"/>
        <w:gridCol w:w="3062"/>
      </w:tblGrid>
      <w:tr>
        <w:trPr/>
        <w:tc>
          <w:tcPr>
            <w:tcW w:w="306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306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3062" w:type="dxa"/>
            <w:tcBorders/>
            <w:shd w:fill="auto" w:val="clear"/>
            <w:vAlign w:val="bottom"/>
          </w:tcPr>
          <w:p>
            <w:pPr>
              <w:pStyle w:val="TableContents"/>
              <w:spacing w:before="0" w:after="283"/>
              <w:rPr/>
            </w:pPr>
            <w:r>
              <w:rPr/>
              <w:t> </w:t>
            </w:r>
          </w:p>
        </w:tc>
      </w:tr>
      <w:tr>
        <w:trPr/>
        <w:tc>
          <w:tcPr>
            <w:tcW w:w="3061" w:type="dxa"/>
            <w:tcBorders/>
            <w:shd w:fill="auto" w:val="clear"/>
          </w:tcPr>
          <w:p>
            <w:pPr>
              <w:pStyle w:val="TableContents"/>
              <w:spacing w:before="0" w:after="283"/>
              <w:jc w:val="center"/>
              <w:rPr/>
            </w:pPr>
            <w:r>
              <w:rPr>
                <w:b/>
              </w:rPr>
              <w:t>DELAWARE</w:t>
            </w:r>
            <w:r>
              <w:rPr/>
              <w:t xml:space="preserve">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b/>
              </w:rPr>
              <w:t>1-14569</w:t>
            </w:r>
            <w:r>
              <w:rPr/>
              <w:t xml:space="preserve">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b/>
              </w:rPr>
            </w:pPr>
            <w:r>
              <w:rPr>
                <w:b/>
              </w:rPr>
              <w:t>76-0582150</w:t>
            </w:r>
          </w:p>
        </w:tc>
      </w:tr>
      <w:tr>
        <w:trPr/>
        <w:tc>
          <w:tcPr>
            <w:tcW w:w="3061" w:type="dxa"/>
            <w:tcBorders/>
            <w:shd w:fill="auto" w:val="clear"/>
          </w:tcPr>
          <w:p>
            <w:pPr>
              <w:pStyle w:val="TableContents"/>
              <w:spacing w:before="0" w:after="283"/>
              <w:jc w:val="center"/>
              <w:rPr/>
            </w:pPr>
            <w:r>
              <w:rPr/>
              <w:t xml:space="preserve">(State or other jurisdiction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 xml:space="preserve">(Commission File Number)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(IRS Employer</w:t>
            </w:r>
          </w:p>
        </w:tc>
      </w:tr>
      <w:tr>
        <w:trPr/>
        <w:tc>
          <w:tcPr>
            <w:tcW w:w="3061" w:type="dxa"/>
            <w:tcBorders/>
            <w:shd w:fill="auto" w:val="clear"/>
          </w:tcPr>
          <w:p>
            <w:pPr>
              <w:pStyle w:val="TableContents"/>
              <w:spacing w:before="0" w:after="283"/>
              <w:jc w:val="center"/>
              <w:rPr/>
            </w:pPr>
            <w:r>
              <w:rPr/>
              <w:t xml:space="preserve">of incorporation)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Identification No.)</w:t>
            </w:r>
          </w:p>
        </w:tc>
      </w:tr>
    </w:tbl>
    <w:p>
      <w:pPr>
        <w:pStyle w:val="TextBody"/>
        <w:spacing w:before="240" w:after="283"/>
        <w:jc w:val="center"/>
        <w:rPr>
          <w:rFonts w:ascii="Times New Roman;Times;serif" w:hAnsi="Times New Roman;Times;serif"/>
          <w:sz w:val="17"/>
        </w:rPr>
      </w:pPr>
      <w:r>
        <w:rPr>
          <w:rFonts w:ascii="Times New Roman;Times;serif" w:hAnsi="Times New Roman;Times;serif"/>
          <w:b/>
          <w:sz w:val="17"/>
        </w:rPr>
        <w:t>333 Clay Street, Suite 1600 Houston, Texas 77002</w:t>
      </w:r>
      <w:r>
        <w:rPr>
          <w:rFonts w:ascii="Times New Roman;Times;serif" w:hAnsi="Times New Roman;Times;serif"/>
          <w:sz w:val="17"/>
        </w:rPr>
        <w:br/>
        <w:t>(Address of principal executive offices) (Zip Code)</w:t>
      </w:r>
    </w:p>
    <w:p>
      <w:pPr>
        <w:pStyle w:val="TextBody"/>
        <w:spacing w:before="240" w:after="283"/>
        <w:jc w:val="center"/>
        <w:rPr>
          <w:rFonts w:ascii="Times New Roman;Times;serif" w:hAnsi="Times New Roman;Times;serif"/>
          <w:sz w:val="17"/>
        </w:rPr>
      </w:pPr>
      <w:r>
        <w:rPr>
          <w:rFonts w:ascii="Times New Roman;Times;serif" w:hAnsi="Times New Roman;Times;serif"/>
          <w:sz w:val="17"/>
        </w:rPr>
        <w:t xml:space="preserve">Registrants telephone number, including area code </w:t>
      </w:r>
      <w:r>
        <w:rPr>
          <w:rFonts w:ascii="Times New Roman;Times;serif" w:hAnsi="Times New Roman;Times;serif"/>
          <w:b/>
          <w:sz w:val="17"/>
        </w:rPr>
        <w:t>(713) 646-4100</w:t>
      </w:r>
    </w:p>
    <w:p>
      <w:pPr>
        <w:pStyle w:val="TextBody"/>
        <w:spacing w:before="240" w:after="283"/>
        <w:jc w:val="center"/>
        <w:rPr>
          <w:rFonts w:ascii="Times New Roman;Times;serif" w:hAnsi="Times New Roman;Times;serif"/>
          <w:sz w:val="17"/>
        </w:rPr>
      </w:pPr>
      <w:r>
        <w:rPr>
          <w:rFonts w:ascii="Times New Roman;Times;serif" w:hAnsi="Times New Roman;Times;serif"/>
          <w:b/>
          <w:sz w:val="17"/>
        </w:rPr>
        <w:t>N/A</w:t>
      </w:r>
      <w:r>
        <w:rPr>
          <w:rFonts w:ascii="Times New Roman;Times;serif" w:hAnsi="Times New Roman;Times;serif"/>
          <w:sz w:val="17"/>
        </w:rPr>
        <w:br/>
        <w:t>(Former name or former address, if changed since last report.)</w:t>
      </w:r>
    </w:p>
    <w:p>
      <w:pPr>
        <w:pStyle w:val="TextBody"/>
        <w:spacing w:before="120" w:after="283"/>
        <w:jc w:val="left"/>
        <w:rPr/>
      </w:pPr>
      <w:r>
        <w:rPr/>
        <w:t>     </w:t>
      </w:r>
      <w:r>
        <w:rPr>
          <w:rFonts w:ascii="Times New Roman;Times;serif" w:hAnsi="Times New Roman;Times;serif"/>
          <w:sz w:val="17"/>
        </w:rPr>
        <w:t xml:space="preserve">Check the appropriate box below if the Form 8-K filing is intended to simultaneously satisfy the filing obligation of the registrant under any of the following provisions: </w:t>
      </w:r>
    </w:p>
    <w:tbl>
      <w:tblPr>
        <w:tblW w:w="5000" w:type="pct"/>
        <w:jc w:val="left"/>
        <w:tblInd w:w="0" w:type="dxa"/>
        <w:tblCellMar>
          <w:top w:w="0" w:type="dxa"/>
          <w:left w:w="0" w:type="dxa"/>
          <w:bottom w:w="0" w:type="dxa"/>
          <w:right w:w="0" w:type="dxa"/>
        </w:tblCellMar>
      </w:tblPr>
      <w:tblGrid>
        <w:gridCol w:w="172"/>
        <w:gridCol w:w="120"/>
        <w:gridCol w:w="9913"/>
      </w:tblGrid>
      <w:tr>
        <w:trPr/>
        <w:tc>
          <w:tcPr>
            <w:tcW w:w="172" w:type="dxa"/>
            <w:tcBorders/>
            <w:shd w:fill="auto" w:val="clear"/>
          </w:tcPr>
          <w:p>
            <w:pPr>
              <w:pStyle w:val="TableContents"/>
              <w:spacing w:before="0" w:after="283"/>
              <w:jc w:val="left"/>
              <w:rPr>
                <w:rFonts w:ascii="Wingdings" w:hAnsi="Wingdings"/>
              </w:rPr>
            </w:pPr>
            <w:r>
              <w:rPr>
                <w:rFonts w:ascii="Wingdings" w:hAnsi="Wingdings"/>
              </w:rPr>
              <w:t>o</w:t>
            </w:r>
          </w:p>
        </w:tc>
        <w:tc>
          <w:tcPr>
            <w:tcW w:w="120" w:type="dxa"/>
            <w:tcBorders/>
            <w:shd w:fill="auto" w:val="clear"/>
          </w:tcPr>
          <w:p>
            <w:pPr>
              <w:pStyle w:val="TableContents"/>
              <w:spacing w:before="0" w:after="283"/>
              <w:rPr/>
            </w:pPr>
            <w:r>
              <w:rPr/>
              <w:t> </w:t>
            </w:r>
          </w:p>
        </w:tc>
        <w:tc>
          <w:tcPr>
            <w:tcW w:w="9913" w:type="dxa"/>
            <w:tcBorders/>
            <w:shd w:fill="auto" w:val="clear"/>
          </w:tcPr>
          <w:p>
            <w:pPr>
              <w:pStyle w:val="TableContents"/>
              <w:spacing w:before="0" w:after="283"/>
              <w:rPr/>
            </w:pPr>
            <w:r>
              <w:rPr/>
              <w:t>Written communications pursuant to Rule 425 under the Securities Act (17 CFR 230.425)</w:t>
            </w:r>
          </w:p>
        </w:tc>
      </w:tr>
      <w:tr>
        <w:trPr/>
        <w:tc>
          <w:tcPr>
            <w:tcW w:w="172" w:type="dxa"/>
            <w:tcBorders/>
            <w:shd w:fill="auto" w:val="clear"/>
            <w:vAlign w:val="center"/>
          </w:tcPr>
          <w:p>
            <w:pPr>
              <w:pStyle w:val="TableContents"/>
              <w:spacing w:before="0" w:after="283"/>
              <w:rPr/>
            </w:pPr>
            <w:r>
              <w:rPr/>
              <w:t> </w:t>
            </w:r>
          </w:p>
        </w:tc>
        <w:tc>
          <w:tcPr>
            <w:tcW w:w="10033" w:type="dxa"/>
            <w:gridSpan w:val="2"/>
            <w:tcBorders/>
            <w:shd w:fill="auto" w:val="clear"/>
          </w:tcPr>
          <w:p>
            <w:pPr>
              <w:pStyle w:val="TableContents"/>
              <w:spacing w:before="0" w:after="283"/>
              <w:rPr>
                <w:sz w:val="4"/>
                <w:szCs w:val="4"/>
              </w:rPr>
            </w:pPr>
            <w:r>
              <w:rPr>
                <w:sz w:val="4"/>
                <w:szCs w:val="4"/>
              </w:rPr>
            </w:r>
          </w:p>
        </w:tc>
      </w:tr>
      <w:tr>
        <w:trPr/>
        <w:tc>
          <w:tcPr>
            <w:tcW w:w="172" w:type="dxa"/>
            <w:tcBorders/>
            <w:shd w:fill="auto" w:val="clear"/>
          </w:tcPr>
          <w:p>
            <w:pPr>
              <w:pStyle w:val="TableContents"/>
              <w:spacing w:before="0" w:after="283"/>
              <w:jc w:val="left"/>
              <w:rPr>
                <w:rFonts w:ascii="Wingdings" w:hAnsi="Wingdings"/>
              </w:rPr>
            </w:pPr>
            <w:r>
              <w:rPr>
                <w:rFonts w:ascii="Wingdings" w:hAnsi="Wingdings"/>
              </w:rPr>
              <w:t>o</w:t>
            </w:r>
          </w:p>
        </w:tc>
        <w:tc>
          <w:tcPr>
            <w:tcW w:w="120" w:type="dxa"/>
            <w:tcBorders/>
            <w:shd w:fill="auto" w:val="clear"/>
          </w:tcPr>
          <w:p>
            <w:pPr>
              <w:pStyle w:val="TableContents"/>
              <w:spacing w:before="0" w:after="283"/>
              <w:rPr/>
            </w:pPr>
            <w:r>
              <w:rPr/>
              <w:t> </w:t>
            </w:r>
          </w:p>
        </w:tc>
        <w:tc>
          <w:tcPr>
            <w:tcW w:w="9913" w:type="dxa"/>
            <w:tcBorders/>
            <w:shd w:fill="auto" w:val="clear"/>
          </w:tcPr>
          <w:p>
            <w:pPr>
              <w:pStyle w:val="TableContents"/>
              <w:spacing w:before="0" w:after="283"/>
              <w:rPr/>
            </w:pPr>
            <w:r>
              <w:rPr/>
              <w:t>Soliciting material pursuant to Rule 14a-12 under the Exchange Act (17 CFR 240.14a-12)</w:t>
            </w:r>
          </w:p>
        </w:tc>
      </w:tr>
      <w:tr>
        <w:trPr/>
        <w:tc>
          <w:tcPr>
            <w:tcW w:w="172" w:type="dxa"/>
            <w:tcBorders/>
            <w:shd w:fill="auto" w:val="clear"/>
            <w:vAlign w:val="center"/>
          </w:tcPr>
          <w:p>
            <w:pPr>
              <w:pStyle w:val="TableContents"/>
              <w:spacing w:before="0" w:after="283"/>
              <w:rPr/>
            </w:pPr>
            <w:r>
              <w:rPr/>
              <w:t> </w:t>
            </w:r>
          </w:p>
        </w:tc>
        <w:tc>
          <w:tcPr>
            <w:tcW w:w="10033" w:type="dxa"/>
            <w:gridSpan w:val="2"/>
            <w:tcBorders/>
            <w:shd w:fill="auto" w:val="clear"/>
          </w:tcPr>
          <w:p>
            <w:pPr>
              <w:pStyle w:val="TableContents"/>
              <w:spacing w:before="0" w:after="283"/>
              <w:rPr>
                <w:sz w:val="4"/>
                <w:szCs w:val="4"/>
              </w:rPr>
            </w:pPr>
            <w:r>
              <w:rPr>
                <w:sz w:val="4"/>
                <w:szCs w:val="4"/>
              </w:rPr>
            </w:r>
          </w:p>
        </w:tc>
      </w:tr>
      <w:tr>
        <w:trPr/>
        <w:tc>
          <w:tcPr>
            <w:tcW w:w="172" w:type="dxa"/>
            <w:tcBorders/>
            <w:shd w:fill="auto" w:val="clear"/>
          </w:tcPr>
          <w:p>
            <w:pPr>
              <w:pStyle w:val="TableContents"/>
              <w:spacing w:before="0" w:after="283"/>
              <w:jc w:val="left"/>
              <w:rPr>
                <w:rFonts w:ascii="Wingdings" w:hAnsi="Wingdings"/>
              </w:rPr>
            </w:pPr>
            <w:r>
              <w:rPr>
                <w:rFonts w:ascii="Wingdings" w:hAnsi="Wingdings"/>
              </w:rPr>
              <w:t>o</w:t>
            </w:r>
          </w:p>
        </w:tc>
        <w:tc>
          <w:tcPr>
            <w:tcW w:w="120" w:type="dxa"/>
            <w:tcBorders/>
            <w:shd w:fill="auto" w:val="clear"/>
          </w:tcPr>
          <w:p>
            <w:pPr>
              <w:pStyle w:val="TableContents"/>
              <w:spacing w:before="0" w:after="283"/>
              <w:rPr/>
            </w:pPr>
            <w:r>
              <w:rPr/>
              <w:t> </w:t>
            </w:r>
          </w:p>
        </w:tc>
        <w:tc>
          <w:tcPr>
            <w:tcW w:w="9913" w:type="dxa"/>
            <w:tcBorders/>
            <w:shd w:fill="auto" w:val="clear"/>
          </w:tcPr>
          <w:p>
            <w:pPr>
              <w:pStyle w:val="TableContents"/>
              <w:spacing w:before="0" w:after="283"/>
              <w:rPr/>
            </w:pPr>
            <w:r>
              <w:rPr/>
              <w:t>Pre-commencement communications pursuant to Rule 14d-2(b) under the Exchange Act (17 CFR 240.14d-2(b))</w:t>
            </w:r>
          </w:p>
        </w:tc>
      </w:tr>
      <w:tr>
        <w:trPr/>
        <w:tc>
          <w:tcPr>
            <w:tcW w:w="172" w:type="dxa"/>
            <w:tcBorders/>
            <w:shd w:fill="auto" w:val="clear"/>
            <w:vAlign w:val="center"/>
          </w:tcPr>
          <w:p>
            <w:pPr>
              <w:pStyle w:val="TableContents"/>
              <w:spacing w:before="0" w:after="283"/>
              <w:rPr/>
            </w:pPr>
            <w:r>
              <w:rPr/>
              <w:t> </w:t>
            </w:r>
          </w:p>
        </w:tc>
        <w:tc>
          <w:tcPr>
            <w:tcW w:w="10033" w:type="dxa"/>
            <w:gridSpan w:val="2"/>
            <w:tcBorders/>
            <w:shd w:fill="auto" w:val="clear"/>
          </w:tcPr>
          <w:p>
            <w:pPr>
              <w:pStyle w:val="TableContents"/>
              <w:spacing w:before="0" w:after="283"/>
              <w:rPr>
                <w:sz w:val="4"/>
                <w:szCs w:val="4"/>
              </w:rPr>
            </w:pPr>
            <w:r>
              <w:rPr>
                <w:sz w:val="4"/>
                <w:szCs w:val="4"/>
              </w:rPr>
            </w:r>
          </w:p>
        </w:tc>
      </w:tr>
      <w:tr>
        <w:trPr/>
        <w:tc>
          <w:tcPr>
            <w:tcW w:w="172" w:type="dxa"/>
            <w:tcBorders/>
            <w:shd w:fill="auto" w:val="clear"/>
          </w:tcPr>
          <w:p>
            <w:pPr>
              <w:pStyle w:val="TableContents"/>
              <w:spacing w:before="0" w:after="283"/>
              <w:jc w:val="left"/>
              <w:rPr>
                <w:rFonts w:ascii="Wingdings" w:hAnsi="Wingdings"/>
              </w:rPr>
            </w:pPr>
            <w:r>
              <w:rPr>
                <w:rFonts w:ascii="Wingdings" w:hAnsi="Wingdings"/>
              </w:rPr>
              <w:t>o</w:t>
            </w:r>
          </w:p>
        </w:tc>
        <w:tc>
          <w:tcPr>
            <w:tcW w:w="120" w:type="dxa"/>
            <w:tcBorders/>
            <w:shd w:fill="auto" w:val="clear"/>
          </w:tcPr>
          <w:p>
            <w:pPr>
              <w:pStyle w:val="TableContents"/>
              <w:spacing w:before="0" w:after="283"/>
              <w:rPr/>
            </w:pPr>
            <w:r>
              <w:rPr/>
              <w:t> </w:t>
            </w:r>
          </w:p>
        </w:tc>
        <w:tc>
          <w:tcPr>
            <w:tcW w:w="9913" w:type="dxa"/>
            <w:tcBorders/>
            <w:shd w:fill="auto" w:val="clear"/>
          </w:tcPr>
          <w:p>
            <w:pPr>
              <w:pStyle w:val="TableContents"/>
              <w:spacing w:before="0" w:after="283"/>
              <w:rPr/>
            </w:pPr>
            <w:r>
              <w:rPr/>
              <w:t>Pre-commencement communications pursuant to Rule 13e-4(c) under the Exchange Act (17 CFR 240.13e-4(c))</w:t>
            </w:r>
          </w:p>
        </w:tc>
      </w:tr>
    </w:tbl>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p>
    <w:p>
      <w:pPr>
        <w:pStyle w:val="TextBody"/>
        <w:jc w:val="center"/>
        <w:rPr>
          <w:rFonts w:ascii="Times New Roman;Times;serif" w:hAnsi="Times New Roman;Times;serif"/>
          <w:b/>
          <w:u w:val="single"/>
        </w:rPr>
      </w:pPr>
      <w:bookmarkStart w:id="2" w:name="toc"/>
      <w:bookmarkEnd w:id="2"/>
      <w:r>
        <w:rPr>
          <w:rFonts w:ascii="Times New Roman;Times;serif" w:hAnsi="Times New Roman;Times;serif"/>
          <w:b/>
          <w:u w:val="single"/>
        </w:rPr>
        <w:t>TABLE OF CONTENTS</w:t>
      </w:r>
    </w:p>
    <w:tbl>
      <w:tblPr>
        <w:tblW w:w="4500" w:type="pct"/>
        <w:jc w:val="center"/>
        <w:tblInd w:w="0" w:type="dxa"/>
        <w:tblCellMar>
          <w:top w:w="0" w:type="dxa"/>
          <w:left w:w="0" w:type="dxa"/>
          <w:bottom w:w="0" w:type="dxa"/>
          <w:right w:w="0" w:type="dxa"/>
        </w:tblCellMar>
      </w:tblPr>
      <w:tblGrid>
        <w:gridCol w:w="490"/>
        <w:gridCol w:w="390"/>
        <w:gridCol w:w="310"/>
        <w:gridCol w:w="310"/>
        <w:gridCol w:w="310"/>
        <w:gridCol w:w="310"/>
        <w:gridCol w:w="310"/>
        <w:gridCol w:w="310"/>
        <w:gridCol w:w="6444"/>
      </w:tblGrid>
      <w:tr>
        <w:trPr/>
        <w:tc>
          <w:tcPr>
            <w:tcW w:w="490"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6444" w:type="dxa"/>
            <w:tcBorders/>
            <w:shd w:fill="auto" w:val="clear"/>
            <w:vAlign w:val="center"/>
          </w:tcPr>
          <w:p>
            <w:pPr>
              <w:pStyle w:val="TableContents"/>
              <w:spacing w:before="0" w:after="283"/>
              <w:rPr>
                <w:sz w:val="4"/>
                <w:szCs w:val="4"/>
              </w:rPr>
            </w:pPr>
            <w:r>
              <w:rPr>
                <w:sz w:val="4"/>
                <w:szCs w:val="4"/>
              </w:rPr>
            </w:r>
          </w:p>
        </w:tc>
      </w:tr>
      <w:tr>
        <w:trPr/>
        <w:tc>
          <w:tcPr>
            <w:tcW w:w="9184" w:type="dxa"/>
            <w:gridSpan w:val="9"/>
            <w:tcBorders/>
            <w:shd w:fill="auto" w:val="clear"/>
            <w:vAlign w:val="center"/>
          </w:tcPr>
          <w:p>
            <w:pPr>
              <w:pStyle w:val="TableContents"/>
              <w:spacing w:before="0" w:after="283"/>
              <w:rPr/>
            </w:pPr>
            <w:hyperlink w:anchor="000">
              <w:r>
                <w:rPr>
                  <w:rStyle w:val="InternetLink"/>
                </w:rPr>
                <w:t>Item 9.01. Financial Statements and Exhibits</w:t>
              </w:r>
            </w:hyperlink>
          </w:p>
        </w:tc>
      </w:tr>
      <w:tr>
        <w:trPr/>
        <w:tc>
          <w:tcPr>
            <w:tcW w:w="9184" w:type="dxa"/>
            <w:gridSpan w:val="9"/>
            <w:tcBorders/>
            <w:shd w:fill="auto" w:val="clear"/>
            <w:vAlign w:val="center"/>
          </w:tcPr>
          <w:p>
            <w:pPr>
              <w:pStyle w:val="TableContents"/>
              <w:spacing w:before="0" w:after="283"/>
              <w:rPr/>
            </w:pPr>
            <w:hyperlink w:anchor="001">
              <w:r>
                <w:rPr>
                  <w:rStyle w:val="InternetLink"/>
                </w:rPr>
                <w:t>SIGNATURES</w:t>
              </w:r>
            </w:hyperlink>
          </w:p>
        </w:tc>
      </w:tr>
      <w:tr>
        <w:trPr/>
        <w:tc>
          <w:tcPr>
            <w:tcW w:w="9184" w:type="dxa"/>
            <w:gridSpan w:val="9"/>
            <w:tcBorders/>
            <w:shd w:fill="auto" w:val="clear"/>
            <w:vAlign w:val="center"/>
          </w:tcPr>
          <w:p>
            <w:pPr>
              <w:pStyle w:val="TableContents"/>
              <w:spacing w:before="0" w:after="283"/>
              <w:rPr/>
            </w:pPr>
            <w:hyperlink w:anchor="002">
              <w:r>
                <w:rPr>
                  <w:rStyle w:val="InternetLink"/>
                </w:rPr>
                <w:t>Index to Exhibits</w:t>
              </w:r>
            </w:hyperlink>
          </w:p>
        </w:tc>
      </w:tr>
      <w:tr>
        <w:trPr/>
        <w:tc>
          <w:tcPr>
            <w:tcW w:w="9184" w:type="dxa"/>
            <w:gridSpan w:val="9"/>
            <w:tcBorders/>
            <w:shd w:fill="auto" w:val="clear"/>
            <w:vAlign w:val="center"/>
          </w:tcPr>
          <w:p>
            <w:pPr>
              <w:pStyle w:val="TableContents"/>
              <w:spacing w:before="0" w:after="283"/>
              <w:rPr/>
            </w:pPr>
            <w:hyperlink w:anchor="h41468exv99w1.htm">
              <w:r>
                <w:rPr>
                  <w:rStyle w:val="InternetLink"/>
                </w:rPr>
                <w:t>Unaudited Consolidated Balance Sheet</w:t>
              </w:r>
            </w:hyperlink>
          </w:p>
        </w:tc>
      </w:tr>
    </w:tbl>
    <w:p>
      <w:pPr>
        <w:pStyle w:val="HorizontalLine"/>
        <w:pBdr>
          <w:bottom w:val="single" w:sz="20" w:space="0" w:color="808080"/>
        </w:pBdr>
        <w:rPr/>
      </w:pPr>
      <w:r>
        <w:rPr/>
      </w:r>
      <w:r>
        <w:br w:type="page"/>
      </w:r>
    </w:p>
    <w:p>
      <w:pPr>
        <w:pStyle w:val="Heading5"/>
        <w:jc w:val="left"/>
        <w:rPr/>
      </w:pPr>
      <w:hyperlink w:anchor="toc">
        <w:r>
          <w:rPr>
            <w:rStyle w:val="InternetLink"/>
            <w:rFonts w:ascii="Times New Roman;Times;serif" w:hAnsi="Times New Roman;Times;serif"/>
          </w:rPr>
          <w:t>Table of Contents</w:t>
        </w:r>
      </w:hyperlink>
    </w:p>
    <w:p>
      <w:pPr>
        <w:pStyle w:val="TextBody"/>
        <w:spacing w:before="240" w:after="283"/>
        <w:jc w:val="left"/>
        <w:rPr>
          <w:rFonts w:ascii="Times New Roman;Times;serif" w:hAnsi="Times New Roman;Times;serif"/>
          <w:sz w:val="17"/>
        </w:rPr>
      </w:pPr>
      <w:bookmarkStart w:id="3" w:name="000"/>
      <w:bookmarkEnd w:id="3"/>
      <w:r>
        <w:rPr>
          <w:rFonts w:ascii="Times New Roman;Times;serif" w:hAnsi="Times New Roman;Times;serif"/>
          <w:b/>
          <w:sz w:val="17"/>
        </w:rPr>
        <w:t>Item 9.01. Financial Statements and Exhibits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 Exhibits </w:t>
      </w:r>
    </w:p>
    <w:tbl>
      <w:tblPr>
        <w:tblW w:w="5000" w:type="pct"/>
        <w:jc w:val="left"/>
        <w:tblInd w:w="0" w:type="dxa"/>
        <w:tblCellMar>
          <w:top w:w="0" w:type="dxa"/>
          <w:left w:w="0" w:type="dxa"/>
          <w:bottom w:w="0" w:type="dxa"/>
          <w:right w:w="0" w:type="dxa"/>
        </w:tblCellMar>
      </w:tblPr>
      <w:tblGrid>
        <w:gridCol w:w="305"/>
        <w:gridCol w:w="445"/>
        <w:gridCol w:w="116"/>
        <w:gridCol w:w="9339"/>
      </w:tblGrid>
      <w:tr>
        <w:trPr/>
        <w:tc>
          <w:tcPr>
            <w:tcW w:w="305" w:type="dxa"/>
            <w:tcBorders/>
            <w:shd w:fill="auto" w:val="clear"/>
          </w:tcPr>
          <w:p>
            <w:pPr>
              <w:pStyle w:val="TableContents"/>
              <w:spacing w:before="0" w:after="283"/>
              <w:rPr/>
            </w:pPr>
            <w:r>
              <w:rPr/>
              <w:t> </w:t>
            </w:r>
          </w:p>
        </w:tc>
        <w:tc>
          <w:tcPr>
            <w:tcW w:w="445" w:type="dxa"/>
            <w:tcBorders/>
            <w:shd w:fill="auto" w:val="clear"/>
          </w:tcPr>
          <w:p>
            <w:pPr>
              <w:pStyle w:val="TableContents"/>
              <w:spacing w:before="0" w:after="283"/>
              <w:jc w:val="left"/>
              <w:rPr/>
            </w:pPr>
            <w:r>
              <w:rPr/>
              <w:t>99.1</w:t>
            </w:r>
          </w:p>
        </w:tc>
        <w:tc>
          <w:tcPr>
            <w:tcW w:w="116" w:type="dxa"/>
            <w:tcBorders/>
            <w:shd w:fill="auto" w:val="clear"/>
          </w:tcPr>
          <w:p>
            <w:pPr>
              <w:pStyle w:val="TableContents"/>
              <w:spacing w:before="0" w:after="283"/>
              <w:rPr/>
            </w:pPr>
            <w:r>
              <w:rPr/>
              <w:t> </w:t>
            </w:r>
          </w:p>
        </w:tc>
        <w:tc>
          <w:tcPr>
            <w:tcW w:w="9339" w:type="dxa"/>
            <w:tcBorders/>
            <w:shd w:fill="auto" w:val="clear"/>
          </w:tcPr>
          <w:p>
            <w:pPr>
              <w:pStyle w:val="TableContents"/>
              <w:spacing w:before="0" w:after="283"/>
              <w:rPr/>
            </w:pPr>
            <w:r>
              <w:rPr/>
              <w:t>Unaudited Consolidated Balance Sheet of Plains AAP, L.P., dated as of September 30, 2006.</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hyperlink w:anchor="toc">
        <w:r>
          <w:rPr>
            <w:rStyle w:val="InternetLink"/>
          </w:rPr>
          <w:t>Table of Contents</w:t>
        </w:r>
      </w:hyperlink>
    </w:p>
    <w:p>
      <w:pPr>
        <w:pStyle w:val="TextBody"/>
        <w:spacing w:before="360" w:after="283"/>
        <w:jc w:val="center"/>
        <w:rPr>
          <w:rFonts w:ascii="Times New Roman;Times;serif" w:hAnsi="Times New Roman;Times;serif"/>
          <w:sz w:val="17"/>
        </w:rPr>
      </w:pPr>
      <w:bookmarkStart w:id="4" w:name="001"/>
      <w:bookmarkEnd w:id="4"/>
      <w:r>
        <w:rPr>
          <w:rFonts w:ascii="Times New Roman;Times;serif" w:hAnsi="Times New Roman;Times;serif"/>
          <w:b/>
          <w:sz w:val="17"/>
        </w:rPr>
        <w:t>SIGNATURES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Pursuant to the requirements of the Securities Exchange Act of 1934, the registrant has duly caused this report to be signed on its behalf by the undersigned hereunto duly authorized. </w:t>
      </w:r>
    </w:p>
    <w:tbl>
      <w:tblPr>
        <w:tblW w:w="5000" w:type="pct"/>
        <w:jc w:val="center"/>
        <w:tblInd w:w="0" w:type="dxa"/>
        <w:tblCellMar>
          <w:top w:w="0" w:type="dxa"/>
          <w:left w:w="0" w:type="dxa"/>
          <w:bottom w:w="0" w:type="dxa"/>
          <w:right w:w="0" w:type="dxa"/>
        </w:tblCellMar>
      </w:tblPr>
      <w:tblGrid>
        <w:gridCol w:w="4916"/>
        <w:gridCol w:w="125"/>
        <w:gridCol w:w="386"/>
        <w:gridCol w:w="125"/>
        <w:gridCol w:w="593"/>
        <w:gridCol w:w="125"/>
        <w:gridCol w:w="3935"/>
      </w:tblGrid>
      <w:tr>
        <w:trPr/>
        <w:tc>
          <w:tcPr>
            <w:tcW w:w="49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35" w:type="dxa"/>
            <w:tcBorders/>
            <w:shd w:fill="auto" w:val="clear"/>
            <w:vAlign w:val="bottom"/>
          </w:tcPr>
          <w:p>
            <w:pPr>
              <w:pStyle w:val="TableContents"/>
              <w:spacing w:before="0" w:after="283"/>
              <w:rPr/>
            </w:pPr>
            <w:r>
              <w:rPr/>
              <w:t> </w:t>
            </w:r>
          </w:p>
        </w:tc>
      </w:tr>
      <w:tr>
        <w:trPr/>
        <w:tc>
          <w:tcPr>
            <w:tcW w:w="4916" w:type="dxa"/>
            <w:tcBorders/>
            <w:shd w:fill="auto" w:val="clear"/>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164" w:type="dxa"/>
            <w:gridSpan w:val="5"/>
            <w:tcBorders/>
            <w:shd w:fill="auto" w:val="clear"/>
          </w:tcPr>
          <w:p>
            <w:pPr>
              <w:pStyle w:val="TableContents"/>
              <w:spacing w:before="0" w:after="283"/>
              <w:jc w:val="left"/>
              <w:rPr>
                <w:b/>
              </w:rPr>
            </w:pPr>
            <w:r>
              <w:rPr>
                <w:b/>
              </w:rPr>
              <w:t>PLAINS ALL AMERICAN PIPELINE, L.P.</w:t>
            </w:r>
          </w:p>
        </w:tc>
      </w:tr>
      <w:tr>
        <w:trPr/>
        <w:tc>
          <w:tcPr>
            <w:tcW w:w="4916" w:type="dxa"/>
            <w:tcBorders/>
            <w:shd w:fill="auto" w:val="clear"/>
          </w:tcPr>
          <w:p>
            <w:pPr>
              <w:pStyle w:val="TableContents"/>
              <w:spacing w:before="0" w:after="0"/>
              <w:ind w:left="0" w:right="0" w:hanging="0"/>
              <w:rPr/>
            </w:pPr>
            <w:r>
              <w:rPr/>
              <w:t> </w:t>
            </w:r>
          </w:p>
        </w:tc>
        <w:tc>
          <w:tcPr>
            <w:tcW w:w="125" w:type="dxa"/>
            <w:tcBorders/>
            <w:shd w:fill="auto" w:val="clear"/>
            <w:vAlign w:val="bottom"/>
          </w:tcPr>
          <w:p>
            <w:pPr>
              <w:pStyle w:val="TableContents"/>
              <w:spacing w:before="0" w:after="283"/>
              <w:rPr/>
            </w:pPr>
            <w:r>
              <w:rPr/>
              <w:t> </w:t>
            </w:r>
          </w:p>
        </w:tc>
        <w:tc>
          <w:tcPr>
            <w:tcW w:w="386" w:type="dxa"/>
            <w:tcBorders/>
            <w:shd w:fill="auto" w:val="clear"/>
          </w:tcPr>
          <w:p>
            <w:pPr>
              <w:pStyle w:val="TableContents"/>
              <w:spacing w:before="0" w:after="283"/>
              <w:jc w:val="left"/>
              <w:rPr/>
            </w:pPr>
            <w:r>
              <w:rPr/>
              <w:t> </w:t>
            </w:r>
          </w:p>
        </w:tc>
        <w:tc>
          <w:tcPr>
            <w:tcW w:w="125" w:type="dxa"/>
            <w:tcBorders/>
            <w:shd w:fill="auto" w:val="clear"/>
            <w:vAlign w:val="bottom"/>
          </w:tcPr>
          <w:p>
            <w:pPr>
              <w:pStyle w:val="TableContents"/>
              <w:spacing w:before="0" w:after="283"/>
              <w:rPr/>
            </w:pPr>
            <w:r>
              <w:rPr/>
              <w:t> </w:t>
            </w:r>
          </w:p>
        </w:tc>
        <w:tc>
          <w:tcPr>
            <w:tcW w:w="593" w:type="dxa"/>
            <w:tcBorders/>
            <w:shd w:fill="auto" w:val="clear"/>
          </w:tcPr>
          <w:p>
            <w:pPr>
              <w:pStyle w:val="TableContents"/>
              <w:spacing w:before="0" w:after="283"/>
              <w:jc w:val="left"/>
              <w:rPr/>
            </w:pPr>
            <w:r>
              <w:rPr/>
              <w:t> </w:t>
            </w:r>
          </w:p>
        </w:tc>
        <w:tc>
          <w:tcPr>
            <w:tcW w:w="125" w:type="dxa"/>
            <w:tcBorders/>
            <w:shd w:fill="auto" w:val="clear"/>
            <w:vAlign w:val="bottom"/>
          </w:tcPr>
          <w:p>
            <w:pPr>
              <w:pStyle w:val="TableContents"/>
              <w:spacing w:before="0" w:after="283"/>
              <w:rPr/>
            </w:pPr>
            <w:r>
              <w:rPr/>
              <w:t> </w:t>
            </w:r>
          </w:p>
        </w:tc>
        <w:tc>
          <w:tcPr>
            <w:tcW w:w="3935" w:type="dxa"/>
            <w:tcBorders/>
            <w:shd w:fill="auto" w:val="clear"/>
          </w:tcPr>
          <w:p>
            <w:pPr>
              <w:pStyle w:val="TableContents"/>
              <w:spacing w:before="0" w:after="283"/>
              <w:jc w:val="left"/>
              <w:rPr/>
            </w:pPr>
            <w:r>
              <w:rPr/>
              <w:t> </w:t>
            </w:r>
          </w:p>
        </w:tc>
      </w:tr>
      <w:tr>
        <w:trPr/>
        <w:tc>
          <w:tcPr>
            <w:tcW w:w="4916" w:type="dxa"/>
            <w:tcBorders/>
            <w:shd w:fill="auto" w:val="clear"/>
          </w:tcPr>
          <w:p>
            <w:pPr>
              <w:pStyle w:val="TableContents"/>
              <w:spacing w:before="0" w:after="283"/>
              <w:rPr/>
            </w:pPr>
            <w:r>
              <w:rPr/>
              <w:t>Date: November 29, 2006</w:t>
            </w:r>
          </w:p>
        </w:tc>
        <w:tc>
          <w:tcPr>
            <w:tcW w:w="125" w:type="dxa"/>
            <w:tcBorders/>
            <w:shd w:fill="auto" w:val="clear"/>
            <w:vAlign w:val="bottom"/>
          </w:tcPr>
          <w:p>
            <w:pPr>
              <w:pStyle w:val="TableContents"/>
              <w:spacing w:before="0" w:after="283"/>
              <w:rPr/>
            </w:pPr>
            <w:r>
              <w:rPr/>
              <w:t> </w:t>
            </w:r>
          </w:p>
        </w:tc>
        <w:tc>
          <w:tcPr>
            <w:tcW w:w="386" w:type="dxa"/>
            <w:tcBorders/>
            <w:shd w:fill="auto" w:val="clear"/>
          </w:tcPr>
          <w:p>
            <w:pPr>
              <w:pStyle w:val="TableContents"/>
              <w:spacing w:before="0" w:after="283"/>
              <w:jc w:val="left"/>
              <w:rPr/>
            </w:pPr>
            <w:r>
              <w:rPr/>
              <w:t>By:</w:t>
            </w:r>
          </w:p>
        </w:tc>
        <w:tc>
          <w:tcPr>
            <w:tcW w:w="125" w:type="dxa"/>
            <w:tcBorders/>
            <w:shd w:fill="auto" w:val="clear"/>
            <w:vAlign w:val="bottom"/>
          </w:tcPr>
          <w:p>
            <w:pPr>
              <w:pStyle w:val="TableContents"/>
              <w:spacing w:before="0" w:after="283"/>
              <w:rPr/>
            </w:pPr>
            <w:r>
              <w:rPr/>
              <w:t> </w:t>
            </w:r>
          </w:p>
        </w:tc>
        <w:tc>
          <w:tcPr>
            <w:tcW w:w="4653" w:type="dxa"/>
            <w:gridSpan w:val="3"/>
            <w:tcBorders/>
            <w:shd w:fill="auto" w:val="clear"/>
          </w:tcPr>
          <w:p>
            <w:pPr>
              <w:pStyle w:val="TableContents"/>
              <w:spacing w:before="0" w:after="283"/>
              <w:jc w:val="left"/>
              <w:rPr/>
            </w:pPr>
            <w:r>
              <w:rPr/>
              <w:t>Plains AAP, L.P., its general partner</w:t>
            </w:r>
          </w:p>
        </w:tc>
      </w:tr>
      <w:tr>
        <w:trPr/>
        <w:tc>
          <w:tcPr>
            <w:tcW w:w="4916" w:type="dxa"/>
            <w:tcBorders/>
            <w:shd w:fill="auto" w:val="clear"/>
          </w:tcPr>
          <w:p>
            <w:pPr>
              <w:pStyle w:val="TableContents"/>
              <w:spacing w:before="0" w:after="0"/>
              <w:ind w:left="0" w:right="0" w:hanging="0"/>
              <w:rPr/>
            </w:pPr>
            <w:r>
              <w:rPr/>
              <w:t> </w:t>
            </w:r>
          </w:p>
        </w:tc>
        <w:tc>
          <w:tcPr>
            <w:tcW w:w="125" w:type="dxa"/>
            <w:tcBorders/>
            <w:shd w:fill="auto" w:val="clear"/>
            <w:vAlign w:val="bottom"/>
          </w:tcPr>
          <w:p>
            <w:pPr>
              <w:pStyle w:val="TableContents"/>
              <w:spacing w:before="0" w:after="283"/>
              <w:rPr/>
            </w:pPr>
            <w:r>
              <w:rPr/>
              <w:t> </w:t>
            </w:r>
          </w:p>
        </w:tc>
        <w:tc>
          <w:tcPr>
            <w:tcW w:w="386" w:type="dxa"/>
            <w:tcBorders/>
            <w:shd w:fill="auto" w:val="clear"/>
          </w:tcPr>
          <w:p>
            <w:pPr>
              <w:pStyle w:val="TableContents"/>
              <w:spacing w:before="0" w:after="283"/>
              <w:jc w:val="left"/>
              <w:rPr/>
            </w:pPr>
            <w:r>
              <w:rPr/>
              <w:t> </w:t>
            </w:r>
          </w:p>
        </w:tc>
        <w:tc>
          <w:tcPr>
            <w:tcW w:w="125" w:type="dxa"/>
            <w:tcBorders/>
            <w:shd w:fill="auto" w:val="clear"/>
            <w:vAlign w:val="bottom"/>
          </w:tcPr>
          <w:p>
            <w:pPr>
              <w:pStyle w:val="TableContents"/>
              <w:spacing w:before="0" w:after="283"/>
              <w:rPr/>
            </w:pPr>
            <w:r>
              <w:rPr/>
              <w:t> </w:t>
            </w:r>
          </w:p>
        </w:tc>
        <w:tc>
          <w:tcPr>
            <w:tcW w:w="593" w:type="dxa"/>
            <w:tcBorders/>
            <w:shd w:fill="auto" w:val="clear"/>
          </w:tcPr>
          <w:p>
            <w:pPr>
              <w:pStyle w:val="TableContents"/>
              <w:spacing w:before="0" w:after="283"/>
              <w:jc w:val="left"/>
              <w:rPr/>
            </w:pPr>
            <w:r>
              <w:rPr/>
              <w:t> </w:t>
            </w:r>
          </w:p>
        </w:tc>
        <w:tc>
          <w:tcPr>
            <w:tcW w:w="125" w:type="dxa"/>
            <w:tcBorders/>
            <w:shd w:fill="auto" w:val="clear"/>
            <w:vAlign w:val="bottom"/>
          </w:tcPr>
          <w:p>
            <w:pPr>
              <w:pStyle w:val="TableContents"/>
              <w:spacing w:before="0" w:after="283"/>
              <w:rPr/>
            </w:pPr>
            <w:r>
              <w:rPr/>
              <w:t> </w:t>
            </w:r>
          </w:p>
        </w:tc>
        <w:tc>
          <w:tcPr>
            <w:tcW w:w="3935" w:type="dxa"/>
            <w:tcBorders/>
            <w:shd w:fill="auto" w:val="clear"/>
          </w:tcPr>
          <w:p>
            <w:pPr>
              <w:pStyle w:val="TableContents"/>
              <w:spacing w:before="0" w:after="283"/>
              <w:jc w:val="left"/>
              <w:rPr/>
            </w:pPr>
            <w:r>
              <w:rPr/>
              <w:t> </w:t>
            </w:r>
          </w:p>
        </w:tc>
      </w:tr>
      <w:tr>
        <w:trPr/>
        <w:tc>
          <w:tcPr>
            <w:tcW w:w="4916" w:type="dxa"/>
            <w:tcBorders/>
            <w:shd w:fill="auto" w:val="clear"/>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86" w:type="dxa"/>
            <w:tcBorders/>
            <w:shd w:fill="auto" w:val="clear"/>
          </w:tcPr>
          <w:p>
            <w:pPr>
              <w:pStyle w:val="TableContents"/>
              <w:spacing w:before="0" w:after="283"/>
              <w:jc w:val="left"/>
              <w:rPr/>
            </w:pPr>
            <w:r>
              <w:rPr/>
              <w:t>By:</w:t>
            </w:r>
          </w:p>
        </w:tc>
        <w:tc>
          <w:tcPr>
            <w:tcW w:w="125" w:type="dxa"/>
            <w:tcBorders/>
            <w:shd w:fill="auto" w:val="clear"/>
            <w:vAlign w:val="bottom"/>
          </w:tcPr>
          <w:p>
            <w:pPr>
              <w:pStyle w:val="TableContents"/>
              <w:spacing w:before="0" w:after="283"/>
              <w:rPr/>
            </w:pPr>
            <w:r>
              <w:rPr/>
              <w:t> </w:t>
            </w:r>
          </w:p>
        </w:tc>
        <w:tc>
          <w:tcPr>
            <w:tcW w:w="4653" w:type="dxa"/>
            <w:gridSpan w:val="3"/>
            <w:tcBorders/>
            <w:shd w:fill="auto" w:val="clear"/>
          </w:tcPr>
          <w:p>
            <w:pPr>
              <w:pStyle w:val="TableContents"/>
              <w:spacing w:before="0" w:after="283"/>
              <w:jc w:val="left"/>
              <w:rPr/>
            </w:pPr>
            <w:r>
              <w:rPr/>
              <w:t>Plains All American GP LLC, its general partner</w:t>
            </w:r>
          </w:p>
        </w:tc>
      </w:tr>
      <w:tr>
        <w:trPr/>
        <w:tc>
          <w:tcPr>
            <w:tcW w:w="4916" w:type="dxa"/>
            <w:tcBorders/>
            <w:shd w:fill="auto" w:val="clear"/>
          </w:tcPr>
          <w:p>
            <w:pPr>
              <w:pStyle w:val="TableContents"/>
              <w:spacing w:before="0" w:after="0"/>
              <w:ind w:left="0" w:right="0" w:hanging="0"/>
              <w:rPr/>
            </w:pPr>
            <w:r>
              <w:rPr/>
              <w:t> </w:t>
            </w:r>
          </w:p>
        </w:tc>
        <w:tc>
          <w:tcPr>
            <w:tcW w:w="125" w:type="dxa"/>
            <w:tcBorders/>
            <w:shd w:fill="auto" w:val="clear"/>
            <w:vAlign w:val="bottom"/>
          </w:tcPr>
          <w:p>
            <w:pPr>
              <w:pStyle w:val="TableContents"/>
              <w:spacing w:before="0" w:after="283"/>
              <w:rPr/>
            </w:pPr>
            <w:r>
              <w:rPr/>
              <w:t> </w:t>
            </w:r>
          </w:p>
        </w:tc>
        <w:tc>
          <w:tcPr>
            <w:tcW w:w="386" w:type="dxa"/>
            <w:tcBorders/>
            <w:shd w:fill="auto" w:val="clear"/>
          </w:tcPr>
          <w:p>
            <w:pPr>
              <w:pStyle w:val="TableContents"/>
              <w:spacing w:before="0" w:after="283"/>
              <w:jc w:val="left"/>
              <w:rPr/>
            </w:pPr>
            <w:r>
              <w:rPr/>
              <w:t> </w:t>
            </w:r>
          </w:p>
        </w:tc>
        <w:tc>
          <w:tcPr>
            <w:tcW w:w="125" w:type="dxa"/>
            <w:tcBorders/>
            <w:shd w:fill="auto" w:val="clear"/>
            <w:vAlign w:val="bottom"/>
          </w:tcPr>
          <w:p>
            <w:pPr>
              <w:pStyle w:val="TableContents"/>
              <w:spacing w:before="0" w:after="283"/>
              <w:rPr/>
            </w:pPr>
            <w:r>
              <w:rPr/>
              <w:t> </w:t>
            </w:r>
          </w:p>
        </w:tc>
        <w:tc>
          <w:tcPr>
            <w:tcW w:w="593" w:type="dxa"/>
            <w:tcBorders/>
            <w:shd w:fill="auto" w:val="clear"/>
          </w:tcPr>
          <w:p>
            <w:pPr>
              <w:pStyle w:val="TableContents"/>
              <w:spacing w:before="0" w:after="283"/>
              <w:jc w:val="left"/>
              <w:rPr/>
            </w:pPr>
            <w:r>
              <w:rPr/>
              <w:t> </w:t>
            </w:r>
          </w:p>
        </w:tc>
        <w:tc>
          <w:tcPr>
            <w:tcW w:w="125" w:type="dxa"/>
            <w:tcBorders/>
            <w:shd w:fill="auto" w:val="clear"/>
            <w:vAlign w:val="bottom"/>
          </w:tcPr>
          <w:p>
            <w:pPr>
              <w:pStyle w:val="TableContents"/>
              <w:spacing w:before="0" w:after="283"/>
              <w:rPr/>
            </w:pPr>
            <w:r>
              <w:rPr/>
              <w:t> </w:t>
            </w:r>
          </w:p>
        </w:tc>
        <w:tc>
          <w:tcPr>
            <w:tcW w:w="3935" w:type="dxa"/>
            <w:tcBorders/>
            <w:shd w:fill="auto" w:val="clear"/>
          </w:tcPr>
          <w:p>
            <w:pPr>
              <w:pStyle w:val="TableContents"/>
              <w:spacing w:before="0" w:after="283"/>
              <w:jc w:val="left"/>
              <w:rPr/>
            </w:pPr>
            <w:r>
              <w:rPr/>
              <w:t> </w:t>
            </w:r>
          </w:p>
        </w:tc>
      </w:tr>
      <w:tr>
        <w:trPr/>
        <w:tc>
          <w:tcPr>
            <w:tcW w:w="4916" w:type="dxa"/>
            <w:tcBorders/>
            <w:shd w:fill="auto" w:val="clear"/>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86" w:type="dxa"/>
            <w:tcBorders/>
            <w:shd w:fill="auto" w:val="clear"/>
          </w:tcPr>
          <w:p>
            <w:pPr>
              <w:pStyle w:val="TableContents"/>
              <w:spacing w:before="0" w:after="283"/>
              <w:jc w:val="left"/>
              <w:rPr/>
            </w:pPr>
            <w:r>
              <w:rPr/>
              <w:t>By:</w:t>
            </w:r>
          </w:p>
        </w:tc>
        <w:tc>
          <w:tcPr>
            <w:tcW w:w="125" w:type="dxa"/>
            <w:tcBorders/>
            <w:shd w:fill="auto" w:val="clear"/>
            <w:vAlign w:val="bottom"/>
          </w:tcPr>
          <w:p>
            <w:pPr>
              <w:pStyle w:val="TableContents"/>
              <w:spacing w:before="0" w:after="283"/>
              <w:rPr/>
            </w:pPr>
            <w:r>
              <w:rPr/>
              <w:t> </w:t>
            </w:r>
          </w:p>
        </w:tc>
        <w:tc>
          <w:tcPr>
            <w:tcW w:w="4653" w:type="dxa"/>
            <w:gridSpan w:val="3"/>
            <w:tcBorders/>
            <w:shd w:fill="auto" w:val="clear"/>
          </w:tcPr>
          <w:p>
            <w:pPr>
              <w:pStyle w:val="TableContents"/>
              <w:spacing w:before="0" w:after="283"/>
              <w:jc w:val="left"/>
              <w:rPr/>
            </w:pPr>
            <w:r>
              <w:rPr/>
              <w:t>/s/ TINA L. VAL</w:t>
            </w:r>
          </w:p>
        </w:tc>
      </w:tr>
      <w:tr>
        <w:trPr/>
        <w:tc>
          <w:tcPr>
            <w:tcW w:w="4916" w:type="dxa"/>
            <w:tcBorders/>
            <w:shd w:fill="auto" w:val="clea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386" w:type="dxa"/>
            <w:tcBorders/>
            <w:shd w:fill="auto" w:val="clear"/>
          </w:tcPr>
          <w:p>
            <w:pPr>
              <w:pStyle w:val="TableContents"/>
              <w:spacing w:before="0" w:after="283"/>
              <w:jc w:val="left"/>
              <w:rPr/>
            </w:pPr>
            <w:r>
              <w:rPr/>
              <w:t> </w:t>
            </w:r>
          </w:p>
        </w:tc>
        <w:tc>
          <w:tcPr>
            <w:tcW w:w="125" w:type="dxa"/>
            <w:tcBorders/>
            <w:shd w:fill="auto" w:val="clear"/>
            <w:vAlign w:val="center"/>
          </w:tcPr>
          <w:p>
            <w:pPr>
              <w:pStyle w:val="TableContents"/>
              <w:spacing w:before="0" w:after="283"/>
              <w:rPr/>
            </w:pPr>
            <w:r>
              <w:rPr/>
              <w:t> </w:t>
            </w:r>
          </w:p>
        </w:tc>
        <w:tc>
          <w:tcPr>
            <w:tcW w:w="4653" w:type="dxa"/>
            <w:gridSpan w:val="3"/>
            <w:tcBorders>
              <w:top w:val="single" w:sz="2" w:space="0" w:color="000000"/>
            </w:tcBorders>
            <w:shd w:fill="auto" w:val="clear"/>
            <w:tcMar>
              <w:top w:w="28" w:type="dxa"/>
            </w:tcMar>
          </w:tcPr>
          <w:p>
            <w:pPr>
              <w:pStyle w:val="TableContents"/>
              <w:spacing w:before="0" w:after="283"/>
              <w:jc w:val="left"/>
              <w:rPr/>
            </w:pPr>
            <w:r>
              <w:rPr/>
              <w:t> </w:t>
            </w:r>
          </w:p>
        </w:tc>
      </w:tr>
      <w:tr>
        <w:trPr/>
        <w:tc>
          <w:tcPr>
            <w:tcW w:w="4916" w:type="dxa"/>
            <w:tcBorders/>
            <w:shd w:fill="auto" w:val="clear"/>
          </w:tcPr>
          <w:p>
            <w:pPr>
              <w:pStyle w:val="TableContents"/>
              <w:spacing w:before="0" w:after="0"/>
              <w:ind w:left="0" w:right="0" w:hanging="0"/>
              <w:rPr/>
            </w:pPr>
            <w:r>
              <w:rPr/>
              <w:t xml:space="preserve">  </w:t>
            </w:r>
          </w:p>
        </w:tc>
        <w:tc>
          <w:tcPr>
            <w:tcW w:w="125" w:type="dxa"/>
            <w:tcBorders/>
            <w:shd w:fill="auto" w:val="clear"/>
            <w:vAlign w:val="bottom"/>
          </w:tcPr>
          <w:p>
            <w:pPr>
              <w:pStyle w:val="TableContents"/>
              <w:spacing w:before="0" w:after="283"/>
              <w:rPr/>
            </w:pPr>
            <w:r>
              <w:rPr/>
              <w:t> </w:t>
            </w:r>
          </w:p>
        </w:tc>
        <w:tc>
          <w:tcPr>
            <w:tcW w:w="386" w:type="dxa"/>
            <w:tcBorders/>
            <w:shd w:fill="auto" w:val="clear"/>
          </w:tcPr>
          <w:p>
            <w:pPr>
              <w:pStyle w:val="TableContents"/>
              <w:spacing w:before="0" w:after="283"/>
              <w:jc w:val="left"/>
              <w:rPr/>
            </w:pPr>
            <w:r>
              <w:rPr/>
              <w:t> </w:t>
            </w:r>
          </w:p>
        </w:tc>
        <w:tc>
          <w:tcPr>
            <w:tcW w:w="125" w:type="dxa"/>
            <w:tcBorders/>
            <w:shd w:fill="auto" w:val="clear"/>
            <w:vAlign w:val="bottom"/>
          </w:tcPr>
          <w:p>
            <w:pPr>
              <w:pStyle w:val="TableContents"/>
              <w:spacing w:before="0" w:after="283"/>
              <w:rPr/>
            </w:pPr>
            <w:r>
              <w:rPr/>
              <w:t> </w:t>
            </w:r>
          </w:p>
        </w:tc>
        <w:tc>
          <w:tcPr>
            <w:tcW w:w="593" w:type="dxa"/>
            <w:tcBorders/>
            <w:shd w:fill="auto" w:val="clear"/>
          </w:tcPr>
          <w:p>
            <w:pPr>
              <w:pStyle w:val="TableContents"/>
              <w:spacing w:before="0" w:after="283"/>
              <w:jc w:val="left"/>
              <w:rPr/>
            </w:pPr>
            <w:r>
              <w:rPr/>
              <w:t xml:space="preserve">Name: </w:t>
            </w:r>
          </w:p>
        </w:tc>
        <w:tc>
          <w:tcPr>
            <w:tcW w:w="125" w:type="dxa"/>
            <w:tcBorders/>
            <w:shd w:fill="auto" w:val="clear"/>
            <w:vAlign w:val="bottom"/>
          </w:tcPr>
          <w:p>
            <w:pPr>
              <w:pStyle w:val="TableContents"/>
              <w:spacing w:before="0" w:after="283"/>
              <w:rPr/>
            </w:pPr>
            <w:r>
              <w:rPr/>
              <w:t> </w:t>
            </w:r>
          </w:p>
        </w:tc>
        <w:tc>
          <w:tcPr>
            <w:tcW w:w="3935" w:type="dxa"/>
            <w:tcBorders/>
            <w:shd w:fill="auto" w:val="clear"/>
          </w:tcPr>
          <w:p>
            <w:pPr>
              <w:pStyle w:val="TableContents"/>
              <w:spacing w:before="0" w:after="283"/>
              <w:jc w:val="left"/>
              <w:rPr/>
            </w:pPr>
            <w:r>
              <w:rPr/>
              <w:t>Tina L. Val</w:t>
            </w:r>
          </w:p>
        </w:tc>
      </w:tr>
      <w:tr>
        <w:trPr/>
        <w:tc>
          <w:tcPr>
            <w:tcW w:w="4916" w:type="dxa"/>
            <w:tcBorders/>
            <w:shd w:fill="auto" w:val="clear"/>
          </w:tcPr>
          <w:p>
            <w:pPr>
              <w:pStyle w:val="TableContents"/>
              <w:spacing w:before="0" w:after="0"/>
              <w:ind w:left="0" w:right="0" w:hanging="0"/>
              <w:rPr/>
            </w:pPr>
            <w:r>
              <w:rPr/>
              <w:t xml:space="preserve">  </w:t>
            </w:r>
          </w:p>
        </w:tc>
        <w:tc>
          <w:tcPr>
            <w:tcW w:w="125" w:type="dxa"/>
            <w:tcBorders/>
            <w:shd w:fill="auto" w:val="clear"/>
            <w:vAlign w:val="bottom"/>
          </w:tcPr>
          <w:p>
            <w:pPr>
              <w:pStyle w:val="TableContents"/>
              <w:spacing w:before="0" w:after="283"/>
              <w:rPr/>
            </w:pPr>
            <w:r>
              <w:rPr/>
              <w:t> </w:t>
            </w:r>
          </w:p>
        </w:tc>
        <w:tc>
          <w:tcPr>
            <w:tcW w:w="386" w:type="dxa"/>
            <w:tcBorders/>
            <w:shd w:fill="auto" w:val="clear"/>
          </w:tcPr>
          <w:p>
            <w:pPr>
              <w:pStyle w:val="TableContents"/>
              <w:spacing w:before="0" w:after="283"/>
              <w:jc w:val="left"/>
              <w:rPr/>
            </w:pPr>
            <w:r>
              <w:rPr/>
              <w:t> </w:t>
            </w:r>
          </w:p>
        </w:tc>
        <w:tc>
          <w:tcPr>
            <w:tcW w:w="125" w:type="dxa"/>
            <w:tcBorders/>
            <w:shd w:fill="auto" w:val="clear"/>
            <w:vAlign w:val="bottom"/>
          </w:tcPr>
          <w:p>
            <w:pPr>
              <w:pStyle w:val="TableContents"/>
              <w:spacing w:before="0" w:after="283"/>
              <w:rPr/>
            </w:pPr>
            <w:r>
              <w:rPr/>
              <w:t> </w:t>
            </w:r>
          </w:p>
        </w:tc>
        <w:tc>
          <w:tcPr>
            <w:tcW w:w="593" w:type="dxa"/>
            <w:tcBorders/>
            <w:shd w:fill="auto" w:val="clear"/>
          </w:tcPr>
          <w:p>
            <w:pPr>
              <w:pStyle w:val="TableContents"/>
              <w:spacing w:before="0" w:after="283"/>
              <w:jc w:val="left"/>
              <w:rPr/>
            </w:pPr>
            <w:r>
              <w:rPr/>
              <w:t xml:space="preserve">Title: </w:t>
            </w:r>
          </w:p>
        </w:tc>
        <w:tc>
          <w:tcPr>
            <w:tcW w:w="125" w:type="dxa"/>
            <w:tcBorders/>
            <w:shd w:fill="auto" w:val="clear"/>
            <w:vAlign w:val="bottom"/>
          </w:tcPr>
          <w:p>
            <w:pPr>
              <w:pStyle w:val="TableContents"/>
              <w:spacing w:before="0" w:after="283"/>
              <w:rPr/>
            </w:pPr>
            <w:r>
              <w:rPr/>
              <w:t> </w:t>
            </w:r>
          </w:p>
        </w:tc>
        <w:tc>
          <w:tcPr>
            <w:tcW w:w="3935" w:type="dxa"/>
            <w:tcBorders/>
            <w:shd w:fill="auto" w:val="clear"/>
          </w:tcPr>
          <w:p>
            <w:pPr>
              <w:pStyle w:val="TableContents"/>
              <w:spacing w:before="0" w:after="283"/>
              <w:jc w:val="left"/>
              <w:rPr>
                <w:i/>
              </w:rPr>
            </w:pPr>
            <w:r>
              <w:rPr>
                <w:i/>
              </w:rPr>
              <w:t>Vice PresidentAccounting and</w:t>
            </w:r>
          </w:p>
        </w:tc>
      </w:tr>
      <w:tr>
        <w:trPr/>
        <w:tc>
          <w:tcPr>
            <w:tcW w:w="4916" w:type="dxa"/>
            <w:tcBorders/>
            <w:shd w:fill="auto" w:val="clear"/>
          </w:tcPr>
          <w:p>
            <w:pPr>
              <w:pStyle w:val="TableContents"/>
              <w:spacing w:before="0" w:after="0"/>
              <w:ind w:left="0" w:right="0" w:hanging="0"/>
              <w:rPr/>
            </w:pPr>
            <w:r>
              <w:rPr/>
              <w:t xml:space="preserve">  </w:t>
            </w:r>
          </w:p>
        </w:tc>
        <w:tc>
          <w:tcPr>
            <w:tcW w:w="125" w:type="dxa"/>
            <w:tcBorders/>
            <w:shd w:fill="auto" w:val="clear"/>
            <w:vAlign w:val="bottom"/>
          </w:tcPr>
          <w:p>
            <w:pPr>
              <w:pStyle w:val="TableContents"/>
              <w:spacing w:before="0" w:after="283"/>
              <w:rPr/>
            </w:pPr>
            <w:r>
              <w:rPr/>
              <w:t> </w:t>
            </w:r>
          </w:p>
        </w:tc>
        <w:tc>
          <w:tcPr>
            <w:tcW w:w="386" w:type="dxa"/>
            <w:tcBorders/>
            <w:shd w:fill="auto" w:val="clear"/>
          </w:tcPr>
          <w:p>
            <w:pPr>
              <w:pStyle w:val="TableContents"/>
              <w:spacing w:before="0" w:after="283"/>
              <w:jc w:val="left"/>
              <w:rPr/>
            </w:pPr>
            <w:r>
              <w:rPr/>
              <w:t> </w:t>
            </w:r>
          </w:p>
        </w:tc>
        <w:tc>
          <w:tcPr>
            <w:tcW w:w="125" w:type="dxa"/>
            <w:tcBorders/>
            <w:shd w:fill="auto" w:val="clear"/>
            <w:vAlign w:val="bottom"/>
          </w:tcPr>
          <w:p>
            <w:pPr>
              <w:pStyle w:val="TableContents"/>
              <w:spacing w:before="0" w:after="283"/>
              <w:rPr/>
            </w:pPr>
            <w:r>
              <w:rPr/>
              <w:t> </w:t>
            </w:r>
          </w:p>
        </w:tc>
        <w:tc>
          <w:tcPr>
            <w:tcW w:w="593" w:type="dxa"/>
            <w:tcBorders/>
            <w:shd w:fill="auto" w:val="clear"/>
          </w:tcPr>
          <w:p>
            <w:pPr>
              <w:pStyle w:val="TableContents"/>
              <w:spacing w:before="0" w:after="283"/>
              <w:jc w:val="left"/>
              <w:rPr/>
            </w:pPr>
            <w:r>
              <w:rPr/>
              <w:t> </w:t>
            </w:r>
          </w:p>
        </w:tc>
        <w:tc>
          <w:tcPr>
            <w:tcW w:w="125" w:type="dxa"/>
            <w:tcBorders/>
            <w:shd w:fill="auto" w:val="clear"/>
            <w:vAlign w:val="bottom"/>
          </w:tcPr>
          <w:p>
            <w:pPr>
              <w:pStyle w:val="TableContents"/>
              <w:spacing w:before="0" w:after="283"/>
              <w:rPr/>
            </w:pPr>
            <w:r>
              <w:rPr/>
              <w:t> </w:t>
            </w:r>
          </w:p>
        </w:tc>
        <w:tc>
          <w:tcPr>
            <w:tcW w:w="3935" w:type="dxa"/>
            <w:tcBorders/>
            <w:shd w:fill="auto" w:val="clear"/>
          </w:tcPr>
          <w:p>
            <w:pPr>
              <w:pStyle w:val="TableContents"/>
              <w:spacing w:before="0" w:after="283"/>
              <w:jc w:val="left"/>
              <w:rPr>
                <w:i/>
              </w:rPr>
            </w:pPr>
            <w:r>
              <w:rPr>
                <w:i/>
              </w:rPr>
              <w:t>Chief Accounting Officer</w:t>
            </w:r>
          </w:p>
        </w:tc>
      </w:tr>
    </w:tbl>
    <w:p>
      <w:pPr>
        <w:pStyle w:val="TextBody"/>
        <w:jc w:val="center"/>
        <w:rPr>
          <w:rFonts w:ascii="Times New Roman;Times;serif" w:hAnsi="Times New Roman;Times;serif"/>
          <w:sz w:val="17"/>
        </w:rPr>
      </w:pPr>
      <w:r>
        <w:rPr>
          <w:rFonts w:ascii="Times New Roman;Times;serif" w:hAnsi="Times New Roman;Times;serif"/>
          <w:sz w:val="17"/>
        </w:rPr>
        <w:t xml:space="preserve">3 </w:t>
      </w:r>
    </w:p>
    <w:p>
      <w:pPr>
        <w:pStyle w:val="HorizontalLine"/>
        <w:pBdr>
          <w:bottom w:val="single" w:sz="20" w:space="0" w:color="808080"/>
        </w:pBdr>
        <w:rPr/>
      </w:pPr>
      <w:r>
        <w:rPr/>
      </w:r>
      <w:r>
        <w:br w:type="page"/>
      </w:r>
    </w:p>
    <w:p>
      <w:pPr>
        <w:pStyle w:val="Heading5"/>
        <w:jc w:val="left"/>
        <w:rPr/>
      </w:pPr>
      <w:hyperlink w:anchor="toc">
        <w:r>
          <w:rPr>
            <w:rStyle w:val="InternetLink"/>
          </w:rPr>
          <w:t>Table of Contents</w:t>
        </w:r>
      </w:hyperlink>
    </w:p>
    <w:p>
      <w:pPr>
        <w:pStyle w:val="TextBody"/>
        <w:spacing w:before="360" w:after="283"/>
        <w:jc w:val="center"/>
        <w:rPr>
          <w:rFonts w:ascii="Times New Roman;Times;serif" w:hAnsi="Times New Roman;Times;serif"/>
          <w:sz w:val="17"/>
        </w:rPr>
      </w:pPr>
      <w:bookmarkStart w:id="5" w:name="002"/>
      <w:bookmarkEnd w:id="5"/>
      <w:r>
        <w:rPr>
          <w:rFonts w:ascii="Times New Roman;Times;serif" w:hAnsi="Times New Roman;Times;serif"/>
          <w:b/>
          <w:sz w:val="17"/>
        </w:rPr>
        <w:t>Index to Exhibits</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457"/>
        <w:gridCol w:w="118"/>
        <w:gridCol w:w="9630"/>
      </w:tblGrid>
      <w:tr>
        <w:trPr/>
        <w:tc>
          <w:tcPr>
            <w:tcW w:w="457" w:type="dxa"/>
            <w:tcBorders/>
            <w:shd w:fill="auto" w:val="clear"/>
          </w:tcPr>
          <w:p>
            <w:pPr>
              <w:pStyle w:val="TableContents"/>
              <w:spacing w:before="0" w:after="283"/>
              <w:jc w:val="left"/>
              <w:rPr/>
            </w:pPr>
            <w:r>
              <w:rPr/>
              <w:t>99.1</w:t>
            </w:r>
          </w:p>
        </w:tc>
        <w:tc>
          <w:tcPr>
            <w:tcW w:w="118" w:type="dxa"/>
            <w:tcBorders/>
            <w:shd w:fill="auto" w:val="clear"/>
          </w:tcPr>
          <w:p>
            <w:pPr>
              <w:pStyle w:val="TableContents"/>
              <w:spacing w:before="0" w:after="283"/>
              <w:rPr/>
            </w:pPr>
            <w:r>
              <w:rPr/>
              <w:t> </w:t>
            </w:r>
          </w:p>
        </w:tc>
        <w:tc>
          <w:tcPr>
            <w:tcW w:w="9630" w:type="dxa"/>
            <w:tcBorders/>
            <w:shd w:fill="auto" w:val="clear"/>
          </w:tcPr>
          <w:p>
            <w:pPr>
              <w:pStyle w:val="TableContents"/>
              <w:spacing w:before="0" w:after="283"/>
              <w:rPr/>
            </w:pPr>
            <w:r>
              <w:rPr/>
              <w:t>Unaudited Consolidated Balance Sheet of Plains AAP, L.P., dated as of September 30, 2006.</w:t>
            </w:r>
          </w:p>
        </w:tc>
      </w:tr>
    </w:tbl>
    <w:p>
      <w:pPr>
        <w:pStyle w:val="TextBody"/>
        <w:jc w:val="center"/>
        <w:rPr>
          <w:rFonts w:ascii="Times New Roman;Times;serif" w:hAnsi="Times New Roman;Times;serif"/>
          <w:sz w:val="17"/>
        </w:rPr>
      </w:pPr>
      <w:r>
        <w:rPr>
          <w:rFonts w:ascii="Times New Roman;Times;serif" w:hAnsi="Times New Roman;Times;serif"/>
          <w:sz w:val="17"/>
        </w:rPr>
        <w:t xml:space="preserve">4 </w:t>
      </w:r>
      <w:r>
        <w:br w:type="page"/>
      </w:r>
    </w:p>
    <w:p>
      <w:pPr>
        <w:pStyle w:val="Heading5"/>
        <w:jc w:val="left"/>
        <w:rPr/>
      </w:pPr>
      <w:bookmarkStart w:id="6" w:name="h41468exv99w1.htm"/>
      <w:bookmarkStart w:id="7" w:name="ksh41468exv99w1"/>
      <w:bookmarkEnd w:id="6"/>
      <w:bookmarkEnd w:id="7"/>
      <w:r>
        <w:rPr/>
        <w:t> </w:t>
      </w:r>
    </w:p>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99.1</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PLAINS AAP, L.P.</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INDEX TO FINANCIAL STATEMENT</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9187"/>
        <w:gridCol w:w="491"/>
        <w:gridCol w:w="527"/>
      </w:tblGrid>
      <w:tr>
        <w:trPr/>
        <w:tc>
          <w:tcPr>
            <w:tcW w:w="9187" w:type="dxa"/>
            <w:tcBorders/>
            <w:shd w:fill="auto" w:val="clear"/>
            <w:vAlign w:val="bottom"/>
          </w:tcPr>
          <w:p>
            <w:pPr>
              <w:pStyle w:val="TableContents"/>
              <w:spacing w:before="0" w:after="283"/>
              <w:rPr/>
            </w:pPr>
            <w:r>
              <w:rPr/>
              <w:t> </w:t>
            </w:r>
          </w:p>
        </w:tc>
        <w:tc>
          <w:tcPr>
            <w:tcW w:w="491" w:type="dxa"/>
            <w:tcBorders/>
            <w:shd w:fill="auto" w:val="clear"/>
            <w:vAlign w:val="bottom"/>
          </w:tcPr>
          <w:p>
            <w:pPr>
              <w:pStyle w:val="TableContents"/>
              <w:spacing w:before="0" w:after="283"/>
              <w:rPr/>
            </w:pPr>
            <w:r>
              <w:rPr/>
              <w:t> </w:t>
            </w:r>
          </w:p>
        </w:tc>
        <w:tc>
          <w:tcPr>
            <w:tcW w:w="527" w:type="dxa"/>
            <w:tcBorders/>
            <w:shd w:fill="auto" w:val="clear"/>
            <w:vAlign w:val="bottom"/>
          </w:tcPr>
          <w:p>
            <w:pPr>
              <w:pStyle w:val="TableContents"/>
              <w:spacing w:before="0" w:after="283"/>
              <w:rPr/>
            </w:pPr>
            <w:r>
              <w:rPr/>
              <w:t> </w:t>
            </w:r>
          </w:p>
        </w:tc>
      </w:tr>
      <w:tr>
        <w:trPr/>
        <w:tc>
          <w:tcPr>
            <w:tcW w:w="9187" w:type="dxa"/>
            <w:tcBorders/>
            <w:shd w:fill="auto" w:val="clear"/>
            <w:vAlign w:val="bottom"/>
          </w:tcPr>
          <w:p>
            <w:pPr>
              <w:pStyle w:val="TableContents"/>
              <w:spacing w:before="0" w:after="283"/>
              <w:rPr/>
            </w:pPr>
            <w:r>
              <w:rPr/>
              <w:t> </w:t>
            </w:r>
          </w:p>
        </w:tc>
        <w:tc>
          <w:tcPr>
            <w:tcW w:w="491" w:type="dxa"/>
            <w:tcBorders/>
            <w:shd w:fill="auto" w:val="clear"/>
            <w:vAlign w:val="bottom"/>
          </w:tcPr>
          <w:p>
            <w:pPr>
              <w:pStyle w:val="TableContents"/>
              <w:spacing w:before="0" w:after="283"/>
              <w:rPr/>
            </w:pPr>
            <w:r>
              <w:rPr/>
              <w:t> </w:t>
            </w:r>
          </w:p>
        </w:tc>
        <w:tc>
          <w:tcPr>
            <w:tcW w:w="527" w:type="dxa"/>
            <w:tcBorders>
              <w:bottom w:val="single" w:sz="2" w:space="0" w:color="000000"/>
            </w:tcBorders>
            <w:shd w:fill="auto" w:val="clear"/>
            <w:tcMar>
              <w:bottom w:w="28" w:type="dxa"/>
            </w:tcMar>
            <w:vAlign w:val="bottom"/>
          </w:tcPr>
          <w:p>
            <w:pPr>
              <w:pStyle w:val="TableContents"/>
              <w:spacing w:before="0" w:after="283"/>
              <w:jc w:val="center"/>
              <w:rPr>
                <w:b/>
              </w:rPr>
            </w:pPr>
            <w:r>
              <w:rPr>
                <w:b/>
              </w:rPr>
              <w:t>Page</w:t>
            </w:r>
          </w:p>
        </w:tc>
      </w:tr>
      <w:tr>
        <w:trPr/>
        <w:tc>
          <w:tcPr>
            <w:tcW w:w="9187" w:type="dxa"/>
            <w:tcBorders/>
            <w:shd w:fill="auto" w:val="clear"/>
          </w:tcPr>
          <w:p>
            <w:pPr>
              <w:pStyle w:val="TableContents"/>
              <w:spacing w:before="0" w:after="0"/>
              <w:ind w:left="0" w:right="0" w:hanging="0"/>
              <w:rPr/>
            </w:pPr>
            <w:r>
              <w:rPr/>
              <w:t xml:space="preserve">Unaudited Consolidated Balance Sheet as of September 30, 2006 </w:t>
            </w:r>
          </w:p>
        </w:tc>
        <w:tc>
          <w:tcPr>
            <w:tcW w:w="491" w:type="dxa"/>
            <w:tcBorders/>
            <w:shd w:fill="auto" w:val="clear"/>
            <w:vAlign w:val="bottom"/>
          </w:tcPr>
          <w:p>
            <w:pPr>
              <w:pStyle w:val="TableContents"/>
              <w:spacing w:before="0" w:after="283"/>
              <w:rPr/>
            </w:pPr>
            <w:r>
              <w:rPr/>
              <w:t> </w:t>
            </w:r>
          </w:p>
        </w:tc>
        <w:tc>
          <w:tcPr>
            <w:tcW w:w="527" w:type="dxa"/>
            <w:tcBorders/>
            <w:shd w:fill="auto" w:val="clear"/>
          </w:tcPr>
          <w:p>
            <w:pPr>
              <w:pStyle w:val="TableContents"/>
              <w:spacing w:before="0" w:after="283"/>
              <w:jc w:val="center"/>
              <w:rPr/>
            </w:pPr>
            <w:r>
              <w:rPr/>
              <w:t>F-2</w:t>
            </w:r>
          </w:p>
        </w:tc>
      </w:tr>
      <w:tr>
        <w:trPr/>
        <w:tc>
          <w:tcPr>
            <w:tcW w:w="9187" w:type="dxa"/>
            <w:tcBorders/>
            <w:shd w:fill="auto" w:val="clear"/>
          </w:tcPr>
          <w:p>
            <w:pPr>
              <w:pStyle w:val="TableContents"/>
              <w:spacing w:before="0" w:after="0"/>
              <w:ind w:left="0" w:right="0" w:hanging="0"/>
              <w:rPr/>
            </w:pPr>
            <w:r>
              <w:rPr/>
              <w:t xml:space="preserve">Unaudited Notes to the Consolidated Financial Statement </w:t>
            </w:r>
          </w:p>
        </w:tc>
        <w:tc>
          <w:tcPr>
            <w:tcW w:w="491" w:type="dxa"/>
            <w:tcBorders/>
            <w:shd w:fill="auto" w:val="clear"/>
            <w:vAlign w:val="bottom"/>
          </w:tcPr>
          <w:p>
            <w:pPr>
              <w:pStyle w:val="TableContents"/>
              <w:spacing w:before="0" w:after="283"/>
              <w:rPr/>
            </w:pPr>
            <w:r>
              <w:rPr/>
              <w:t> </w:t>
            </w:r>
          </w:p>
        </w:tc>
        <w:tc>
          <w:tcPr>
            <w:tcW w:w="527" w:type="dxa"/>
            <w:tcBorders/>
            <w:shd w:fill="auto" w:val="clear"/>
          </w:tcPr>
          <w:p>
            <w:pPr>
              <w:pStyle w:val="TableContents"/>
              <w:spacing w:before="0" w:after="283"/>
              <w:jc w:val="center"/>
              <w:rPr/>
            </w:pPr>
            <w:r>
              <w:rPr/>
              <w:t>F-3</w:t>
            </w:r>
          </w:p>
        </w:tc>
      </w:tr>
    </w:tbl>
    <w:p>
      <w:pPr>
        <w:pStyle w:val="TextBody"/>
        <w:jc w:val="center"/>
        <w:rPr>
          <w:rFonts w:ascii="Times New Roman;Times;serif" w:hAnsi="Times New Roman;Times;serif"/>
          <w:sz w:val="17"/>
        </w:rPr>
      </w:pPr>
      <w:r>
        <w:rPr>
          <w:rFonts w:ascii="Times New Roman;Times;serif" w:hAnsi="Times New Roman;Times;serif"/>
          <w:sz w:val="17"/>
        </w:rPr>
        <w:t xml:space="preserve">F-1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PLAINS AAP, L.P.</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CONSOLIDATED BALANCE SHEET</w:t>
        <w:br/>
        <w:t>(in millions)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7603"/>
        <w:gridCol w:w="420"/>
        <w:gridCol w:w="326"/>
        <w:gridCol w:w="1704"/>
        <w:gridCol w:w="152"/>
      </w:tblGrid>
      <w:tr>
        <w:trPr/>
        <w:tc>
          <w:tcPr>
            <w:tcW w:w="7603"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70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r>
      <w:tr>
        <w:trPr/>
        <w:tc>
          <w:tcPr>
            <w:tcW w:w="7603"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203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September 30, 2006</w:t>
            </w:r>
          </w:p>
        </w:tc>
        <w:tc>
          <w:tcPr>
            <w:tcW w:w="152" w:type="dxa"/>
            <w:tcBorders/>
            <w:shd w:fill="auto" w:val="clear"/>
            <w:vAlign w:val="bottom"/>
          </w:tcPr>
          <w:p>
            <w:pPr>
              <w:pStyle w:val="TableContents"/>
              <w:spacing w:before="0" w:after="283"/>
              <w:rPr/>
            </w:pPr>
            <w:r>
              <w:rPr/>
              <w:t> </w:t>
            </w:r>
          </w:p>
        </w:tc>
      </w:tr>
      <w:tr>
        <w:trPr/>
        <w:tc>
          <w:tcPr>
            <w:tcW w:w="7603"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2030" w:type="dxa"/>
            <w:gridSpan w:val="2"/>
            <w:tcBorders/>
            <w:shd w:fill="auto" w:val="clear"/>
            <w:vAlign w:val="bottom"/>
          </w:tcPr>
          <w:p>
            <w:pPr>
              <w:pStyle w:val="TableContents"/>
              <w:spacing w:before="0" w:after="283"/>
              <w:jc w:val="center"/>
              <w:rPr/>
            </w:pPr>
            <w:r>
              <w:rPr/>
              <w:t>(unaudited)</w:t>
            </w:r>
          </w:p>
        </w:tc>
        <w:tc>
          <w:tcPr>
            <w:tcW w:w="152" w:type="dxa"/>
            <w:tcBorders/>
            <w:shd w:fill="auto" w:val="clear"/>
            <w:vAlign w:val="bottom"/>
          </w:tcPr>
          <w:p>
            <w:pPr>
              <w:pStyle w:val="TableContents"/>
              <w:spacing w:before="0" w:after="283"/>
              <w:rPr/>
            </w:pPr>
            <w:r>
              <w:rPr/>
              <w:t> </w:t>
            </w:r>
          </w:p>
        </w:tc>
      </w:tr>
      <w:tr>
        <w:trPr/>
        <w:tc>
          <w:tcPr>
            <w:tcW w:w="7603" w:type="dxa"/>
            <w:tcBorders/>
            <w:shd w:fill="CCEEFF" w:val="clear"/>
            <w:vAlign w:val="bottom"/>
          </w:tcPr>
          <w:p>
            <w:pPr>
              <w:pStyle w:val="TableContents"/>
              <w:spacing w:before="0" w:after="0"/>
              <w:ind w:left="675" w:right="0" w:hanging="225"/>
              <w:jc w:val="center"/>
              <w:rPr>
                <w:b/>
              </w:rPr>
            </w:pPr>
            <w:r>
              <w:rPr>
                <w:b/>
              </w:rPr>
              <w:t>ASSETS</w:t>
            </w:r>
          </w:p>
        </w:tc>
        <w:tc>
          <w:tcPr>
            <w:tcW w:w="420"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704"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r>
      <w:tr>
        <w:trPr/>
        <w:tc>
          <w:tcPr>
            <w:tcW w:w="7603" w:type="dxa"/>
            <w:tcBorders/>
            <w:shd w:fill="auto" w:val="clear"/>
            <w:vAlign w:val="bottom"/>
          </w:tcPr>
          <w:p>
            <w:pPr>
              <w:pStyle w:val="TableContents"/>
              <w:spacing w:before="0" w:after="0"/>
              <w:ind w:left="225" w:right="0" w:hanging="225"/>
              <w:rPr/>
            </w:pPr>
            <w:r>
              <w:rPr/>
              <w:t> </w:t>
            </w:r>
          </w:p>
        </w:tc>
        <w:tc>
          <w:tcPr>
            <w:tcW w:w="420"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70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r>
      <w:tr>
        <w:trPr/>
        <w:tc>
          <w:tcPr>
            <w:tcW w:w="7603" w:type="dxa"/>
            <w:tcBorders/>
            <w:shd w:fill="auto" w:val="clear"/>
            <w:vAlign w:val="bottom"/>
          </w:tcPr>
          <w:p>
            <w:pPr>
              <w:pStyle w:val="TableContents"/>
              <w:spacing w:before="0" w:after="0"/>
              <w:ind w:left="225" w:right="0" w:hanging="225"/>
              <w:rPr>
                <w:b/>
              </w:rPr>
            </w:pPr>
            <w:r>
              <w:rPr>
                <w:b/>
              </w:rPr>
              <w:t>CURRENT ASSETS</w:t>
            </w:r>
          </w:p>
        </w:tc>
        <w:tc>
          <w:tcPr>
            <w:tcW w:w="420"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70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r>
      <w:tr>
        <w:trPr/>
        <w:tc>
          <w:tcPr>
            <w:tcW w:w="7603" w:type="dxa"/>
            <w:tcBorders/>
            <w:shd w:fill="CCEEFF" w:val="clear"/>
            <w:vAlign w:val="bottom"/>
          </w:tcPr>
          <w:p>
            <w:pPr>
              <w:pStyle w:val="TableContents"/>
              <w:spacing w:before="0" w:after="0"/>
              <w:ind w:left="225" w:right="0" w:hanging="225"/>
              <w:rPr/>
            </w:pPr>
            <w:r>
              <w:rPr/>
              <w:t>Cash and cash equivalents</w:t>
            </w:r>
          </w:p>
        </w:tc>
        <w:tc>
          <w:tcPr>
            <w:tcW w:w="420"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jc w:val="left"/>
              <w:rPr/>
            </w:pPr>
            <w:r>
              <w:rPr/>
              <w:t>$</w:t>
            </w:r>
          </w:p>
        </w:tc>
        <w:tc>
          <w:tcPr>
            <w:tcW w:w="1704" w:type="dxa"/>
            <w:tcBorders/>
            <w:shd w:fill="CCEEFF" w:val="clear"/>
            <w:vAlign w:val="bottom"/>
          </w:tcPr>
          <w:p>
            <w:pPr>
              <w:pStyle w:val="TableContents"/>
              <w:spacing w:before="0" w:after="283"/>
              <w:jc w:val="right"/>
              <w:rPr/>
            </w:pPr>
            <w:r>
              <w:rPr/>
              <w:t>11.0</w:t>
            </w:r>
          </w:p>
        </w:tc>
        <w:tc>
          <w:tcPr>
            <w:tcW w:w="152" w:type="dxa"/>
            <w:tcBorders/>
            <w:shd w:fill="CCEEFF" w:val="clear"/>
            <w:vAlign w:val="bottom"/>
          </w:tcPr>
          <w:p>
            <w:pPr>
              <w:pStyle w:val="TableContents"/>
              <w:spacing w:before="0" w:after="283"/>
              <w:rPr/>
            </w:pPr>
            <w:r>
              <w:rPr/>
              <w:t> </w:t>
            </w:r>
          </w:p>
        </w:tc>
      </w:tr>
      <w:tr>
        <w:trPr/>
        <w:tc>
          <w:tcPr>
            <w:tcW w:w="7603" w:type="dxa"/>
            <w:tcBorders/>
            <w:shd w:fill="auto" w:val="clear"/>
            <w:vAlign w:val="bottom"/>
          </w:tcPr>
          <w:p>
            <w:pPr>
              <w:pStyle w:val="TableContents"/>
              <w:spacing w:before="0" w:after="0"/>
              <w:ind w:left="225" w:right="0" w:hanging="225"/>
              <w:rPr/>
            </w:pPr>
            <w:r>
              <w:rPr/>
              <w:t>Trade accounts receivable and other receivables, net</w:t>
            </w:r>
          </w:p>
        </w:tc>
        <w:tc>
          <w:tcPr>
            <w:tcW w:w="420"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704" w:type="dxa"/>
            <w:tcBorders/>
            <w:shd w:fill="auto" w:val="clear"/>
            <w:vAlign w:val="bottom"/>
          </w:tcPr>
          <w:p>
            <w:pPr>
              <w:pStyle w:val="TableContents"/>
              <w:spacing w:before="0" w:after="283"/>
              <w:jc w:val="right"/>
              <w:rPr/>
            </w:pPr>
            <w:r>
              <w:rPr/>
              <w:t>1,441.5</w:t>
            </w:r>
          </w:p>
        </w:tc>
        <w:tc>
          <w:tcPr>
            <w:tcW w:w="152" w:type="dxa"/>
            <w:tcBorders/>
            <w:shd w:fill="auto" w:val="clear"/>
            <w:vAlign w:val="bottom"/>
          </w:tcPr>
          <w:p>
            <w:pPr>
              <w:pStyle w:val="TableContents"/>
              <w:spacing w:before="0" w:after="283"/>
              <w:rPr/>
            </w:pPr>
            <w:r>
              <w:rPr/>
              <w:t> </w:t>
            </w:r>
          </w:p>
        </w:tc>
      </w:tr>
      <w:tr>
        <w:trPr/>
        <w:tc>
          <w:tcPr>
            <w:tcW w:w="7603" w:type="dxa"/>
            <w:tcBorders/>
            <w:shd w:fill="CCEEFF" w:val="clear"/>
            <w:vAlign w:val="bottom"/>
          </w:tcPr>
          <w:p>
            <w:pPr>
              <w:pStyle w:val="TableContents"/>
              <w:spacing w:before="0" w:after="0"/>
              <w:ind w:left="225" w:right="0" w:hanging="225"/>
              <w:rPr/>
            </w:pPr>
            <w:r>
              <w:rPr/>
              <w:t>Inventory</w:t>
            </w:r>
          </w:p>
        </w:tc>
        <w:tc>
          <w:tcPr>
            <w:tcW w:w="420"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704" w:type="dxa"/>
            <w:tcBorders/>
            <w:shd w:fill="CCEEFF" w:val="clear"/>
            <w:vAlign w:val="bottom"/>
          </w:tcPr>
          <w:p>
            <w:pPr>
              <w:pStyle w:val="TableContents"/>
              <w:spacing w:before="0" w:after="283"/>
              <w:jc w:val="right"/>
              <w:rPr/>
            </w:pPr>
            <w:r>
              <w:rPr/>
              <w:t>1,351.5</w:t>
            </w:r>
          </w:p>
        </w:tc>
        <w:tc>
          <w:tcPr>
            <w:tcW w:w="152" w:type="dxa"/>
            <w:tcBorders/>
            <w:shd w:fill="CCEEFF" w:val="clear"/>
            <w:vAlign w:val="bottom"/>
          </w:tcPr>
          <w:p>
            <w:pPr>
              <w:pStyle w:val="TableContents"/>
              <w:spacing w:before="0" w:after="283"/>
              <w:rPr/>
            </w:pPr>
            <w:r>
              <w:rPr/>
              <w:t> </w:t>
            </w:r>
          </w:p>
        </w:tc>
      </w:tr>
      <w:tr>
        <w:trPr/>
        <w:tc>
          <w:tcPr>
            <w:tcW w:w="7603" w:type="dxa"/>
            <w:tcBorders/>
            <w:shd w:fill="auto" w:val="clear"/>
            <w:vAlign w:val="bottom"/>
          </w:tcPr>
          <w:p>
            <w:pPr>
              <w:pStyle w:val="TableContents"/>
              <w:spacing w:before="0" w:after="0"/>
              <w:ind w:left="225" w:right="0" w:hanging="225"/>
              <w:rPr/>
            </w:pPr>
            <w:r>
              <w:rPr/>
              <w:t>Other current assets</w:t>
            </w:r>
          </w:p>
        </w:tc>
        <w:tc>
          <w:tcPr>
            <w:tcW w:w="420"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704" w:type="dxa"/>
            <w:tcBorders/>
            <w:shd w:fill="auto" w:val="clear"/>
            <w:vAlign w:val="bottom"/>
          </w:tcPr>
          <w:p>
            <w:pPr>
              <w:pStyle w:val="TableContents"/>
              <w:spacing w:before="0" w:after="283"/>
              <w:jc w:val="right"/>
              <w:rPr/>
            </w:pPr>
            <w:r>
              <w:rPr/>
              <w:t>188.9</w:t>
            </w:r>
          </w:p>
        </w:tc>
        <w:tc>
          <w:tcPr>
            <w:tcW w:w="152" w:type="dxa"/>
            <w:tcBorders/>
            <w:shd w:fill="auto" w:val="clear"/>
            <w:vAlign w:val="bottom"/>
          </w:tcPr>
          <w:p>
            <w:pPr>
              <w:pStyle w:val="TableContents"/>
              <w:spacing w:before="0" w:after="283"/>
              <w:rPr/>
            </w:pPr>
            <w:r>
              <w:rPr/>
              <w:t> </w:t>
            </w:r>
          </w:p>
        </w:tc>
      </w:tr>
      <w:tr>
        <w:trPr/>
        <w:tc>
          <w:tcPr>
            <w:tcW w:w="7603" w:type="dxa"/>
            <w:tcBorders/>
            <w:shd w:fill="auto" w:val="clear"/>
            <w:vAlign w:val="center"/>
          </w:tcPr>
          <w:p>
            <w:pPr>
              <w:pStyle w:val="TableContents"/>
              <w:spacing w:before="0" w:after="0"/>
              <w:ind w:left="225" w:right="0" w:hanging="225"/>
              <w:rPr/>
            </w:pPr>
            <w:r>
              <w:rPr/>
              <w:t> </w:t>
            </w:r>
          </w:p>
        </w:tc>
        <w:tc>
          <w:tcPr>
            <w:tcW w:w="420" w:type="dxa"/>
            <w:tcBorders/>
            <w:shd w:fill="auto" w:val="clear"/>
            <w:vAlign w:val="center"/>
          </w:tcPr>
          <w:p>
            <w:pPr>
              <w:pStyle w:val="TableContents"/>
              <w:spacing w:before="0" w:after="283"/>
              <w:rPr/>
            </w:pPr>
            <w:r>
              <w:rPr/>
              <w:t> </w:t>
            </w:r>
          </w:p>
        </w:tc>
        <w:tc>
          <w:tcPr>
            <w:tcW w:w="20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2" w:type="dxa"/>
            <w:tcBorders/>
            <w:shd w:fill="auto" w:val="clear"/>
            <w:vAlign w:val="center"/>
          </w:tcPr>
          <w:p>
            <w:pPr>
              <w:pStyle w:val="TableContents"/>
              <w:spacing w:before="0" w:after="283"/>
              <w:rPr/>
            </w:pPr>
            <w:r>
              <w:rPr/>
              <w:t> </w:t>
            </w:r>
          </w:p>
        </w:tc>
      </w:tr>
      <w:tr>
        <w:trPr/>
        <w:tc>
          <w:tcPr>
            <w:tcW w:w="7603" w:type="dxa"/>
            <w:tcBorders/>
            <w:shd w:fill="CCEEFF" w:val="clear"/>
            <w:vAlign w:val="bottom"/>
          </w:tcPr>
          <w:p>
            <w:pPr>
              <w:pStyle w:val="TableContents"/>
              <w:spacing w:before="0" w:after="0"/>
              <w:ind w:left="450" w:right="0" w:hanging="225"/>
              <w:rPr/>
            </w:pPr>
            <w:r>
              <w:rPr/>
              <w:t>Total current assets</w:t>
            </w:r>
          </w:p>
        </w:tc>
        <w:tc>
          <w:tcPr>
            <w:tcW w:w="420"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704" w:type="dxa"/>
            <w:tcBorders/>
            <w:shd w:fill="CCEEFF" w:val="clear"/>
            <w:vAlign w:val="bottom"/>
          </w:tcPr>
          <w:p>
            <w:pPr>
              <w:pStyle w:val="TableContents"/>
              <w:spacing w:before="0" w:after="283"/>
              <w:jc w:val="right"/>
              <w:rPr/>
            </w:pPr>
            <w:r>
              <w:rPr/>
              <w:t>2,992.9</w:t>
            </w:r>
          </w:p>
        </w:tc>
        <w:tc>
          <w:tcPr>
            <w:tcW w:w="152" w:type="dxa"/>
            <w:tcBorders/>
            <w:shd w:fill="CCEEFF" w:val="clear"/>
            <w:vAlign w:val="bottom"/>
          </w:tcPr>
          <w:p>
            <w:pPr>
              <w:pStyle w:val="TableContents"/>
              <w:spacing w:before="0" w:after="283"/>
              <w:rPr/>
            </w:pPr>
            <w:r>
              <w:rPr/>
              <w:t> </w:t>
            </w:r>
          </w:p>
        </w:tc>
      </w:tr>
      <w:tr>
        <w:trPr/>
        <w:tc>
          <w:tcPr>
            <w:tcW w:w="7603" w:type="dxa"/>
            <w:tcBorders/>
            <w:shd w:fill="auto" w:val="clear"/>
            <w:vAlign w:val="center"/>
          </w:tcPr>
          <w:p>
            <w:pPr>
              <w:pStyle w:val="TableContents"/>
              <w:spacing w:before="0" w:after="0"/>
              <w:ind w:left="225" w:right="0" w:hanging="225"/>
              <w:rPr/>
            </w:pPr>
            <w:r>
              <w:rPr/>
              <w:t> </w:t>
            </w:r>
          </w:p>
        </w:tc>
        <w:tc>
          <w:tcPr>
            <w:tcW w:w="420" w:type="dxa"/>
            <w:tcBorders/>
            <w:shd w:fill="auto" w:val="clear"/>
            <w:vAlign w:val="center"/>
          </w:tcPr>
          <w:p>
            <w:pPr>
              <w:pStyle w:val="TableContents"/>
              <w:spacing w:before="0" w:after="283"/>
              <w:rPr/>
            </w:pPr>
            <w:r>
              <w:rPr/>
              <w:t> </w:t>
            </w:r>
          </w:p>
        </w:tc>
        <w:tc>
          <w:tcPr>
            <w:tcW w:w="20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2" w:type="dxa"/>
            <w:tcBorders/>
            <w:shd w:fill="auto" w:val="clear"/>
            <w:vAlign w:val="center"/>
          </w:tcPr>
          <w:p>
            <w:pPr>
              <w:pStyle w:val="TableContents"/>
              <w:spacing w:before="0" w:after="283"/>
              <w:rPr/>
            </w:pPr>
            <w:r>
              <w:rPr/>
              <w:t> </w:t>
            </w:r>
          </w:p>
        </w:tc>
      </w:tr>
      <w:tr>
        <w:trPr/>
        <w:tc>
          <w:tcPr>
            <w:tcW w:w="7603" w:type="dxa"/>
            <w:tcBorders/>
            <w:shd w:fill="auto" w:val="clear"/>
            <w:vAlign w:val="bottom"/>
          </w:tcPr>
          <w:p>
            <w:pPr>
              <w:pStyle w:val="TableContents"/>
              <w:spacing w:before="0" w:after="0"/>
              <w:ind w:left="225" w:right="0" w:hanging="225"/>
              <w:rPr/>
            </w:pPr>
            <w:r>
              <w:rPr/>
              <w:t> </w:t>
            </w:r>
          </w:p>
        </w:tc>
        <w:tc>
          <w:tcPr>
            <w:tcW w:w="420"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70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r>
      <w:tr>
        <w:trPr/>
        <w:tc>
          <w:tcPr>
            <w:tcW w:w="7603" w:type="dxa"/>
            <w:tcBorders/>
            <w:shd w:fill="auto" w:val="clear"/>
            <w:vAlign w:val="bottom"/>
          </w:tcPr>
          <w:p>
            <w:pPr>
              <w:pStyle w:val="TableContents"/>
              <w:spacing w:before="0" w:after="0"/>
              <w:ind w:left="225" w:right="0" w:hanging="225"/>
              <w:rPr>
                <w:b/>
              </w:rPr>
            </w:pPr>
            <w:r>
              <w:rPr>
                <w:b/>
              </w:rPr>
              <w:t>PROPERTY AND EQUIPMENT</w:t>
            </w:r>
          </w:p>
        </w:tc>
        <w:tc>
          <w:tcPr>
            <w:tcW w:w="420"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704" w:type="dxa"/>
            <w:tcBorders/>
            <w:shd w:fill="auto" w:val="clear"/>
            <w:vAlign w:val="bottom"/>
          </w:tcPr>
          <w:p>
            <w:pPr>
              <w:pStyle w:val="TableContents"/>
              <w:spacing w:before="0" w:after="283"/>
              <w:jc w:val="right"/>
              <w:rPr/>
            </w:pPr>
            <w:r>
              <w:rPr/>
              <w:t>2,722.9</w:t>
            </w:r>
          </w:p>
        </w:tc>
        <w:tc>
          <w:tcPr>
            <w:tcW w:w="152" w:type="dxa"/>
            <w:tcBorders/>
            <w:shd w:fill="auto" w:val="clear"/>
            <w:vAlign w:val="bottom"/>
          </w:tcPr>
          <w:p>
            <w:pPr>
              <w:pStyle w:val="TableContents"/>
              <w:spacing w:before="0" w:after="283"/>
              <w:rPr/>
            </w:pPr>
            <w:r>
              <w:rPr/>
              <w:t> </w:t>
            </w:r>
          </w:p>
        </w:tc>
      </w:tr>
      <w:tr>
        <w:trPr/>
        <w:tc>
          <w:tcPr>
            <w:tcW w:w="7603" w:type="dxa"/>
            <w:tcBorders/>
            <w:shd w:fill="CCEEFF" w:val="clear"/>
            <w:vAlign w:val="bottom"/>
          </w:tcPr>
          <w:p>
            <w:pPr>
              <w:pStyle w:val="TableContents"/>
              <w:spacing w:before="0" w:after="0"/>
              <w:ind w:left="225" w:right="0" w:hanging="225"/>
              <w:rPr/>
            </w:pPr>
            <w:r>
              <w:rPr/>
              <w:t>Accumulated depreciation</w:t>
            </w:r>
          </w:p>
        </w:tc>
        <w:tc>
          <w:tcPr>
            <w:tcW w:w="420"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jc w:val="left"/>
              <w:rPr/>
            </w:pPr>
            <w:r>
              <w:rPr/>
              <w:t> </w:t>
            </w:r>
          </w:p>
        </w:tc>
        <w:tc>
          <w:tcPr>
            <w:tcW w:w="1704" w:type="dxa"/>
            <w:tcBorders/>
            <w:shd w:fill="CCEEFF" w:val="clear"/>
            <w:vAlign w:val="bottom"/>
          </w:tcPr>
          <w:p>
            <w:pPr>
              <w:pStyle w:val="TableContents"/>
              <w:spacing w:before="0" w:after="283"/>
              <w:jc w:val="right"/>
              <w:rPr/>
            </w:pPr>
            <w:r>
              <w:rPr/>
              <w:t>(330.2</w:t>
            </w:r>
          </w:p>
        </w:tc>
        <w:tc>
          <w:tcPr>
            <w:tcW w:w="152" w:type="dxa"/>
            <w:tcBorders/>
            <w:shd w:fill="CCEEFF" w:val="clear"/>
            <w:vAlign w:val="bottom"/>
          </w:tcPr>
          <w:p>
            <w:pPr>
              <w:pStyle w:val="TableContents"/>
              <w:spacing w:before="0" w:after="283"/>
              <w:rPr/>
            </w:pPr>
            <w:r>
              <w:rPr/>
              <w:t>)</w:t>
            </w:r>
          </w:p>
        </w:tc>
      </w:tr>
      <w:tr>
        <w:trPr/>
        <w:tc>
          <w:tcPr>
            <w:tcW w:w="7603" w:type="dxa"/>
            <w:tcBorders/>
            <w:shd w:fill="auto" w:val="clear"/>
            <w:vAlign w:val="center"/>
          </w:tcPr>
          <w:p>
            <w:pPr>
              <w:pStyle w:val="TableContents"/>
              <w:spacing w:before="0" w:after="0"/>
              <w:ind w:left="225" w:right="0" w:hanging="225"/>
              <w:rPr/>
            </w:pPr>
            <w:r>
              <w:rPr/>
              <w:t> </w:t>
            </w:r>
          </w:p>
        </w:tc>
        <w:tc>
          <w:tcPr>
            <w:tcW w:w="420" w:type="dxa"/>
            <w:tcBorders/>
            <w:shd w:fill="auto" w:val="clear"/>
            <w:vAlign w:val="center"/>
          </w:tcPr>
          <w:p>
            <w:pPr>
              <w:pStyle w:val="TableContents"/>
              <w:spacing w:before="0" w:after="283"/>
              <w:rPr/>
            </w:pPr>
            <w:r>
              <w:rPr/>
              <w:t> </w:t>
            </w:r>
          </w:p>
        </w:tc>
        <w:tc>
          <w:tcPr>
            <w:tcW w:w="20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2" w:type="dxa"/>
            <w:tcBorders/>
            <w:shd w:fill="auto" w:val="clear"/>
            <w:vAlign w:val="center"/>
          </w:tcPr>
          <w:p>
            <w:pPr>
              <w:pStyle w:val="TableContents"/>
              <w:spacing w:before="0" w:after="283"/>
              <w:rPr/>
            </w:pPr>
            <w:r>
              <w:rPr/>
              <w:t> </w:t>
            </w:r>
          </w:p>
        </w:tc>
      </w:tr>
      <w:tr>
        <w:trPr/>
        <w:tc>
          <w:tcPr>
            <w:tcW w:w="7603" w:type="dxa"/>
            <w:tcBorders/>
            <w:shd w:fill="auto" w:val="clear"/>
            <w:vAlign w:val="bottom"/>
          </w:tcPr>
          <w:p>
            <w:pPr>
              <w:pStyle w:val="TableContents"/>
              <w:spacing w:before="0" w:after="0"/>
              <w:ind w:left="225" w:right="0" w:hanging="225"/>
              <w:rPr/>
            </w:pPr>
            <w:r>
              <w:rPr/>
              <w:t> </w:t>
            </w:r>
          </w:p>
        </w:tc>
        <w:tc>
          <w:tcPr>
            <w:tcW w:w="420"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704" w:type="dxa"/>
            <w:tcBorders/>
            <w:shd w:fill="auto" w:val="clear"/>
            <w:vAlign w:val="bottom"/>
          </w:tcPr>
          <w:p>
            <w:pPr>
              <w:pStyle w:val="TableContents"/>
              <w:spacing w:before="0" w:after="283"/>
              <w:jc w:val="right"/>
              <w:rPr/>
            </w:pPr>
            <w:r>
              <w:rPr/>
              <w:t>2,392.7</w:t>
            </w:r>
          </w:p>
        </w:tc>
        <w:tc>
          <w:tcPr>
            <w:tcW w:w="152" w:type="dxa"/>
            <w:tcBorders/>
            <w:shd w:fill="auto" w:val="clear"/>
            <w:vAlign w:val="bottom"/>
          </w:tcPr>
          <w:p>
            <w:pPr>
              <w:pStyle w:val="TableContents"/>
              <w:spacing w:before="0" w:after="283"/>
              <w:rPr/>
            </w:pPr>
            <w:r>
              <w:rPr/>
              <w:t> </w:t>
            </w:r>
          </w:p>
        </w:tc>
      </w:tr>
      <w:tr>
        <w:trPr/>
        <w:tc>
          <w:tcPr>
            <w:tcW w:w="7603" w:type="dxa"/>
            <w:tcBorders/>
            <w:shd w:fill="auto" w:val="clear"/>
            <w:vAlign w:val="center"/>
          </w:tcPr>
          <w:p>
            <w:pPr>
              <w:pStyle w:val="TableContents"/>
              <w:spacing w:before="0" w:after="0"/>
              <w:ind w:left="225" w:right="0" w:hanging="225"/>
              <w:rPr/>
            </w:pPr>
            <w:r>
              <w:rPr/>
              <w:t> </w:t>
            </w:r>
          </w:p>
        </w:tc>
        <w:tc>
          <w:tcPr>
            <w:tcW w:w="420" w:type="dxa"/>
            <w:tcBorders/>
            <w:shd w:fill="auto" w:val="clear"/>
            <w:vAlign w:val="center"/>
          </w:tcPr>
          <w:p>
            <w:pPr>
              <w:pStyle w:val="TableContents"/>
              <w:spacing w:before="0" w:after="283"/>
              <w:rPr/>
            </w:pPr>
            <w:r>
              <w:rPr/>
              <w:t> </w:t>
            </w:r>
          </w:p>
        </w:tc>
        <w:tc>
          <w:tcPr>
            <w:tcW w:w="20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2" w:type="dxa"/>
            <w:tcBorders/>
            <w:shd w:fill="auto" w:val="clear"/>
            <w:vAlign w:val="center"/>
          </w:tcPr>
          <w:p>
            <w:pPr>
              <w:pStyle w:val="TableContents"/>
              <w:spacing w:before="0" w:after="283"/>
              <w:rPr/>
            </w:pPr>
            <w:r>
              <w:rPr/>
              <w:t> </w:t>
            </w:r>
          </w:p>
        </w:tc>
      </w:tr>
      <w:tr>
        <w:trPr/>
        <w:tc>
          <w:tcPr>
            <w:tcW w:w="7603" w:type="dxa"/>
            <w:tcBorders/>
            <w:shd w:fill="auto" w:val="clear"/>
            <w:vAlign w:val="bottom"/>
          </w:tcPr>
          <w:p>
            <w:pPr>
              <w:pStyle w:val="TableContents"/>
              <w:spacing w:before="0" w:after="0"/>
              <w:ind w:left="225" w:right="0" w:hanging="225"/>
              <w:rPr/>
            </w:pPr>
            <w:r>
              <w:rPr/>
              <w:t> </w:t>
            </w:r>
          </w:p>
        </w:tc>
        <w:tc>
          <w:tcPr>
            <w:tcW w:w="420"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70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r>
      <w:tr>
        <w:trPr/>
        <w:tc>
          <w:tcPr>
            <w:tcW w:w="7603" w:type="dxa"/>
            <w:tcBorders/>
            <w:shd w:fill="CCEEFF" w:val="clear"/>
            <w:vAlign w:val="bottom"/>
          </w:tcPr>
          <w:p>
            <w:pPr>
              <w:pStyle w:val="TableContents"/>
              <w:spacing w:before="0" w:after="0"/>
              <w:ind w:left="225" w:right="0" w:hanging="225"/>
              <w:rPr>
                <w:b/>
              </w:rPr>
            </w:pPr>
            <w:r>
              <w:rPr>
                <w:b/>
              </w:rPr>
              <w:t>OTHER ASSETS</w:t>
            </w:r>
          </w:p>
        </w:tc>
        <w:tc>
          <w:tcPr>
            <w:tcW w:w="420"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704"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r>
      <w:tr>
        <w:trPr/>
        <w:tc>
          <w:tcPr>
            <w:tcW w:w="7603" w:type="dxa"/>
            <w:tcBorders/>
            <w:shd w:fill="auto" w:val="clear"/>
            <w:vAlign w:val="bottom"/>
          </w:tcPr>
          <w:p>
            <w:pPr>
              <w:pStyle w:val="TableContents"/>
              <w:spacing w:before="0" w:after="0"/>
              <w:ind w:left="225" w:right="0" w:hanging="225"/>
              <w:rPr/>
            </w:pPr>
            <w:r>
              <w:rPr/>
              <w:t>Pipeline linefill in owned assets</w:t>
            </w:r>
          </w:p>
        </w:tc>
        <w:tc>
          <w:tcPr>
            <w:tcW w:w="420"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704" w:type="dxa"/>
            <w:tcBorders/>
            <w:shd w:fill="auto" w:val="clear"/>
            <w:vAlign w:val="bottom"/>
          </w:tcPr>
          <w:p>
            <w:pPr>
              <w:pStyle w:val="TableContents"/>
              <w:spacing w:before="0" w:after="283"/>
              <w:jc w:val="right"/>
              <w:rPr/>
            </w:pPr>
            <w:r>
              <w:rPr/>
              <w:t>204.1</w:t>
            </w:r>
          </w:p>
        </w:tc>
        <w:tc>
          <w:tcPr>
            <w:tcW w:w="152" w:type="dxa"/>
            <w:tcBorders/>
            <w:shd w:fill="auto" w:val="clear"/>
            <w:vAlign w:val="bottom"/>
          </w:tcPr>
          <w:p>
            <w:pPr>
              <w:pStyle w:val="TableContents"/>
              <w:spacing w:before="0" w:after="283"/>
              <w:rPr/>
            </w:pPr>
            <w:r>
              <w:rPr/>
              <w:t> </w:t>
            </w:r>
          </w:p>
        </w:tc>
      </w:tr>
      <w:tr>
        <w:trPr/>
        <w:tc>
          <w:tcPr>
            <w:tcW w:w="7603" w:type="dxa"/>
            <w:tcBorders/>
            <w:shd w:fill="CCEEFF" w:val="clear"/>
            <w:vAlign w:val="bottom"/>
          </w:tcPr>
          <w:p>
            <w:pPr>
              <w:pStyle w:val="TableContents"/>
              <w:spacing w:before="0" w:after="0"/>
              <w:ind w:left="225" w:right="0" w:hanging="225"/>
              <w:rPr/>
            </w:pPr>
            <w:r>
              <w:rPr/>
              <w:t>Inventory in third party assets</w:t>
            </w:r>
          </w:p>
        </w:tc>
        <w:tc>
          <w:tcPr>
            <w:tcW w:w="420"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704" w:type="dxa"/>
            <w:tcBorders/>
            <w:shd w:fill="CCEEFF" w:val="clear"/>
            <w:vAlign w:val="bottom"/>
          </w:tcPr>
          <w:p>
            <w:pPr>
              <w:pStyle w:val="TableContents"/>
              <w:spacing w:before="0" w:after="283"/>
              <w:jc w:val="right"/>
              <w:rPr/>
            </w:pPr>
            <w:r>
              <w:rPr/>
              <w:t>77.0</w:t>
            </w:r>
          </w:p>
        </w:tc>
        <w:tc>
          <w:tcPr>
            <w:tcW w:w="152" w:type="dxa"/>
            <w:tcBorders/>
            <w:shd w:fill="CCEEFF" w:val="clear"/>
            <w:vAlign w:val="bottom"/>
          </w:tcPr>
          <w:p>
            <w:pPr>
              <w:pStyle w:val="TableContents"/>
              <w:spacing w:before="0" w:after="283"/>
              <w:rPr/>
            </w:pPr>
            <w:r>
              <w:rPr/>
              <w:t> </w:t>
            </w:r>
          </w:p>
        </w:tc>
      </w:tr>
      <w:tr>
        <w:trPr/>
        <w:tc>
          <w:tcPr>
            <w:tcW w:w="7603" w:type="dxa"/>
            <w:tcBorders/>
            <w:shd w:fill="auto" w:val="clear"/>
            <w:vAlign w:val="bottom"/>
          </w:tcPr>
          <w:p>
            <w:pPr>
              <w:pStyle w:val="TableContents"/>
              <w:spacing w:before="0" w:after="0"/>
              <w:ind w:left="225" w:right="0" w:hanging="225"/>
              <w:rPr/>
            </w:pPr>
            <w:r>
              <w:rPr/>
              <w:t>Investment in PAA/Vulcan Gas Storage, LLC</w:t>
            </w:r>
          </w:p>
        </w:tc>
        <w:tc>
          <w:tcPr>
            <w:tcW w:w="420"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704" w:type="dxa"/>
            <w:tcBorders/>
            <w:shd w:fill="auto" w:val="clear"/>
            <w:vAlign w:val="bottom"/>
          </w:tcPr>
          <w:p>
            <w:pPr>
              <w:pStyle w:val="TableContents"/>
              <w:spacing w:before="0" w:after="283"/>
              <w:jc w:val="right"/>
              <w:rPr/>
            </w:pPr>
            <w:r>
              <w:rPr/>
              <w:t>125.7</w:t>
            </w:r>
          </w:p>
        </w:tc>
        <w:tc>
          <w:tcPr>
            <w:tcW w:w="152" w:type="dxa"/>
            <w:tcBorders/>
            <w:shd w:fill="auto" w:val="clear"/>
            <w:vAlign w:val="bottom"/>
          </w:tcPr>
          <w:p>
            <w:pPr>
              <w:pStyle w:val="TableContents"/>
              <w:spacing w:before="0" w:after="283"/>
              <w:rPr/>
            </w:pPr>
            <w:r>
              <w:rPr/>
              <w:t> </w:t>
            </w:r>
          </w:p>
        </w:tc>
      </w:tr>
      <w:tr>
        <w:trPr/>
        <w:tc>
          <w:tcPr>
            <w:tcW w:w="7603" w:type="dxa"/>
            <w:tcBorders/>
            <w:shd w:fill="CCEEFF" w:val="clear"/>
            <w:vAlign w:val="bottom"/>
          </w:tcPr>
          <w:p>
            <w:pPr>
              <w:pStyle w:val="TableContents"/>
              <w:spacing w:before="0" w:after="0"/>
              <w:ind w:left="225" w:right="0" w:hanging="225"/>
              <w:rPr/>
            </w:pPr>
            <w:r>
              <w:rPr/>
              <w:t>Goodwill</w:t>
            </w:r>
          </w:p>
        </w:tc>
        <w:tc>
          <w:tcPr>
            <w:tcW w:w="420"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704" w:type="dxa"/>
            <w:tcBorders/>
            <w:shd w:fill="CCEEFF" w:val="clear"/>
            <w:vAlign w:val="bottom"/>
          </w:tcPr>
          <w:p>
            <w:pPr>
              <w:pStyle w:val="TableContents"/>
              <w:spacing w:before="0" w:after="283"/>
              <w:jc w:val="right"/>
              <w:rPr/>
            </w:pPr>
            <w:r>
              <w:rPr/>
              <w:t>183.3</w:t>
            </w:r>
          </w:p>
        </w:tc>
        <w:tc>
          <w:tcPr>
            <w:tcW w:w="152" w:type="dxa"/>
            <w:tcBorders/>
            <w:shd w:fill="CCEEFF" w:val="clear"/>
            <w:vAlign w:val="bottom"/>
          </w:tcPr>
          <w:p>
            <w:pPr>
              <w:pStyle w:val="TableContents"/>
              <w:spacing w:before="0" w:after="283"/>
              <w:rPr/>
            </w:pPr>
            <w:r>
              <w:rPr/>
              <w:t> </w:t>
            </w:r>
          </w:p>
        </w:tc>
      </w:tr>
      <w:tr>
        <w:trPr/>
        <w:tc>
          <w:tcPr>
            <w:tcW w:w="7603" w:type="dxa"/>
            <w:tcBorders/>
            <w:shd w:fill="auto" w:val="clear"/>
            <w:vAlign w:val="bottom"/>
          </w:tcPr>
          <w:p>
            <w:pPr>
              <w:pStyle w:val="TableContents"/>
              <w:spacing w:before="0" w:after="0"/>
              <w:ind w:left="225" w:right="0" w:hanging="225"/>
              <w:rPr/>
            </w:pPr>
            <w:r>
              <w:rPr/>
              <w:t>Other, net</w:t>
            </w:r>
          </w:p>
        </w:tc>
        <w:tc>
          <w:tcPr>
            <w:tcW w:w="420"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704" w:type="dxa"/>
            <w:tcBorders/>
            <w:shd w:fill="auto" w:val="clear"/>
            <w:vAlign w:val="bottom"/>
          </w:tcPr>
          <w:p>
            <w:pPr>
              <w:pStyle w:val="TableContents"/>
              <w:spacing w:before="0" w:after="283"/>
              <w:jc w:val="right"/>
              <w:rPr/>
            </w:pPr>
            <w:r>
              <w:rPr/>
              <w:t>106.6</w:t>
            </w:r>
          </w:p>
        </w:tc>
        <w:tc>
          <w:tcPr>
            <w:tcW w:w="152" w:type="dxa"/>
            <w:tcBorders/>
            <w:shd w:fill="auto" w:val="clear"/>
            <w:vAlign w:val="bottom"/>
          </w:tcPr>
          <w:p>
            <w:pPr>
              <w:pStyle w:val="TableContents"/>
              <w:spacing w:before="0" w:after="283"/>
              <w:rPr/>
            </w:pPr>
            <w:r>
              <w:rPr/>
              <w:t> </w:t>
            </w:r>
          </w:p>
        </w:tc>
      </w:tr>
      <w:tr>
        <w:trPr/>
        <w:tc>
          <w:tcPr>
            <w:tcW w:w="7603" w:type="dxa"/>
            <w:tcBorders/>
            <w:shd w:fill="auto" w:val="clear"/>
            <w:vAlign w:val="center"/>
          </w:tcPr>
          <w:p>
            <w:pPr>
              <w:pStyle w:val="TableContents"/>
              <w:spacing w:before="0" w:after="0"/>
              <w:ind w:left="225" w:right="0" w:hanging="225"/>
              <w:rPr/>
            </w:pPr>
            <w:r>
              <w:rPr/>
              <w:t> </w:t>
            </w:r>
          </w:p>
        </w:tc>
        <w:tc>
          <w:tcPr>
            <w:tcW w:w="420" w:type="dxa"/>
            <w:tcBorders/>
            <w:shd w:fill="auto" w:val="clear"/>
            <w:vAlign w:val="center"/>
          </w:tcPr>
          <w:p>
            <w:pPr>
              <w:pStyle w:val="TableContents"/>
              <w:spacing w:before="0" w:after="283"/>
              <w:rPr/>
            </w:pPr>
            <w:r>
              <w:rPr/>
              <w:t> </w:t>
            </w:r>
          </w:p>
        </w:tc>
        <w:tc>
          <w:tcPr>
            <w:tcW w:w="20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2" w:type="dxa"/>
            <w:tcBorders/>
            <w:shd w:fill="auto" w:val="clear"/>
            <w:vAlign w:val="center"/>
          </w:tcPr>
          <w:p>
            <w:pPr>
              <w:pStyle w:val="TableContents"/>
              <w:spacing w:before="0" w:after="283"/>
              <w:rPr/>
            </w:pPr>
            <w:r>
              <w:rPr/>
              <w:t> </w:t>
            </w:r>
          </w:p>
        </w:tc>
      </w:tr>
      <w:tr>
        <w:trPr/>
        <w:tc>
          <w:tcPr>
            <w:tcW w:w="7603" w:type="dxa"/>
            <w:tcBorders/>
            <w:shd w:fill="CCEEFF" w:val="clear"/>
            <w:vAlign w:val="bottom"/>
          </w:tcPr>
          <w:p>
            <w:pPr>
              <w:pStyle w:val="TableContents"/>
              <w:spacing w:before="0" w:after="0"/>
              <w:ind w:left="450" w:right="0" w:hanging="225"/>
              <w:rPr/>
            </w:pPr>
            <w:r>
              <w:rPr/>
              <w:t>Total assets</w:t>
            </w:r>
          </w:p>
        </w:tc>
        <w:tc>
          <w:tcPr>
            <w:tcW w:w="420"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jc w:val="left"/>
              <w:rPr/>
            </w:pPr>
            <w:r>
              <w:rPr/>
              <w:t>$</w:t>
            </w:r>
          </w:p>
        </w:tc>
        <w:tc>
          <w:tcPr>
            <w:tcW w:w="1704" w:type="dxa"/>
            <w:tcBorders/>
            <w:shd w:fill="CCEEFF" w:val="clear"/>
            <w:vAlign w:val="bottom"/>
          </w:tcPr>
          <w:p>
            <w:pPr>
              <w:pStyle w:val="TableContents"/>
              <w:spacing w:before="0" w:after="283"/>
              <w:jc w:val="right"/>
              <w:rPr/>
            </w:pPr>
            <w:r>
              <w:rPr/>
              <w:t>6,082.3</w:t>
            </w:r>
          </w:p>
        </w:tc>
        <w:tc>
          <w:tcPr>
            <w:tcW w:w="152" w:type="dxa"/>
            <w:tcBorders/>
            <w:shd w:fill="CCEEFF" w:val="clear"/>
            <w:vAlign w:val="bottom"/>
          </w:tcPr>
          <w:p>
            <w:pPr>
              <w:pStyle w:val="TableContents"/>
              <w:spacing w:before="0" w:after="283"/>
              <w:rPr/>
            </w:pPr>
            <w:r>
              <w:rPr/>
              <w:t> </w:t>
            </w:r>
          </w:p>
        </w:tc>
      </w:tr>
      <w:tr>
        <w:trPr/>
        <w:tc>
          <w:tcPr>
            <w:tcW w:w="7603" w:type="dxa"/>
            <w:tcBorders/>
            <w:shd w:fill="auto" w:val="clear"/>
            <w:vAlign w:val="center"/>
          </w:tcPr>
          <w:p>
            <w:pPr>
              <w:pStyle w:val="TableContents"/>
              <w:spacing w:before="0" w:after="0"/>
              <w:ind w:left="225" w:right="0" w:hanging="225"/>
              <w:rPr/>
            </w:pPr>
            <w:r>
              <w:rPr/>
              <w:t> </w:t>
            </w:r>
          </w:p>
        </w:tc>
        <w:tc>
          <w:tcPr>
            <w:tcW w:w="420" w:type="dxa"/>
            <w:tcBorders/>
            <w:shd w:fill="auto" w:val="clear"/>
            <w:vAlign w:val="center"/>
          </w:tcPr>
          <w:p>
            <w:pPr>
              <w:pStyle w:val="TableContents"/>
              <w:spacing w:before="0" w:after="283"/>
              <w:rPr/>
            </w:pPr>
            <w:r>
              <w:rPr/>
              <w:t> </w:t>
            </w:r>
          </w:p>
        </w:tc>
        <w:tc>
          <w:tcPr>
            <w:tcW w:w="203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2" w:type="dxa"/>
            <w:tcBorders/>
            <w:shd w:fill="auto" w:val="clear"/>
            <w:vAlign w:val="center"/>
          </w:tcPr>
          <w:p>
            <w:pPr>
              <w:pStyle w:val="TableContents"/>
              <w:spacing w:before="0" w:after="283"/>
              <w:rPr/>
            </w:pPr>
            <w:r>
              <w:rPr/>
              <w:t> </w:t>
            </w:r>
          </w:p>
        </w:tc>
      </w:tr>
      <w:tr>
        <w:trPr/>
        <w:tc>
          <w:tcPr>
            <w:tcW w:w="7603" w:type="dxa"/>
            <w:tcBorders/>
            <w:shd w:fill="auto" w:val="clear"/>
            <w:vAlign w:val="bottom"/>
          </w:tcPr>
          <w:p>
            <w:pPr>
              <w:pStyle w:val="TableContents"/>
              <w:spacing w:before="0" w:after="0"/>
              <w:ind w:left="225" w:right="0" w:hanging="225"/>
              <w:rPr/>
            </w:pPr>
            <w:r>
              <w:rPr/>
              <w:t> </w:t>
            </w:r>
          </w:p>
        </w:tc>
        <w:tc>
          <w:tcPr>
            <w:tcW w:w="420"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70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r>
      <w:tr>
        <w:trPr/>
        <w:tc>
          <w:tcPr>
            <w:tcW w:w="7603" w:type="dxa"/>
            <w:tcBorders/>
            <w:shd w:fill="auto" w:val="clear"/>
            <w:vAlign w:val="bottom"/>
          </w:tcPr>
          <w:p>
            <w:pPr>
              <w:pStyle w:val="TableContents"/>
              <w:spacing w:before="0" w:after="0"/>
              <w:ind w:left="450" w:right="0" w:hanging="225"/>
              <w:jc w:val="center"/>
              <w:rPr>
                <w:b/>
              </w:rPr>
            </w:pPr>
            <w:r>
              <w:rPr>
                <w:b/>
              </w:rPr>
              <w:t>LIABILITIES AND PARTNERS CAPITAL</w:t>
            </w:r>
          </w:p>
        </w:tc>
        <w:tc>
          <w:tcPr>
            <w:tcW w:w="420"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70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r>
      <w:tr>
        <w:trPr/>
        <w:tc>
          <w:tcPr>
            <w:tcW w:w="7603" w:type="dxa"/>
            <w:tcBorders/>
            <w:shd w:fill="auto" w:val="clear"/>
            <w:vAlign w:val="bottom"/>
          </w:tcPr>
          <w:p>
            <w:pPr>
              <w:pStyle w:val="TableContents"/>
              <w:spacing w:before="0" w:after="0"/>
              <w:ind w:left="225" w:right="0" w:hanging="225"/>
              <w:rPr/>
            </w:pPr>
            <w:r>
              <w:rPr/>
              <w:t> </w:t>
            </w:r>
          </w:p>
        </w:tc>
        <w:tc>
          <w:tcPr>
            <w:tcW w:w="420"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70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r>
      <w:tr>
        <w:trPr/>
        <w:tc>
          <w:tcPr>
            <w:tcW w:w="7603" w:type="dxa"/>
            <w:tcBorders/>
            <w:shd w:fill="CCEEFF" w:val="clear"/>
            <w:vAlign w:val="bottom"/>
          </w:tcPr>
          <w:p>
            <w:pPr>
              <w:pStyle w:val="TableContents"/>
              <w:spacing w:before="0" w:after="0"/>
              <w:ind w:left="225" w:right="0" w:hanging="225"/>
              <w:rPr>
                <w:b/>
              </w:rPr>
            </w:pPr>
            <w:r>
              <w:rPr>
                <w:b/>
              </w:rPr>
              <w:t>CURRENT LIABILITIES</w:t>
            </w:r>
          </w:p>
        </w:tc>
        <w:tc>
          <w:tcPr>
            <w:tcW w:w="420"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704"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r>
      <w:tr>
        <w:trPr/>
        <w:tc>
          <w:tcPr>
            <w:tcW w:w="7603" w:type="dxa"/>
            <w:tcBorders/>
            <w:shd w:fill="auto" w:val="clear"/>
            <w:vAlign w:val="bottom"/>
          </w:tcPr>
          <w:p>
            <w:pPr>
              <w:pStyle w:val="TableContents"/>
              <w:spacing w:before="0" w:after="0"/>
              <w:ind w:left="225" w:right="0" w:hanging="225"/>
              <w:rPr/>
            </w:pPr>
            <w:r>
              <w:rPr/>
              <w:t>Accounts payable</w:t>
            </w:r>
          </w:p>
        </w:tc>
        <w:tc>
          <w:tcPr>
            <w:tcW w:w="420"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jc w:val="left"/>
              <w:rPr/>
            </w:pPr>
            <w:r>
              <w:rPr/>
              <w:t>$</w:t>
            </w:r>
          </w:p>
        </w:tc>
        <w:tc>
          <w:tcPr>
            <w:tcW w:w="1704" w:type="dxa"/>
            <w:tcBorders/>
            <w:shd w:fill="auto" w:val="clear"/>
            <w:vAlign w:val="bottom"/>
          </w:tcPr>
          <w:p>
            <w:pPr>
              <w:pStyle w:val="TableContents"/>
              <w:spacing w:before="0" w:after="283"/>
              <w:jc w:val="right"/>
              <w:rPr/>
            </w:pPr>
            <w:r>
              <w:rPr/>
              <w:t>1,822.9</w:t>
            </w:r>
          </w:p>
        </w:tc>
        <w:tc>
          <w:tcPr>
            <w:tcW w:w="152" w:type="dxa"/>
            <w:tcBorders/>
            <w:shd w:fill="auto" w:val="clear"/>
            <w:vAlign w:val="bottom"/>
          </w:tcPr>
          <w:p>
            <w:pPr>
              <w:pStyle w:val="TableContents"/>
              <w:spacing w:before="0" w:after="283"/>
              <w:rPr/>
            </w:pPr>
            <w:r>
              <w:rPr/>
              <w:t> </w:t>
            </w:r>
          </w:p>
        </w:tc>
      </w:tr>
      <w:tr>
        <w:trPr/>
        <w:tc>
          <w:tcPr>
            <w:tcW w:w="7603" w:type="dxa"/>
            <w:tcBorders/>
            <w:shd w:fill="CCEEFF" w:val="clear"/>
            <w:vAlign w:val="bottom"/>
          </w:tcPr>
          <w:p>
            <w:pPr>
              <w:pStyle w:val="TableContents"/>
              <w:spacing w:before="0" w:after="0"/>
              <w:ind w:left="225" w:right="0" w:hanging="225"/>
              <w:rPr/>
            </w:pPr>
            <w:r>
              <w:rPr/>
              <w:t>Due to related parties</w:t>
            </w:r>
          </w:p>
        </w:tc>
        <w:tc>
          <w:tcPr>
            <w:tcW w:w="420"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704" w:type="dxa"/>
            <w:tcBorders/>
            <w:shd w:fill="CCEEFF" w:val="clear"/>
            <w:vAlign w:val="bottom"/>
          </w:tcPr>
          <w:p>
            <w:pPr>
              <w:pStyle w:val="TableContents"/>
              <w:spacing w:before="0" w:after="283"/>
              <w:jc w:val="right"/>
              <w:rPr/>
            </w:pPr>
            <w:r>
              <w:rPr/>
              <w:t>7.9</w:t>
            </w:r>
          </w:p>
        </w:tc>
        <w:tc>
          <w:tcPr>
            <w:tcW w:w="152" w:type="dxa"/>
            <w:tcBorders/>
            <w:shd w:fill="CCEEFF" w:val="clear"/>
            <w:vAlign w:val="bottom"/>
          </w:tcPr>
          <w:p>
            <w:pPr>
              <w:pStyle w:val="TableContents"/>
              <w:spacing w:before="0" w:after="283"/>
              <w:rPr/>
            </w:pPr>
            <w:r>
              <w:rPr/>
              <w:t> </w:t>
            </w:r>
          </w:p>
        </w:tc>
      </w:tr>
      <w:tr>
        <w:trPr/>
        <w:tc>
          <w:tcPr>
            <w:tcW w:w="7603" w:type="dxa"/>
            <w:tcBorders/>
            <w:shd w:fill="auto" w:val="clear"/>
            <w:vAlign w:val="bottom"/>
          </w:tcPr>
          <w:p>
            <w:pPr>
              <w:pStyle w:val="TableContents"/>
              <w:spacing w:before="0" w:after="0"/>
              <w:ind w:left="225" w:right="0" w:hanging="225"/>
              <w:rPr/>
            </w:pPr>
            <w:r>
              <w:rPr/>
              <w:t>Short-term debt</w:t>
            </w:r>
          </w:p>
        </w:tc>
        <w:tc>
          <w:tcPr>
            <w:tcW w:w="420"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704" w:type="dxa"/>
            <w:tcBorders/>
            <w:shd w:fill="auto" w:val="clear"/>
            <w:vAlign w:val="bottom"/>
          </w:tcPr>
          <w:p>
            <w:pPr>
              <w:pStyle w:val="TableContents"/>
              <w:spacing w:before="0" w:after="283"/>
              <w:jc w:val="right"/>
              <w:rPr/>
            </w:pPr>
            <w:r>
              <w:rPr/>
              <w:t>993.7</w:t>
            </w:r>
          </w:p>
        </w:tc>
        <w:tc>
          <w:tcPr>
            <w:tcW w:w="152" w:type="dxa"/>
            <w:tcBorders/>
            <w:shd w:fill="auto" w:val="clear"/>
            <w:vAlign w:val="bottom"/>
          </w:tcPr>
          <w:p>
            <w:pPr>
              <w:pStyle w:val="TableContents"/>
              <w:spacing w:before="0" w:after="283"/>
              <w:rPr/>
            </w:pPr>
            <w:r>
              <w:rPr/>
              <w:t> </w:t>
            </w:r>
          </w:p>
        </w:tc>
      </w:tr>
      <w:tr>
        <w:trPr/>
        <w:tc>
          <w:tcPr>
            <w:tcW w:w="7603" w:type="dxa"/>
            <w:tcBorders/>
            <w:shd w:fill="CCEEFF" w:val="clear"/>
            <w:vAlign w:val="bottom"/>
          </w:tcPr>
          <w:p>
            <w:pPr>
              <w:pStyle w:val="TableContents"/>
              <w:spacing w:before="0" w:after="0"/>
              <w:ind w:left="225" w:right="0" w:hanging="225"/>
              <w:rPr/>
            </w:pPr>
            <w:r>
              <w:rPr/>
              <w:t>Other current liabilities</w:t>
            </w:r>
          </w:p>
        </w:tc>
        <w:tc>
          <w:tcPr>
            <w:tcW w:w="420"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704" w:type="dxa"/>
            <w:tcBorders/>
            <w:shd w:fill="CCEEFF" w:val="clear"/>
            <w:vAlign w:val="bottom"/>
          </w:tcPr>
          <w:p>
            <w:pPr>
              <w:pStyle w:val="TableContents"/>
              <w:spacing w:before="0" w:after="283"/>
              <w:jc w:val="right"/>
              <w:rPr/>
            </w:pPr>
            <w:r>
              <w:rPr/>
              <w:t>122.0</w:t>
            </w:r>
          </w:p>
        </w:tc>
        <w:tc>
          <w:tcPr>
            <w:tcW w:w="152" w:type="dxa"/>
            <w:tcBorders/>
            <w:shd w:fill="CCEEFF" w:val="clear"/>
            <w:vAlign w:val="bottom"/>
          </w:tcPr>
          <w:p>
            <w:pPr>
              <w:pStyle w:val="TableContents"/>
              <w:spacing w:before="0" w:after="283"/>
              <w:rPr/>
            </w:pPr>
            <w:r>
              <w:rPr/>
              <w:t> </w:t>
            </w:r>
          </w:p>
        </w:tc>
      </w:tr>
      <w:tr>
        <w:trPr/>
        <w:tc>
          <w:tcPr>
            <w:tcW w:w="7603" w:type="dxa"/>
            <w:tcBorders/>
            <w:shd w:fill="auto" w:val="clear"/>
            <w:vAlign w:val="center"/>
          </w:tcPr>
          <w:p>
            <w:pPr>
              <w:pStyle w:val="TableContents"/>
              <w:spacing w:before="0" w:after="0"/>
              <w:ind w:left="225" w:right="0" w:hanging="225"/>
              <w:rPr/>
            </w:pPr>
            <w:r>
              <w:rPr/>
              <w:t> </w:t>
            </w:r>
          </w:p>
        </w:tc>
        <w:tc>
          <w:tcPr>
            <w:tcW w:w="420" w:type="dxa"/>
            <w:tcBorders/>
            <w:shd w:fill="auto" w:val="clear"/>
            <w:vAlign w:val="center"/>
          </w:tcPr>
          <w:p>
            <w:pPr>
              <w:pStyle w:val="TableContents"/>
              <w:spacing w:before="0" w:after="283"/>
              <w:rPr/>
            </w:pPr>
            <w:r>
              <w:rPr/>
              <w:t> </w:t>
            </w:r>
          </w:p>
        </w:tc>
        <w:tc>
          <w:tcPr>
            <w:tcW w:w="20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2" w:type="dxa"/>
            <w:tcBorders/>
            <w:shd w:fill="auto" w:val="clear"/>
            <w:vAlign w:val="center"/>
          </w:tcPr>
          <w:p>
            <w:pPr>
              <w:pStyle w:val="TableContents"/>
              <w:spacing w:before="0" w:after="283"/>
              <w:rPr/>
            </w:pPr>
            <w:r>
              <w:rPr/>
              <w:t> </w:t>
            </w:r>
          </w:p>
        </w:tc>
      </w:tr>
      <w:tr>
        <w:trPr/>
        <w:tc>
          <w:tcPr>
            <w:tcW w:w="7603" w:type="dxa"/>
            <w:tcBorders/>
            <w:shd w:fill="auto" w:val="clear"/>
            <w:vAlign w:val="bottom"/>
          </w:tcPr>
          <w:p>
            <w:pPr>
              <w:pStyle w:val="TableContents"/>
              <w:spacing w:before="0" w:after="0"/>
              <w:ind w:left="450" w:right="0" w:hanging="225"/>
              <w:rPr/>
            </w:pPr>
            <w:r>
              <w:rPr/>
              <w:t>Total current liabilities</w:t>
            </w:r>
          </w:p>
        </w:tc>
        <w:tc>
          <w:tcPr>
            <w:tcW w:w="420"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704" w:type="dxa"/>
            <w:tcBorders/>
            <w:shd w:fill="auto" w:val="clear"/>
            <w:vAlign w:val="bottom"/>
          </w:tcPr>
          <w:p>
            <w:pPr>
              <w:pStyle w:val="TableContents"/>
              <w:spacing w:before="0" w:after="283"/>
              <w:jc w:val="right"/>
              <w:rPr/>
            </w:pPr>
            <w:r>
              <w:rPr/>
              <w:t>2,946.5</w:t>
            </w:r>
          </w:p>
        </w:tc>
        <w:tc>
          <w:tcPr>
            <w:tcW w:w="152" w:type="dxa"/>
            <w:tcBorders/>
            <w:shd w:fill="auto" w:val="clear"/>
            <w:vAlign w:val="bottom"/>
          </w:tcPr>
          <w:p>
            <w:pPr>
              <w:pStyle w:val="TableContents"/>
              <w:spacing w:before="0" w:after="283"/>
              <w:rPr/>
            </w:pPr>
            <w:r>
              <w:rPr/>
              <w:t> </w:t>
            </w:r>
          </w:p>
        </w:tc>
      </w:tr>
      <w:tr>
        <w:trPr/>
        <w:tc>
          <w:tcPr>
            <w:tcW w:w="7603" w:type="dxa"/>
            <w:tcBorders/>
            <w:shd w:fill="auto" w:val="clear"/>
            <w:vAlign w:val="center"/>
          </w:tcPr>
          <w:p>
            <w:pPr>
              <w:pStyle w:val="TableContents"/>
              <w:spacing w:before="0" w:after="0"/>
              <w:ind w:left="225" w:right="0" w:hanging="225"/>
              <w:rPr/>
            </w:pPr>
            <w:r>
              <w:rPr/>
              <w:t> </w:t>
            </w:r>
          </w:p>
        </w:tc>
        <w:tc>
          <w:tcPr>
            <w:tcW w:w="420" w:type="dxa"/>
            <w:tcBorders/>
            <w:shd w:fill="auto" w:val="clear"/>
            <w:vAlign w:val="center"/>
          </w:tcPr>
          <w:p>
            <w:pPr>
              <w:pStyle w:val="TableContents"/>
              <w:spacing w:before="0" w:after="283"/>
              <w:rPr/>
            </w:pPr>
            <w:r>
              <w:rPr/>
              <w:t> </w:t>
            </w:r>
          </w:p>
        </w:tc>
        <w:tc>
          <w:tcPr>
            <w:tcW w:w="20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2" w:type="dxa"/>
            <w:tcBorders/>
            <w:shd w:fill="auto" w:val="clear"/>
            <w:vAlign w:val="center"/>
          </w:tcPr>
          <w:p>
            <w:pPr>
              <w:pStyle w:val="TableContents"/>
              <w:spacing w:before="0" w:after="283"/>
              <w:rPr/>
            </w:pPr>
            <w:r>
              <w:rPr/>
              <w:t> </w:t>
            </w:r>
          </w:p>
        </w:tc>
      </w:tr>
      <w:tr>
        <w:trPr/>
        <w:tc>
          <w:tcPr>
            <w:tcW w:w="7603" w:type="dxa"/>
            <w:tcBorders/>
            <w:shd w:fill="auto" w:val="clear"/>
            <w:vAlign w:val="bottom"/>
          </w:tcPr>
          <w:p>
            <w:pPr>
              <w:pStyle w:val="TableContents"/>
              <w:spacing w:before="0" w:after="0"/>
              <w:ind w:left="225" w:right="0" w:hanging="225"/>
              <w:rPr/>
            </w:pPr>
            <w:r>
              <w:rPr/>
              <w:t> </w:t>
            </w:r>
          </w:p>
        </w:tc>
        <w:tc>
          <w:tcPr>
            <w:tcW w:w="420"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70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r>
      <w:tr>
        <w:trPr/>
        <w:tc>
          <w:tcPr>
            <w:tcW w:w="7603" w:type="dxa"/>
            <w:tcBorders/>
            <w:shd w:fill="CCEEFF" w:val="clear"/>
            <w:vAlign w:val="bottom"/>
          </w:tcPr>
          <w:p>
            <w:pPr>
              <w:pStyle w:val="TableContents"/>
              <w:spacing w:before="0" w:after="0"/>
              <w:ind w:left="225" w:right="0" w:hanging="225"/>
              <w:rPr>
                <w:b/>
              </w:rPr>
            </w:pPr>
            <w:r>
              <w:rPr>
                <w:b/>
              </w:rPr>
              <w:t>LONG-TERM LIABILITIES</w:t>
            </w:r>
          </w:p>
        </w:tc>
        <w:tc>
          <w:tcPr>
            <w:tcW w:w="420"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704"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r>
      <w:tr>
        <w:trPr/>
        <w:tc>
          <w:tcPr>
            <w:tcW w:w="7603" w:type="dxa"/>
            <w:tcBorders/>
            <w:shd w:fill="auto" w:val="clear"/>
            <w:vAlign w:val="bottom"/>
          </w:tcPr>
          <w:p>
            <w:pPr>
              <w:pStyle w:val="TableContents"/>
              <w:spacing w:before="0" w:after="0"/>
              <w:ind w:left="225" w:right="0" w:hanging="225"/>
              <w:rPr/>
            </w:pPr>
            <w:r>
              <w:rPr/>
              <w:t>Long-term debt under credit facilities and other</w:t>
            </w:r>
          </w:p>
        </w:tc>
        <w:tc>
          <w:tcPr>
            <w:tcW w:w="420"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704" w:type="dxa"/>
            <w:tcBorders/>
            <w:shd w:fill="auto" w:val="clear"/>
            <w:vAlign w:val="bottom"/>
          </w:tcPr>
          <w:p>
            <w:pPr>
              <w:pStyle w:val="TableContents"/>
              <w:spacing w:before="0" w:after="283"/>
              <w:jc w:val="right"/>
              <w:rPr/>
            </w:pPr>
            <w:r>
              <w:rPr/>
              <w:t>3.6</w:t>
            </w:r>
          </w:p>
        </w:tc>
        <w:tc>
          <w:tcPr>
            <w:tcW w:w="152" w:type="dxa"/>
            <w:tcBorders/>
            <w:shd w:fill="auto" w:val="clear"/>
            <w:vAlign w:val="bottom"/>
          </w:tcPr>
          <w:p>
            <w:pPr>
              <w:pStyle w:val="TableContents"/>
              <w:spacing w:before="0" w:after="283"/>
              <w:rPr/>
            </w:pPr>
            <w:r>
              <w:rPr/>
              <w:t> </w:t>
            </w:r>
          </w:p>
        </w:tc>
      </w:tr>
      <w:tr>
        <w:trPr/>
        <w:tc>
          <w:tcPr>
            <w:tcW w:w="7603" w:type="dxa"/>
            <w:tcBorders/>
            <w:shd w:fill="CCEEFF" w:val="clear"/>
            <w:vAlign w:val="bottom"/>
          </w:tcPr>
          <w:p>
            <w:pPr>
              <w:pStyle w:val="TableContents"/>
              <w:spacing w:before="0" w:after="0"/>
              <w:ind w:left="225" w:right="0" w:hanging="225"/>
              <w:rPr/>
            </w:pPr>
            <w:r>
              <w:rPr/>
              <w:t>Senior notes, net of unamortized discount of $3.2</w:t>
            </w:r>
          </w:p>
        </w:tc>
        <w:tc>
          <w:tcPr>
            <w:tcW w:w="420"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704" w:type="dxa"/>
            <w:tcBorders/>
            <w:shd w:fill="CCEEFF" w:val="clear"/>
            <w:vAlign w:val="bottom"/>
          </w:tcPr>
          <w:p>
            <w:pPr>
              <w:pStyle w:val="TableContents"/>
              <w:spacing w:before="0" w:after="283"/>
              <w:jc w:val="right"/>
              <w:rPr/>
            </w:pPr>
            <w:r>
              <w:rPr/>
              <w:t>1,196.8</w:t>
            </w:r>
          </w:p>
        </w:tc>
        <w:tc>
          <w:tcPr>
            <w:tcW w:w="152" w:type="dxa"/>
            <w:tcBorders/>
            <w:shd w:fill="CCEEFF" w:val="clear"/>
            <w:vAlign w:val="bottom"/>
          </w:tcPr>
          <w:p>
            <w:pPr>
              <w:pStyle w:val="TableContents"/>
              <w:spacing w:before="0" w:after="283"/>
              <w:rPr/>
            </w:pPr>
            <w:r>
              <w:rPr/>
              <w:t> </w:t>
            </w:r>
          </w:p>
        </w:tc>
      </w:tr>
      <w:tr>
        <w:trPr/>
        <w:tc>
          <w:tcPr>
            <w:tcW w:w="7603" w:type="dxa"/>
            <w:tcBorders/>
            <w:shd w:fill="auto" w:val="clear"/>
            <w:vAlign w:val="bottom"/>
          </w:tcPr>
          <w:p>
            <w:pPr>
              <w:pStyle w:val="TableContents"/>
              <w:spacing w:before="0" w:after="0"/>
              <w:ind w:left="225" w:right="0" w:hanging="225"/>
              <w:rPr/>
            </w:pPr>
            <w:r>
              <w:rPr/>
              <w:t>Other long-term liabilities and deferred credits</w:t>
            </w:r>
          </w:p>
        </w:tc>
        <w:tc>
          <w:tcPr>
            <w:tcW w:w="420"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704" w:type="dxa"/>
            <w:tcBorders/>
            <w:shd w:fill="auto" w:val="clear"/>
            <w:vAlign w:val="bottom"/>
          </w:tcPr>
          <w:p>
            <w:pPr>
              <w:pStyle w:val="TableContents"/>
              <w:spacing w:before="0" w:after="283"/>
              <w:jc w:val="right"/>
              <w:rPr/>
            </w:pPr>
            <w:r>
              <w:rPr/>
              <w:t>66.9</w:t>
            </w:r>
          </w:p>
        </w:tc>
        <w:tc>
          <w:tcPr>
            <w:tcW w:w="152" w:type="dxa"/>
            <w:tcBorders/>
            <w:shd w:fill="auto" w:val="clear"/>
            <w:vAlign w:val="bottom"/>
          </w:tcPr>
          <w:p>
            <w:pPr>
              <w:pStyle w:val="TableContents"/>
              <w:spacing w:before="0" w:after="283"/>
              <w:rPr/>
            </w:pPr>
            <w:r>
              <w:rPr/>
              <w:t> </w:t>
            </w:r>
          </w:p>
        </w:tc>
      </w:tr>
      <w:tr>
        <w:trPr/>
        <w:tc>
          <w:tcPr>
            <w:tcW w:w="7603" w:type="dxa"/>
            <w:tcBorders/>
            <w:shd w:fill="auto" w:val="clear"/>
            <w:vAlign w:val="center"/>
          </w:tcPr>
          <w:p>
            <w:pPr>
              <w:pStyle w:val="TableContents"/>
              <w:spacing w:before="0" w:after="0"/>
              <w:ind w:left="225" w:right="0" w:hanging="225"/>
              <w:rPr/>
            </w:pPr>
            <w:r>
              <w:rPr/>
              <w:t> </w:t>
            </w:r>
          </w:p>
        </w:tc>
        <w:tc>
          <w:tcPr>
            <w:tcW w:w="420" w:type="dxa"/>
            <w:tcBorders/>
            <w:shd w:fill="auto" w:val="clear"/>
            <w:vAlign w:val="center"/>
          </w:tcPr>
          <w:p>
            <w:pPr>
              <w:pStyle w:val="TableContents"/>
              <w:spacing w:before="0" w:after="283"/>
              <w:rPr/>
            </w:pPr>
            <w:r>
              <w:rPr/>
              <w:t> </w:t>
            </w:r>
          </w:p>
        </w:tc>
        <w:tc>
          <w:tcPr>
            <w:tcW w:w="20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2" w:type="dxa"/>
            <w:tcBorders/>
            <w:shd w:fill="auto" w:val="clear"/>
            <w:vAlign w:val="center"/>
          </w:tcPr>
          <w:p>
            <w:pPr>
              <w:pStyle w:val="TableContents"/>
              <w:spacing w:before="0" w:after="283"/>
              <w:rPr/>
            </w:pPr>
            <w:r>
              <w:rPr/>
              <w:t> </w:t>
            </w:r>
          </w:p>
        </w:tc>
      </w:tr>
      <w:tr>
        <w:trPr/>
        <w:tc>
          <w:tcPr>
            <w:tcW w:w="7603" w:type="dxa"/>
            <w:tcBorders/>
            <w:shd w:fill="CCEEFF" w:val="clear"/>
            <w:vAlign w:val="bottom"/>
          </w:tcPr>
          <w:p>
            <w:pPr>
              <w:pStyle w:val="TableContents"/>
              <w:spacing w:before="0" w:after="0"/>
              <w:ind w:left="450" w:right="0" w:hanging="225"/>
              <w:rPr/>
            </w:pPr>
            <w:r>
              <w:rPr/>
              <w:t>Total liabilities</w:t>
            </w:r>
          </w:p>
        </w:tc>
        <w:tc>
          <w:tcPr>
            <w:tcW w:w="420"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704" w:type="dxa"/>
            <w:tcBorders/>
            <w:shd w:fill="CCEEFF" w:val="clear"/>
            <w:vAlign w:val="bottom"/>
          </w:tcPr>
          <w:p>
            <w:pPr>
              <w:pStyle w:val="TableContents"/>
              <w:spacing w:before="0" w:after="283"/>
              <w:jc w:val="right"/>
              <w:rPr/>
            </w:pPr>
            <w:r>
              <w:rPr/>
              <w:t>4,213.8</w:t>
            </w:r>
          </w:p>
        </w:tc>
        <w:tc>
          <w:tcPr>
            <w:tcW w:w="152" w:type="dxa"/>
            <w:tcBorders/>
            <w:shd w:fill="CCEEFF" w:val="clear"/>
            <w:vAlign w:val="bottom"/>
          </w:tcPr>
          <w:p>
            <w:pPr>
              <w:pStyle w:val="TableContents"/>
              <w:spacing w:before="0" w:after="283"/>
              <w:rPr/>
            </w:pPr>
            <w:r>
              <w:rPr/>
              <w:t> </w:t>
            </w:r>
          </w:p>
        </w:tc>
      </w:tr>
      <w:tr>
        <w:trPr/>
        <w:tc>
          <w:tcPr>
            <w:tcW w:w="7603" w:type="dxa"/>
            <w:tcBorders/>
            <w:shd w:fill="auto" w:val="clear"/>
            <w:vAlign w:val="center"/>
          </w:tcPr>
          <w:p>
            <w:pPr>
              <w:pStyle w:val="TableContents"/>
              <w:spacing w:before="0" w:after="0"/>
              <w:ind w:left="225" w:right="0" w:hanging="225"/>
              <w:rPr/>
            </w:pPr>
            <w:r>
              <w:rPr/>
              <w:t> </w:t>
            </w:r>
          </w:p>
        </w:tc>
        <w:tc>
          <w:tcPr>
            <w:tcW w:w="420" w:type="dxa"/>
            <w:tcBorders/>
            <w:shd w:fill="auto" w:val="clear"/>
            <w:vAlign w:val="center"/>
          </w:tcPr>
          <w:p>
            <w:pPr>
              <w:pStyle w:val="TableContents"/>
              <w:spacing w:before="0" w:after="283"/>
              <w:rPr/>
            </w:pPr>
            <w:r>
              <w:rPr/>
              <w:t> </w:t>
            </w:r>
          </w:p>
        </w:tc>
        <w:tc>
          <w:tcPr>
            <w:tcW w:w="20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2" w:type="dxa"/>
            <w:tcBorders/>
            <w:shd w:fill="auto" w:val="clear"/>
            <w:vAlign w:val="center"/>
          </w:tcPr>
          <w:p>
            <w:pPr>
              <w:pStyle w:val="TableContents"/>
              <w:spacing w:before="0" w:after="283"/>
              <w:rPr/>
            </w:pPr>
            <w:r>
              <w:rPr/>
              <w:t> </w:t>
            </w:r>
          </w:p>
        </w:tc>
      </w:tr>
      <w:tr>
        <w:trPr/>
        <w:tc>
          <w:tcPr>
            <w:tcW w:w="7603" w:type="dxa"/>
            <w:tcBorders/>
            <w:shd w:fill="auto" w:val="clear"/>
            <w:vAlign w:val="bottom"/>
          </w:tcPr>
          <w:p>
            <w:pPr>
              <w:pStyle w:val="TableContents"/>
              <w:spacing w:before="0" w:after="0"/>
              <w:ind w:left="225" w:right="0" w:hanging="225"/>
              <w:rPr/>
            </w:pPr>
            <w:r>
              <w:rPr/>
              <w:t> </w:t>
            </w:r>
          </w:p>
        </w:tc>
        <w:tc>
          <w:tcPr>
            <w:tcW w:w="420"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70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r>
      <w:tr>
        <w:trPr/>
        <w:tc>
          <w:tcPr>
            <w:tcW w:w="7603" w:type="dxa"/>
            <w:tcBorders/>
            <w:shd w:fill="auto" w:val="clear"/>
            <w:vAlign w:val="bottom"/>
          </w:tcPr>
          <w:p>
            <w:pPr>
              <w:pStyle w:val="TableContents"/>
              <w:spacing w:before="0" w:after="0"/>
              <w:ind w:left="225" w:right="0" w:hanging="225"/>
              <w:rPr>
                <w:b/>
              </w:rPr>
            </w:pPr>
            <w:r>
              <w:rPr>
                <w:b/>
              </w:rPr>
              <w:t>MINORITY INTEREST</w:t>
            </w:r>
          </w:p>
        </w:tc>
        <w:tc>
          <w:tcPr>
            <w:tcW w:w="420"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704" w:type="dxa"/>
            <w:tcBorders/>
            <w:shd w:fill="auto" w:val="clear"/>
            <w:vAlign w:val="bottom"/>
          </w:tcPr>
          <w:p>
            <w:pPr>
              <w:pStyle w:val="TableContents"/>
              <w:spacing w:before="0" w:after="283"/>
              <w:jc w:val="right"/>
              <w:rPr/>
            </w:pPr>
            <w:r>
              <w:rPr/>
              <w:t>1,788.6</w:t>
            </w:r>
          </w:p>
        </w:tc>
        <w:tc>
          <w:tcPr>
            <w:tcW w:w="152" w:type="dxa"/>
            <w:tcBorders/>
            <w:shd w:fill="auto" w:val="clear"/>
            <w:vAlign w:val="bottom"/>
          </w:tcPr>
          <w:p>
            <w:pPr>
              <w:pStyle w:val="TableContents"/>
              <w:spacing w:before="0" w:after="283"/>
              <w:rPr/>
            </w:pPr>
            <w:r>
              <w:rPr/>
              <w:t> </w:t>
            </w:r>
          </w:p>
        </w:tc>
      </w:tr>
      <w:tr>
        <w:trPr/>
        <w:tc>
          <w:tcPr>
            <w:tcW w:w="7603" w:type="dxa"/>
            <w:tcBorders/>
            <w:shd w:fill="auto" w:val="clear"/>
            <w:vAlign w:val="bottom"/>
          </w:tcPr>
          <w:p>
            <w:pPr>
              <w:pStyle w:val="TableContents"/>
              <w:spacing w:before="0" w:after="0"/>
              <w:ind w:left="225" w:right="0" w:hanging="225"/>
              <w:rPr/>
            </w:pPr>
            <w:r>
              <w:rPr/>
              <w:t> </w:t>
            </w:r>
          </w:p>
        </w:tc>
        <w:tc>
          <w:tcPr>
            <w:tcW w:w="420"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70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r>
      <w:tr>
        <w:trPr/>
        <w:tc>
          <w:tcPr>
            <w:tcW w:w="7603" w:type="dxa"/>
            <w:tcBorders/>
            <w:shd w:fill="CCEEFF" w:val="clear"/>
            <w:vAlign w:val="bottom"/>
          </w:tcPr>
          <w:p>
            <w:pPr>
              <w:pStyle w:val="TableContents"/>
              <w:spacing w:before="0" w:after="0"/>
              <w:ind w:left="225" w:right="0" w:hanging="225"/>
              <w:rPr>
                <w:b/>
              </w:rPr>
            </w:pPr>
            <w:r>
              <w:rPr>
                <w:b/>
              </w:rPr>
              <w:t>PARTNERS CAPITAL</w:t>
            </w:r>
          </w:p>
        </w:tc>
        <w:tc>
          <w:tcPr>
            <w:tcW w:w="420"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704"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r>
      <w:tr>
        <w:trPr/>
        <w:tc>
          <w:tcPr>
            <w:tcW w:w="7603" w:type="dxa"/>
            <w:tcBorders/>
            <w:shd w:fill="auto" w:val="clear"/>
            <w:vAlign w:val="bottom"/>
          </w:tcPr>
          <w:p>
            <w:pPr>
              <w:pStyle w:val="TableContents"/>
              <w:spacing w:before="0" w:after="0"/>
              <w:ind w:left="225" w:right="0" w:hanging="225"/>
              <w:rPr/>
            </w:pPr>
            <w:r>
              <w:rPr/>
              <w:t>Limited partners</w:t>
            </w:r>
          </w:p>
        </w:tc>
        <w:tc>
          <w:tcPr>
            <w:tcW w:w="420"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704" w:type="dxa"/>
            <w:tcBorders/>
            <w:shd w:fill="auto" w:val="clear"/>
            <w:vAlign w:val="bottom"/>
          </w:tcPr>
          <w:p>
            <w:pPr>
              <w:pStyle w:val="TableContents"/>
              <w:spacing w:before="0" w:after="283"/>
              <w:jc w:val="right"/>
              <w:rPr/>
            </w:pPr>
            <w:r>
              <w:rPr/>
              <w:t>79.3</w:t>
            </w:r>
          </w:p>
        </w:tc>
        <w:tc>
          <w:tcPr>
            <w:tcW w:w="152" w:type="dxa"/>
            <w:tcBorders/>
            <w:shd w:fill="auto" w:val="clear"/>
            <w:vAlign w:val="bottom"/>
          </w:tcPr>
          <w:p>
            <w:pPr>
              <w:pStyle w:val="TableContents"/>
              <w:spacing w:before="0" w:after="283"/>
              <w:rPr/>
            </w:pPr>
            <w:r>
              <w:rPr/>
              <w:t> </w:t>
            </w:r>
          </w:p>
        </w:tc>
      </w:tr>
      <w:tr>
        <w:trPr/>
        <w:tc>
          <w:tcPr>
            <w:tcW w:w="7603" w:type="dxa"/>
            <w:tcBorders/>
            <w:shd w:fill="CCEEFF" w:val="clear"/>
            <w:vAlign w:val="bottom"/>
          </w:tcPr>
          <w:p>
            <w:pPr>
              <w:pStyle w:val="TableContents"/>
              <w:spacing w:before="0" w:after="0"/>
              <w:ind w:left="225" w:right="0" w:hanging="225"/>
              <w:rPr/>
            </w:pPr>
            <w:r>
              <w:rPr/>
              <w:t>General partner</w:t>
            </w:r>
          </w:p>
        </w:tc>
        <w:tc>
          <w:tcPr>
            <w:tcW w:w="420"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704" w:type="dxa"/>
            <w:tcBorders/>
            <w:shd w:fill="CCEEFF" w:val="clear"/>
            <w:vAlign w:val="bottom"/>
          </w:tcPr>
          <w:p>
            <w:pPr>
              <w:pStyle w:val="TableContents"/>
              <w:spacing w:before="0" w:after="283"/>
              <w:jc w:val="right"/>
              <w:rPr/>
            </w:pPr>
            <w:r>
              <w:rPr/>
              <w:t>0.6</w:t>
            </w:r>
          </w:p>
        </w:tc>
        <w:tc>
          <w:tcPr>
            <w:tcW w:w="152" w:type="dxa"/>
            <w:tcBorders/>
            <w:shd w:fill="CCEEFF" w:val="clear"/>
            <w:vAlign w:val="bottom"/>
          </w:tcPr>
          <w:p>
            <w:pPr>
              <w:pStyle w:val="TableContents"/>
              <w:spacing w:before="0" w:after="283"/>
              <w:rPr/>
            </w:pPr>
            <w:r>
              <w:rPr/>
              <w:t> </w:t>
            </w:r>
          </w:p>
        </w:tc>
      </w:tr>
      <w:tr>
        <w:trPr/>
        <w:tc>
          <w:tcPr>
            <w:tcW w:w="7603" w:type="dxa"/>
            <w:tcBorders/>
            <w:shd w:fill="auto" w:val="clear"/>
            <w:vAlign w:val="center"/>
          </w:tcPr>
          <w:p>
            <w:pPr>
              <w:pStyle w:val="TableContents"/>
              <w:spacing w:before="0" w:after="0"/>
              <w:ind w:left="225" w:right="0" w:hanging="225"/>
              <w:rPr/>
            </w:pPr>
            <w:r>
              <w:rPr/>
              <w:t> </w:t>
            </w:r>
          </w:p>
        </w:tc>
        <w:tc>
          <w:tcPr>
            <w:tcW w:w="420" w:type="dxa"/>
            <w:tcBorders/>
            <w:shd w:fill="auto" w:val="clear"/>
            <w:vAlign w:val="center"/>
          </w:tcPr>
          <w:p>
            <w:pPr>
              <w:pStyle w:val="TableContents"/>
              <w:spacing w:before="0" w:after="283"/>
              <w:rPr/>
            </w:pPr>
            <w:r>
              <w:rPr/>
              <w:t> </w:t>
            </w:r>
          </w:p>
        </w:tc>
        <w:tc>
          <w:tcPr>
            <w:tcW w:w="20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2" w:type="dxa"/>
            <w:tcBorders/>
            <w:shd w:fill="auto" w:val="clear"/>
            <w:vAlign w:val="center"/>
          </w:tcPr>
          <w:p>
            <w:pPr>
              <w:pStyle w:val="TableContents"/>
              <w:spacing w:before="0" w:after="283"/>
              <w:rPr/>
            </w:pPr>
            <w:r>
              <w:rPr/>
              <w:t> </w:t>
            </w:r>
          </w:p>
        </w:tc>
      </w:tr>
      <w:tr>
        <w:trPr/>
        <w:tc>
          <w:tcPr>
            <w:tcW w:w="7603" w:type="dxa"/>
            <w:tcBorders/>
            <w:shd w:fill="auto" w:val="clear"/>
            <w:vAlign w:val="bottom"/>
          </w:tcPr>
          <w:p>
            <w:pPr>
              <w:pStyle w:val="TableContents"/>
              <w:spacing w:before="0" w:after="0"/>
              <w:ind w:left="450" w:right="0" w:hanging="225"/>
              <w:rPr/>
            </w:pPr>
            <w:r>
              <w:rPr/>
              <w:t>Total partners capital</w:t>
            </w:r>
          </w:p>
        </w:tc>
        <w:tc>
          <w:tcPr>
            <w:tcW w:w="420"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704" w:type="dxa"/>
            <w:tcBorders/>
            <w:shd w:fill="auto" w:val="clear"/>
            <w:vAlign w:val="bottom"/>
          </w:tcPr>
          <w:p>
            <w:pPr>
              <w:pStyle w:val="TableContents"/>
              <w:spacing w:before="0" w:after="283"/>
              <w:jc w:val="right"/>
              <w:rPr/>
            </w:pPr>
            <w:r>
              <w:rPr/>
              <w:t>79.9</w:t>
            </w:r>
          </w:p>
        </w:tc>
        <w:tc>
          <w:tcPr>
            <w:tcW w:w="152" w:type="dxa"/>
            <w:tcBorders/>
            <w:shd w:fill="auto" w:val="clear"/>
            <w:vAlign w:val="bottom"/>
          </w:tcPr>
          <w:p>
            <w:pPr>
              <w:pStyle w:val="TableContents"/>
              <w:spacing w:before="0" w:after="283"/>
              <w:rPr/>
            </w:pPr>
            <w:r>
              <w:rPr/>
              <w:t> </w:t>
            </w:r>
          </w:p>
        </w:tc>
      </w:tr>
      <w:tr>
        <w:trPr/>
        <w:tc>
          <w:tcPr>
            <w:tcW w:w="7603" w:type="dxa"/>
            <w:tcBorders/>
            <w:shd w:fill="auto" w:val="clear"/>
            <w:vAlign w:val="center"/>
          </w:tcPr>
          <w:p>
            <w:pPr>
              <w:pStyle w:val="TableContents"/>
              <w:spacing w:before="0" w:after="0"/>
              <w:ind w:left="225" w:right="0" w:hanging="225"/>
              <w:rPr/>
            </w:pPr>
            <w:r>
              <w:rPr/>
              <w:t> </w:t>
            </w:r>
          </w:p>
        </w:tc>
        <w:tc>
          <w:tcPr>
            <w:tcW w:w="420" w:type="dxa"/>
            <w:tcBorders/>
            <w:shd w:fill="auto" w:val="clear"/>
            <w:vAlign w:val="center"/>
          </w:tcPr>
          <w:p>
            <w:pPr>
              <w:pStyle w:val="TableContents"/>
              <w:spacing w:before="0" w:after="283"/>
              <w:rPr/>
            </w:pPr>
            <w:r>
              <w:rPr/>
              <w:t> </w:t>
            </w:r>
          </w:p>
        </w:tc>
        <w:tc>
          <w:tcPr>
            <w:tcW w:w="20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2" w:type="dxa"/>
            <w:tcBorders/>
            <w:shd w:fill="auto" w:val="clear"/>
            <w:vAlign w:val="center"/>
          </w:tcPr>
          <w:p>
            <w:pPr>
              <w:pStyle w:val="TableContents"/>
              <w:spacing w:before="0" w:after="283"/>
              <w:rPr/>
            </w:pPr>
            <w:r>
              <w:rPr/>
              <w:t> </w:t>
            </w:r>
          </w:p>
        </w:tc>
      </w:tr>
      <w:tr>
        <w:trPr/>
        <w:tc>
          <w:tcPr>
            <w:tcW w:w="7603" w:type="dxa"/>
            <w:tcBorders/>
            <w:shd w:fill="CCEEFF" w:val="clear"/>
            <w:vAlign w:val="bottom"/>
          </w:tcPr>
          <w:p>
            <w:pPr>
              <w:pStyle w:val="TableContents"/>
              <w:spacing w:before="0" w:after="0"/>
              <w:ind w:left="675" w:right="0" w:hanging="225"/>
              <w:rPr/>
            </w:pPr>
            <w:r>
              <w:rPr/>
              <w:t>Total liabilities and partners capital</w:t>
            </w:r>
          </w:p>
        </w:tc>
        <w:tc>
          <w:tcPr>
            <w:tcW w:w="420"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jc w:val="left"/>
              <w:rPr/>
            </w:pPr>
            <w:r>
              <w:rPr/>
              <w:t>$</w:t>
            </w:r>
          </w:p>
        </w:tc>
        <w:tc>
          <w:tcPr>
            <w:tcW w:w="1704" w:type="dxa"/>
            <w:tcBorders/>
            <w:shd w:fill="CCEEFF" w:val="clear"/>
            <w:vAlign w:val="bottom"/>
          </w:tcPr>
          <w:p>
            <w:pPr>
              <w:pStyle w:val="TableContents"/>
              <w:spacing w:before="0" w:after="283"/>
              <w:jc w:val="right"/>
              <w:rPr/>
            </w:pPr>
            <w:r>
              <w:rPr/>
              <w:t>6,082.3</w:t>
            </w:r>
          </w:p>
        </w:tc>
        <w:tc>
          <w:tcPr>
            <w:tcW w:w="152" w:type="dxa"/>
            <w:tcBorders/>
            <w:shd w:fill="CCEEFF" w:val="clear"/>
            <w:vAlign w:val="bottom"/>
          </w:tcPr>
          <w:p>
            <w:pPr>
              <w:pStyle w:val="TableContents"/>
              <w:spacing w:before="0" w:after="283"/>
              <w:rPr/>
            </w:pPr>
            <w:r>
              <w:rPr/>
              <w:t> </w:t>
            </w:r>
          </w:p>
        </w:tc>
      </w:tr>
      <w:tr>
        <w:trPr/>
        <w:tc>
          <w:tcPr>
            <w:tcW w:w="7603" w:type="dxa"/>
            <w:tcBorders/>
            <w:shd w:fill="auto" w:val="clear"/>
            <w:vAlign w:val="center"/>
          </w:tcPr>
          <w:p>
            <w:pPr>
              <w:pStyle w:val="TableContents"/>
              <w:spacing w:before="0" w:after="0"/>
              <w:ind w:left="225" w:right="0" w:hanging="225"/>
              <w:rPr/>
            </w:pPr>
            <w:r>
              <w:rPr/>
              <w:t> </w:t>
            </w:r>
          </w:p>
        </w:tc>
        <w:tc>
          <w:tcPr>
            <w:tcW w:w="420" w:type="dxa"/>
            <w:tcBorders/>
            <w:shd w:fill="auto" w:val="clear"/>
            <w:vAlign w:val="center"/>
          </w:tcPr>
          <w:p>
            <w:pPr>
              <w:pStyle w:val="TableContents"/>
              <w:spacing w:before="0" w:after="283"/>
              <w:rPr/>
            </w:pPr>
            <w:r>
              <w:rPr/>
              <w:t> </w:t>
            </w:r>
          </w:p>
        </w:tc>
        <w:tc>
          <w:tcPr>
            <w:tcW w:w="20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2" w:type="dxa"/>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The accompanying notes are an integral part of this consolidated financial statement. </w:t>
      </w:r>
    </w:p>
    <w:p>
      <w:pPr>
        <w:pStyle w:val="TextBody"/>
        <w:jc w:val="center"/>
        <w:rPr>
          <w:rFonts w:ascii="Times New Roman;Times;serif" w:hAnsi="Times New Roman;Times;serif"/>
          <w:sz w:val="17"/>
        </w:rPr>
      </w:pPr>
      <w:r>
        <w:rPr>
          <w:rFonts w:ascii="Times New Roman;Times;serif" w:hAnsi="Times New Roman;Times;serif"/>
          <w:sz w:val="17"/>
        </w:rPr>
        <w:t xml:space="preserve">F-2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PLAINS AAP, L.P.</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NOTES TO THE CONSOLIDATED FINANCIAL STATEMENT</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1Organization and Basis of Consolidation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Plains AAP, L.P. (the Partnership) is a Delaware limited partnership, formed on May 21, 2001 and, through a series of transactions, capitalized on June 8, 2001. Through this series of transactions, a predecessor to Vulcan Energy GP Holdings Inc. (Vulcan Energy) conveyed to us its general partner interest in Plains All American Pipeline, L.P. (PAA) and subsequently sold a portion of its interest in us to certain investors. As used in this Form 8-K, the terms we, us, our, ours and similar terms refer to Plains AAP, L.P. </w:t>
      </w:r>
    </w:p>
    <w:p>
      <w:pPr>
        <w:pStyle w:val="TextBody"/>
        <w:spacing w:before="120" w:after="283"/>
        <w:jc w:val="left"/>
        <w:rPr/>
      </w:pPr>
      <w:r>
        <w:rPr/>
        <w:t>     </w:t>
      </w:r>
      <w:r>
        <w:rPr>
          <w:rFonts w:ascii="Times New Roman;Times;serif" w:hAnsi="Times New Roman;Times;serif"/>
          <w:sz w:val="17"/>
        </w:rPr>
        <w:t xml:space="preserve">In August 2005, Sable Investments, L.P. (Sable) sold its limited partner interest in the Partnership. The remaining owners elected to exercise their right of first refusal, such that Sables interest was purchased pro rata by the remaining owners. As a result of the transaction, the limited partner interest of Vulcan Energy increased from approximately 44% to approximately 54%. At closing, Vulcan Energy entered into a voting agreement that restricts its ability to unilaterally elect or remove our general partners independent directors, and, separately, PAAs CEO and COO agreed to waive certain change-of-control payment rights that would otherwise have been triggered by the increase in Vulcan Energys ownership interest. Thus, at September 30, 2006, our ownership structure consisted of a 1% general partner interest held by Plains All American GP LLC (the General Partner) and the following limited partner interests (the Partners): </w:t>
      </w:r>
    </w:p>
    <w:tbl>
      <w:tblPr>
        <w:tblW w:w="5000" w:type="pct"/>
        <w:jc w:val="left"/>
        <w:tblInd w:w="0" w:type="dxa"/>
        <w:tblCellMar>
          <w:top w:w="0" w:type="dxa"/>
          <w:left w:w="0" w:type="dxa"/>
          <w:bottom w:w="0" w:type="dxa"/>
          <w:right w:w="0" w:type="dxa"/>
        </w:tblCellMar>
      </w:tblPr>
      <w:tblGrid>
        <w:gridCol w:w="203"/>
        <w:gridCol w:w="208"/>
        <w:gridCol w:w="102"/>
        <w:gridCol w:w="9692"/>
      </w:tblGrid>
      <w:tr>
        <w:trPr/>
        <w:tc>
          <w:tcPr>
            <w:tcW w:w="203"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692" w:type="dxa"/>
            <w:tcBorders/>
            <w:shd w:fill="auto" w:val="clear"/>
          </w:tcPr>
          <w:p>
            <w:pPr>
              <w:pStyle w:val="TableContents"/>
              <w:spacing w:before="0" w:after="283"/>
              <w:rPr/>
            </w:pPr>
            <w:r>
              <w:rPr/>
              <w:t>Vulcan Energy GP Holdings Inc.53.778%</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692" w:type="dxa"/>
            <w:tcBorders/>
            <w:shd w:fill="auto" w:val="clear"/>
          </w:tcPr>
          <w:p>
            <w:pPr>
              <w:pStyle w:val="TableContents"/>
              <w:spacing w:before="0" w:after="283"/>
              <w:rPr/>
            </w:pPr>
            <w:r>
              <w:rPr/>
              <w:t>KAFU Holdings, L.P.20.066%</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692" w:type="dxa"/>
            <w:tcBorders/>
            <w:shd w:fill="auto" w:val="clear"/>
          </w:tcPr>
          <w:p>
            <w:pPr>
              <w:pStyle w:val="TableContents"/>
              <w:spacing w:before="0" w:after="283"/>
              <w:rPr/>
            </w:pPr>
            <w:r>
              <w:rPr/>
              <w:t>E-Holdings III, L.P.8.910%</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692" w:type="dxa"/>
            <w:tcBorders/>
            <w:shd w:fill="auto" w:val="clear"/>
          </w:tcPr>
          <w:p>
            <w:pPr>
              <w:pStyle w:val="TableContents"/>
              <w:spacing w:before="0" w:after="283"/>
              <w:rPr/>
            </w:pPr>
            <w:r>
              <w:rPr/>
              <w:t>E-Holdings V, L.P.2.090%</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692" w:type="dxa"/>
            <w:tcBorders/>
            <w:shd w:fill="auto" w:val="clear"/>
          </w:tcPr>
          <w:p>
            <w:pPr>
              <w:pStyle w:val="TableContents"/>
              <w:spacing w:before="0" w:after="283"/>
              <w:rPr/>
            </w:pPr>
            <w:r>
              <w:rPr/>
              <w:t>Mark E. Strome2.608%</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692" w:type="dxa"/>
            <w:tcBorders/>
            <w:shd w:fill="auto" w:val="clear"/>
          </w:tcPr>
          <w:p>
            <w:pPr>
              <w:pStyle w:val="TableContents"/>
              <w:spacing w:before="0" w:after="283"/>
              <w:rPr/>
            </w:pPr>
            <w:r>
              <w:rPr/>
              <w:t>PAA Management L.P.4.889%</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692" w:type="dxa"/>
            <w:tcBorders/>
            <w:shd w:fill="auto" w:val="clear"/>
          </w:tcPr>
          <w:p>
            <w:pPr>
              <w:pStyle w:val="TableContents"/>
              <w:spacing w:before="0" w:after="283"/>
              <w:rPr/>
            </w:pPr>
            <w:r>
              <w:rPr/>
              <w:t>Strome MLP Fund, L.P.1.303%</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692" w:type="dxa"/>
            <w:tcBorders/>
            <w:shd w:fill="auto" w:val="clear"/>
          </w:tcPr>
          <w:p>
            <w:pPr>
              <w:pStyle w:val="TableContents"/>
              <w:spacing w:before="0" w:after="283"/>
              <w:rPr/>
            </w:pPr>
            <w:r>
              <w:rPr/>
              <w:t>Wachovia Investors, Inc.4.134%</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692" w:type="dxa"/>
            <w:tcBorders/>
            <w:shd w:fill="auto" w:val="clear"/>
          </w:tcPr>
          <w:p>
            <w:pPr>
              <w:pStyle w:val="TableContents"/>
              <w:spacing w:before="0" w:after="283"/>
              <w:rPr/>
            </w:pPr>
            <w:r>
              <w:rPr/>
              <w:t>Lynx Holdings I, L.P.1.222%</w:t>
            </w:r>
          </w:p>
        </w:tc>
      </w:tr>
    </w:tbl>
    <w:p>
      <w:pPr>
        <w:pStyle w:val="TextBody"/>
        <w:spacing w:before="120" w:after="283"/>
        <w:jc w:val="left"/>
        <w:rPr/>
      </w:pPr>
      <w:r>
        <w:rPr/>
        <w:t>     </w:t>
      </w:r>
      <w:r>
        <w:rPr>
          <w:rFonts w:ascii="Times New Roman;Times;serif" w:hAnsi="Times New Roman;Times;serif"/>
          <w:sz w:val="17"/>
        </w:rPr>
        <w:t xml:space="preserve">The General Partner manages the business and affairs of the Partnership. Except for situations in which the approval of the limited partners is expressly required by the partnership agreement, or by non-waivable provisions of applicable law, the General Partner has full and complete authority, power and discretion to manage and control the business, affairs and property of the Partnership, to make all decisions regarding those matters and to perform any and all other acts or activities customary or incident to the management of the Partnerships business, including the execution of contracts and management of litigation. Our General Partner (or, in the case of PAAs Canadian operations, PMC (Nova Scotia) Company) employs all officers and personnel involved in the operation and management of PAA and its subsidiaries. PAA reimburses the General Partner for expenses, including certain compensation expenses, related to such operation and management. We have no commitment or intent to fund cash flow deficits or furnish other financial assistance to PAA. </w:t>
      </w:r>
    </w:p>
    <w:p>
      <w:pPr>
        <w:pStyle w:val="TextBody"/>
        <w:spacing w:before="240" w:after="283"/>
        <w:jc w:val="left"/>
        <w:rPr>
          <w:rFonts w:ascii="Times New Roman;Times;serif" w:hAnsi="Times New Roman;Times;serif"/>
          <w:sz w:val="17"/>
        </w:rPr>
      </w:pPr>
      <w:r>
        <w:rPr>
          <w:rFonts w:ascii="Times New Roman;Times;serif" w:hAnsi="Times New Roman;Times;serif"/>
          <w:i/>
          <w:sz w:val="17"/>
        </w:rPr>
        <w:t>Basis of Consolidation and Presentation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June 2005, the Emerging Issues Task Force released Issue No. 04-05 (EITF 04-05), Determining Whether a General Partner, or the General Partners as a Group, Controls a Limited Partnership or Similar Entity When the Limited Partners Have Certain Rights. EITF 04-05 states that if the limited partners do not have substantive ability to dissolve (liquidate) or have substantive participating rights then the general partner is presumed to control that partnership and would be required to consolidate the limited partnership. We adopted this standard prospectively on January 1, 2006 under Transition Method A. Because the limited partners do not have the substantive ability to dissolve or have substantive participating rights in regards to PAA, the adoption of this standard resulted in the consolidation of PAA and its consolidated subsidiaries in our consolidated financial statement. The consolidation of PAA resulted in the recognition of minority interest, which is comprised entirely of the proportionate interest in the book value of PAA limited partner units that is owned by other parties, of $1.8 billion. </w:t>
      </w:r>
    </w:p>
    <w:p>
      <w:pPr>
        <w:pStyle w:val="TextBody"/>
        <w:spacing w:before="120" w:after="283"/>
        <w:jc w:val="left"/>
        <w:rPr/>
      </w:pPr>
      <w:r>
        <w:rPr/>
        <w:t>     </w:t>
      </w:r>
      <w:r>
        <w:rPr>
          <w:rFonts w:ascii="Times New Roman;Times;serif" w:hAnsi="Times New Roman;Times;serif"/>
          <w:sz w:val="17"/>
        </w:rPr>
        <w:t xml:space="preserve">Our investment in PAA exceeds our share of the underlying equity in the net assets of PAA. This excess is related to the fair value of PAAs crude oil pipelines and other assets at the time of inception and is amortized on a straight-line basis over the estimated useful life of 30 years. At September 30, 2006, the unamortized portion of this excess was approximately $33.7 million and is included in Property and Equipment in our consolidated balance sheet. </w:t>
      </w:r>
    </w:p>
    <w:p>
      <w:pPr>
        <w:pStyle w:val="TextBody"/>
        <w:spacing w:before="120" w:after="283"/>
        <w:jc w:val="left"/>
        <w:rPr/>
      </w:pPr>
      <w:r>
        <w:rPr/>
        <w:t>     </w:t>
      </w:r>
      <w:r>
        <w:rPr>
          <w:rFonts w:ascii="Times New Roman;Times;serif" w:hAnsi="Times New Roman;Times;serif"/>
          <w:sz w:val="17"/>
        </w:rPr>
        <w:t xml:space="preserve">The accompanying consolidated balance sheet includes the accounts of the Partnership and PAA and all of PAAs wholly owned subsidiaries. Investments in 50% or less owned affiliates, over which PAA has significant influence, are accounted for by the equity method. All significant intercompany transactions have been eliminated. The consolidated balance sheet and accompanying notes of the Partnership dated as of September 30, 2006 should be read in conjunction with the consolidated financial statements and notes thereto presented in the Plains All American Pipeline, L.P. Annual Report on Form 10-K for the annual period ended December 31, 2005 and the Plains All American Pipeline, L.P. Quarterly Report on Form 10-Q for the quarterly period ended September 30, 2006. </w:t>
      </w:r>
    </w:p>
    <w:p>
      <w:pPr>
        <w:pStyle w:val="TextBody"/>
        <w:spacing w:before="120" w:after="283"/>
        <w:jc w:val="left"/>
        <w:rPr/>
      </w:pPr>
      <w:r>
        <w:rPr/>
        <w:t>     </w:t>
      </w:r>
      <w:r>
        <w:rPr>
          <w:rFonts w:ascii="Times New Roman;Times;serif" w:hAnsi="Times New Roman;Times;serif"/>
          <w:sz w:val="17"/>
        </w:rPr>
        <w:t xml:space="preserve">As of September 30, 2006, we own a 2% general partner interest in PAA as well as incentive distribution rights, the ownership of which entitles us to receive incentive distributions if the amount that PAA distributes with respect to any quarter exceeds the minimum quarterly distribution of $0.45 per unit as specified in the PAA partnership agreement (see Incentive Distribution Rights Reduction). We also own, as of September 30, 2006, a limited partner interest consisting of 181,444 common units of PAA (see Note 2). PAA is a publicly traded Delaware limited partnership, formed in 1998 and engaged in interstate and intrastate crude oil transportation, and crude oil gathering, marketing, terminalling and storage, as well as the marketing and storage of liquefied petroleum gas and other natural gas related petroleum products. PAA owns an extensive network of pipeline transportation, terminalling, storage and gathering assets in key oil producing basins, transportation corridors and at major market hubs in the United States </w:t>
      </w:r>
    </w:p>
    <w:p>
      <w:pPr>
        <w:pStyle w:val="TextBody"/>
        <w:jc w:val="center"/>
        <w:rPr>
          <w:rFonts w:ascii="Times New Roman;Times;serif" w:hAnsi="Times New Roman;Times;serif"/>
          <w:sz w:val="17"/>
        </w:rPr>
      </w:pPr>
      <w:r>
        <w:rPr>
          <w:rFonts w:ascii="Times New Roman;Times;serif" w:hAnsi="Times New Roman;Times;serif"/>
          <w:sz w:val="17"/>
        </w:rPr>
        <w:t xml:space="preserve">F-3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and Canada. In the third quarter of 2006, PAA completed an acquisition of three refined products pipeline systems from Chevron Pipe Line Company that represents PAAs initial entry into the refined products transportation business. In addition, through its 50% equity ownership in PAA/Vulcan Gas Storage, LLC (PAA/Vulcan), PAA is engaged in the development and operation of natural gas storage facilities. PAAs operations can be categorized into two primary business activities: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1)  Crude Oil Pipeline Transportation Operations </w:t>
      </w:r>
    </w:p>
    <w:p>
      <w:pPr>
        <w:pStyle w:val="TextBody"/>
        <w:spacing w:before="120" w:after="283"/>
        <w:jc w:val="left"/>
        <w:rPr/>
      </w:pPr>
      <w:r>
        <w:rPr/>
        <w:t>     </w:t>
      </w:r>
      <w:r>
        <w:rPr>
          <w:rFonts w:ascii="Times New Roman;Times;serif" w:hAnsi="Times New Roman;Times;serif"/>
          <w:sz w:val="17"/>
        </w:rPr>
        <w:t xml:space="preserve">As of September 30, 2006, PAA owned approximately 16,000 miles of active gathering and mainline crude oil pipelines located throughout the United States and Canada. Its activities from pipeline operations generally consist of transporting volumes of crude oil for a fee and third party leases of pipeline capacity, as well as barrel exchanges and buy/sell arrangements.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2)  Gathering, Marketing, Terminalling and Storage Operations </w:t>
      </w:r>
    </w:p>
    <w:p>
      <w:pPr>
        <w:pStyle w:val="TextBody"/>
        <w:spacing w:before="120" w:after="283"/>
        <w:jc w:val="left"/>
        <w:rPr/>
      </w:pPr>
      <w:r>
        <w:rPr/>
        <w:t>     </w:t>
      </w:r>
      <w:r>
        <w:rPr>
          <w:rFonts w:ascii="Times New Roman;Times;serif" w:hAnsi="Times New Roman;Times;serif"/>
          <w:sz w:val="17"/>
        </w:rPr>
        <w:t xml:space="preserve">As of September 30, 2006, PAA owned approximately 39 million barrels of active above-ground crude oil terminalling and storage facilities, approximately 16 million barrels of which relate to its gathering, marketing, terminalling and storage segment (the remaining approximately 23 million barrels of tankage are associated with PAAs pipeline transportation operations within PAAs pipeline segment). These facilities include a crude oil terminalling and storage facility at Cushing, Oklahoma. Cushing, which PAA refers to as the Cushing Interchange, is one of the largest crude oil market hubs in the United States and the designated delivery point for New York Mercantile Exchange, or NYMEX, crude oil futures contracts. In September 2006, PAA announced the Phase IV expansion of the Cushing terminal, in which it will construct approximately 3.4 million barrels of additional tankage and will expand the total capacity of the facility to 10.8 million barrels. In 2005, PAA began construction of a 3.5 million barrel crude oil terminal at the St. James crude oil interchange in Louisiana, which is also a major crude oil trading location. In October 2006, PAA announced it was proceeding with the Phase II of the St. James project and will construct approximately 2.7 million barrels of additional tankage at the facility. </w:t>
      </w:r>
    </w:p>
    <w:p>
      <w:pPr>
        <w:pStyle w:val="TextBody"/>
        <w:spacing w:before="240" w:after="283"/>
        <w:jc w:val="left"/>
        <w:rPr>
          <w:rFonts w:ascii="Times New Roman;Times;serif" w:hAnsi="Times New Roman;Times;serif"/>
          <w:sz w:val="17"/>
        </w:rPr>
      </w:pPr>
      <w:r>
        <w:rPr>
          <w:rFonts w:ascii="Times New Roman;Times;serif" w:hAnsi="Times New Roman;Times;serif"/>
          <w:i/>
          <w:sz w:val="17"/>
        </w:rPr>
        <w:t>Incentive Distribution Rights Reduction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November 2006, PAA completed its merger with Pacific Energy, L.P. In accordance with the merger agreement, the Partnership has agreed to reduce its incentive distributions payable from PAA commencing with the earlier to occur of (x) the payment date of the first quarterly distribution declared and paid after the closing date that equals or exceeds $0.80 per unit or (y) the payment date of the second quarterly distribution declared and paid after the closing date (the earlier to occur of (x) or (y) being referred to as the IDR Reduction Date). Such adjustment shall be as follows: (i) for the quarterly distribution paid on the IDR Reduction Date and the three quarterly distributions declared and paid following the IDR Reduction Date, any distributions with respect to the incentive distribution rights shall be reduced by $5,000,000 per quarter, (ii) for the four quarterly distributions commencing on the first anniversary of the IDR Reduction Date, such distributions shall be reduced by $3,750,000 per quarter, (iii) for the four quarterly distributions commencing on the second anniversary of the IDR Reduction Date, such distributions shall be reduced by $3,750,000 per quarter, (iv) for the four quarterly distributions commencing on the third anniversary of the IDR Reduction Date, such distributions shall be reduced by $2,500,000 per quarter and (v) for the four quarterly distributions commencing on the fourth anniversary of the IDR Reduction Date, such distributions shall be reduced by $1,250,000 per quarter. The reduction shall be an aggregate of $20 million for the first four quarters (commencing with and including the IDR Reduction Date), $15 million for the second four quarters, $15 million for the third four quarters, $10 million for the fourth four quarters and $5 million for the fifth four quarters, for an aggregate of $65 million over twenty quarters.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2Contribution of Subordinated Units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On June 8, 2001, certain of our limited partners contributed to us an aggregate of 450,000 subordinated units of PAA, all of which subsequently converted into common units. These 450,000 units (the Option Units) were intended for use in connection with an option plan pursuant to which certain members of the management of our General Partner, subject to the satisfaction of vesting criteria, have a right to purchase a portion of such Option Units. See Note 4 for a discussion of the terms of these options. </w:t>
      </w:r>
    </w:p>
    <w:p>
      <w:pPr>
        <w:pStyle w:val="TextBody"/>
        <w:jc w:val="center"/>
        <w:rPr>
          <w:rFonts w:ascii="Times New Roman;Times;serif" w:hAnsi="Times New Roman;Times;serif"/>
          <w:sz w:val="17"/>
        </w:rPr>
      </w:pPr>
      <w:r>
        <w:rPr>
          <w:rFonts w:ascii="Times New Roman;Times;serif" w:hAnsi="Times New Roman;Times;serif"/>
          <w:sz w:val="17"/>
        </w:rPr>
        <w:t xml:space="preserve">F-4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Until the exercise of the options, we will continue to own and receive any distributions paid by PAA with respect to the Option Units, and any distributions we make as a result of the receipt of distributions on the Option Units will be paid to our limited partners in proportion to their original contribution of the Option Units, as adjusted subsequent to the Sable transaction described in Note 1. In certain instances, grantees under the plan have exercised options utilizing a cashless exercise provision whereby a grantee exchanges a portion of their vested options in satisfaction of the strike price associated with an exercise. As a result of cashless exercises, the Option Units we hold exceed the remaining outstanding options. From time to time these surplus units are sold with the resulting proceeds distributed back to the limited partners in the same manner as distributions paid by PAA on the Option Units described above. During the third quarter of 2006, the Partnership sold 15,105 Option Units to the General Partner for an average price of $46.03 per unit. These Option Units were used to satisfy obligations with respect to awards that vested under the General Partners 1998 Long-Term Incentive Plan (LTIP). Through September 30, 2006, 26,718 Option Units have been sold to the General Partner for this purpose. </w:t>
      </w:r>
    </w:p>
    <w:p>
      <w:pPr>
        <w:pStyle w:val="TextBody"/>
        <w:spacing w:before="120" w:after="283"/>
        <w:jc w:val="left"/>
        <w:rPr/>
      </w:pPr>
      <w:r>
        <w:rPr/>
        <w:t>     </w:t>
      </w:r>
      <w:r>
        <w:rPr>
          <w:rFonts w:ascii="Times New Roman;Times;serif" w:hAnsi="Times New Roman;Times;serif"/>
          <w:sz w:val="17"/>
        </w:rPr>
        <w:t xml:space="preserve">Through September 30, 2006, we had the following Option Unit activity (in thousands): </w:t>
      </w:r>
    </w:p>
    <w:tbl>
      <w:tblPr>
        <w:tblW w:w="5000" w:type="pct"/>
        <w:jc w:val="center"/>
        <w:tblInd w:w="0" w:type="dxa"/>
        <w:tblCellMar>
          <w:top w:w="0" w:type="dxa"/>
          <w:left w:w="0" w:type="dxa"/>
          <w:bottom w:w="0" w:type="dxa"/>
          <w:right w:w="0" w:type="dxa"/>
        </w:tblCellMar>
      </w:tblPr>
      <w:tblGrid>
        <w:gridCol w:w="8598"/>
        <w:gridCol w:w="745"/>
        <w:gridCol w:w="309"/>
        <w:gridCol w:w="455"/>
        <w:gridCol w:w="98"/>
      </w:tblGrid>
      <w:tr>
        <w:trPr/>
        <w:tc>
          <w:tcPr>
            <w:tcW w:w="8598" w:type="dxa"/>
            <w:tcBorders/>
            <w:shd w:fill="auto" w:val="clear"/>
            <w:vAlign w:val="bottom"/>
          </w:tcPr>
          <w:p>
            <w:pPr>
              <w:pStyle w:val="TableContents"/>
              <w:spacing w:before="0" w:after="283"/>
              <w:rPr/>
            </w:pPr>
            <w:r>
              <w:rPr/>
              <w:t> </w:t>
            </w:r>
          </w:p>
        </w:tc>
        <w:tc>
          <w:tcPr>
            <w:tcW w:w="745"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r>
      <w:tr>
        <w:trPr/>
        <w:tc>
          <w:tcPr>
            <w:tcW w:w="8598" w:type="dxa"/>
            <w:tcBorders/>
            <w:shd w:fill="CCEEFF" w:val="clear"/>
            <w:vAlign w:val="bottom"/>
          </w:tcPr>
          <w:p>
            <w:pPr>
              <w:pStyle w:val="TableContents"/>
              <w:spacing w:before="0" w:after="0"/>
              <w:ind w:left="225" w:right="0" w:hanging="225"/>
              <w:rPr/>
            </w:pPr>
            <w:r>
              <w:rPr/>
              <w:t>Original contribution</w:t>
            </w:r>
          </w:p>
        </w:tc>
        <w:tc>
          <w:tcPr>
            <w:tcW w:w="745"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jc w:val="right"/>
              <w:rPr/>
            </w:pPr>
            <w:r>
              <w:rPr/>
              <w:t>450</w:t>
            </w:r>
          </w:p>
        </w:tc>
        <w:tc>
          <w:tcPr>
            <w:tcW w:w="98" w:type="dxa"/>
            <w:tcBorders/>
            <w:shd w:fill="CCEEFF" w:val="clear"/>
            <w:vAlign w:val="bottom"/>
          </w:tcPr>
          <w:p>
            <w:pPr>
              <w:pStyle w:val="TableContents"/>
              <w:spacing w:before="0" w:after="283"/>
              <w:rPr/>
            </w:pPr>
            <w:r>
              <w:rPr/>
              <w:t> </w:t>
            </w:r>
          </w:p>
        </w:tc>
      </w:tr>
      <w:tr>
        <w:trPr/>
        <w:tc>
          <w:tcPr>
            <w:tcW w:w="8598" w:type="dxa"/>
            <w:tcBorders/>
            <w:shd w:fill="auto" w:val="clear"/>
            <w:vAlign w:val="bottom"/>
          </w:tcPr>
          <w:p>
            <w:pPr>
              <w:pStyle w:val="TableContents"/>
              <w:spacing w:before="0" w:after="0"/>
              <w:ind w:left="225" w:right="0" w:hanging="225"/>
              <w:rPr/>
            </w:pPr>
            <w:r>
              <w:rPr/>
              <w:t>Used to settle option exercises</w:t>
            </w:r>
          </w:p>
        </w:tc>
        <w:tc>
          <w:tcPr>
            <w:tcW w:w="745"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jc w:val="right"/>
              <w:rPr/>
            </w:pPr>
            <w:r>
              <w:rPr/>
              <w:t> </w:t>
            </w:r>
          </w:p>
        </w:tc>
        <w:tc>
          <w:tcPr>
            <w:tcW w:w="455" w:type="dxa"/>
            <w:tcBorders/>
            <w:shd w:fill="auto" w:val="clear"/>
            <w:vAlign w:val="bottom"/>
          </w:tcPr>
          <w:p>
            <w:pPr>
              <w:pStyle w:val="TableContents"/>
              <w:spacing w:before="0" w:after="283"/>
              <w:jc w:val="right"/>
              <w:rPr/>
            </w:pPr>
            <w:r>
              <w:rPr/>
              <w:t>(242</w:t>
            </w:r>
          </w:p>
        </w:tc>
        <w:tc>
          <w:tcPr>
            <w:tcW w:w="98" w:type="dxa"/>
            <w:tcBorders/>
            <w:shd w:fill="auto" w:val="clear"/>
            <w:vAlign w:val="bottom"/>
          </w:tcPr>
          <w:p>
            <w:pPr>
              <w:pStyle w:val="TableContents"/>
              <w:spacing w:before="0" w:after="283"/>
              <w:rPr/>
            </w:pPr>
            <w:r>
              <w:rPr/>
              <w:t>)</w:t>
            </w:r>
          </w:p>
        </w:tc>
      </w:tr>
      <w:tr>
        <w:trPr/>
        <w:tc>
          <w:tcPr>
            <w:tcW w:w="8598" w:type="dxa"/>
            <w:tcBorders/>
            <w:shd w:fill="CCEEFF" w:val="clear"/>
            <w:vAlign w:val="bottom"/>
          </w:tcPr>
          <w:p>
            <w:pPr>
              <w:pStyle w:val="TableContents"/>
              <w:spacing w:before="0" w:after="0"/>
              <w:ind w:left="225" w:right="0" w:hanging="225"/>
              <w:rPr/>
            </w:pPr>
            <w:r>
              <w:rPr/>
              <w:t>Sold with proceeds distributed back to original contributors</w:t>
            </w:r>
          </w:p>
        </w:tc>
        <w:tc>
          <w:tcPr>
            <w:tcW w:w="745"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jc w:val="right"/>
              <w:rPr/>
            </w:pPr>
            <w:r>
              <w:rPr/>
              <w:t> </w:t>
            </w:r>
          </w:p>
        </w:tc>
        <w:tc>
          <w:tcPr>
            <w:tcW w:w="455" w:type="dxa"/>
            <w:tcBorders/>
            <w:shd w:fill="CCEEFF" w:val="clear"/>
            <w:vAlign w:val="bottom"/>
          </w:tcPr>
          <w:p>
            <w:pPr>
              <w:pStyle w:val="TableContents"/>
              <w:spacing w:before="0" w:after="283"/>
              <w:jc w:val="right"/>
              <w:rPr/>
            </w:pPr>
            <w:r>
              <w:rPr/>
              <w:t>(27</w:t>
            </w:r>
          </w:p>
        </w:tc>
        <w:tc>
          <w:tcPr>
            <w:tcW w:w="98" w:type="dxa"/>
            <w:tcBorders/>
            <w:shd w:fill="CCEEFF" w:val="clear"/>
            <w:vAlign w:val="bottom"/>
          </w:tcPr>
          <w:p>
            <w:pPr>
              <w:pStyle w:val="TableContents"/>
              <w:spacing w:before="0" w:after="283"/>
              <w:rPr/>
            </w:pPr>
            <w:r>
              <w:rPr/>
              <w:t>)</w:t>
            </w:r>
          </w:p>
        </w:tc>
      </w:tr>
      <w:tr>
        <w:trPr/>
        <w:tc>
          <w:tcPr>
            <w:tcW w:w="8598" w:type="dxa"/>
            <w:tcBorders/>
            <w:shd w:fill="auto" w:val="clear"/>
            <w:vAlign w:val="center"/>
          </w:tcPr>
          <w:p>
            <w:pPr>
              <w:pStyle w:val="TableContents"/>
              <w:spacing w:before="0" w:after="0"/>
              <w:ind w:left="225" w:right="0" w:hanging="225"/>
              <w:rPr/>
            </w:pPr>
            <w:r>
              <w:rPr/>
              <w:t> </w:t>
            </w:r>
          </w:p>
        </w:tc>
        <w:tc>
          <w:tcPr>
            <w:tcW w:w="745" w:type="dxa"/>
            <w:tcBorders/>
            <w:shd w:fill="auto" w:val="clear"/>
            <w:vAlign w:val="center"/>
          </w:tcPr>
          <w:p>
            <w:pPr>
              <w:pStyle w:val="TableContents"/>
              <w:spacing w:before="0" w:after="283"/>
              <w:rPr/>
            </w:pPr>
            <w:r>
              <w:rPr/>
              <w:t> </w:t>
            </w:r>
          </w:p>
        </w:tc>
        <w:tc>
          <w:tcPr>
            <w:tcW w:w="309" w:type="dxa"/>
            <w:tcBorders/>
            <w:shd w:fill="auto" w:val="clear"/>
            <w:vAlign w:val="center"/>
          </w:tcPr>
          <w:p>
            <w:pPr>
              <w:pStyle w:val="TableContents"/>
              <w:spacing w:before="0" w:after="283"/>
              <w:rPr/>
            </w:pPr>
            <w:r>
              <w:rPr/>
              <w:t> </w:t>
            </w:r>
          </w:p>
        </w:tc>
        <w:tc>
          <w:tcPr>
            <w:tcW w:w="455" w:type="dxa"/>
            <w:tcBorders>
              <w:top w:val="single" w:sz="2" w:space="0" w:color="000000"/>
            </w:tcBorders>
            <w:shd w:fill="auto" w:val="clear"/>
            <w:tcMar>
              <w:top w:w="28" w:type="dxa"/>
            </w:tcMar>
            <w:vAlign w:val="center"/>
          </w:tcPr>
          <w:p>
            <w:pPr>
              <w:pStyle w:val="TableContents"/>
              <w:spacing w:before="0" w:after="283"/>
              <w:jc w:val="right"/>
              <w:rPr/>
            </w:pPr>
            <w:r>
              <w:rPr/>
              <w:t> </w:t>
            </w:r>
          </w:p>
        </w:tc>
        <w:tc>
          <w:tcPr>
            <w:tcW w:w="98" w:type="dxa"/>
            <w:tcBorders/>
            <w:shd w:fill="auto" w:val="clear"/>
            <w:vAlign w:val="center"/>
          </w:tcPr>
          <w:p>
            <w:pPr>
              <w:pStyle w:val="TableContents"/>
              <w:spacing w:before="0" w:after="283"/>
              <w:rPr/>
            </w:pPr>
            <w:r>
              <w:rPr/>
              <w:t> </w:t>
            </w:r>
          </w:p>
        </w:tc>
      </w:tr>
      <w:tr>
        <w:trPr/>
        <w:tc>
          <w:tcPr>
            <w:tcW w:w="8598" w:type="dxa"/>
            <w:tcBorders/>
            <w:shd w:fill="auto" w:val="clear"/>
            <w:vAlign w:val="bottom"/>
          </w:tcPr>
          <w:p>
            <w:pPr>
              <w:pStyle w:val="TableContents"/>
              <w:spacing w:before="0" w:after="0"/>
              <w:ind w:left="225" w:right="0" w:hanging="225"/>
              <w:rPr/>
            </w:pPr>
            <w:r>
              <w:rPr/>
              <w:t>Option Units remaining as of September 30, 2006</w:t>
            </w:r>
            <w:r>
              <w:rPr>
                <w:position w:val="8"/>
                <w:sz w:val="19"/>
              </w:rPr>
              <w:t>(1)</w:t>
            </w:r>
          </w:p>
        </w:tc>
        <w:tc>
          <w:tcPr>
            <w:tcW w:w="745"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jc w:val="right"/>
              <w:rPr/>
            </w:pPr>
            <w:r>
              <w:rPr/>
              <w:t>181</w:t>
            </w:r>
          </w:p>
        </w:tc>
        <w:tc>
          <w:tcPr>
            <w:tcW w:w="98" w:type="dxa"/>
            <w:tcBorders/>
            <w:shd w:fill="auto" w:val="clear"/>
            <w:vAlign w:val="bottom"/>
          </w:tcPr>
          <w:p>
            <w:pPr>
              <w:pStyle w:val="TableContents"/>
              <w:spacing w:before="0" w:after="283"/>
              <w:rPr/>
            </w:pPr>
            <w:r>
              <w:rPr/>
              <w:t> </w:t>
            </w:r>
          </w:p>
        </w:tc>
      </w:tr>
      <w:tr>
        <w:trPr/>
        <w:tc>
          <w:tcPr>
            <w:tcW w:w="8598" w:type="dxa"/>
            <w:tcBorders/>
            <w:shd w:fill="auto" w:val="clear"/>
            <w:vAlign w:val="center"/>
          </w:tcPr>
          <w:p>
            <w:pPr>
              <w:pStyle w:val="TableContents"/>
              <w:spacing w:before="0" w:after="0"/>
              <w:ind w:left="225" w:right="0" w:hanging="225"/>
              <w:rPr/>
            </w:pPr>
            <w:r>
              <w:rPr/>
              <w:t> </w:t>
            </w:r>
          </w:p>
        </w:tc>
        <w:tc>
          <w:tcPr>
            <w:tcW w:w="745" w:type="dxa"/>
            <w:tcBorders/>
            <w:shd w:fill="auto" w:val="clear"/>
            <w:vAlign w:val="center"/>
          </w:tcPr>
          <w:p>
            <w:pPr>
              <w:pStyle w:val="TableContents"/>
              <w:spacing w:before="0" w:after="283"/>
              <w:rPr/>
            </w:pPr>
            <w:r>
              <w:rPr/>
              <w:t> </w:t>
            </w:r>
          </w:p>
        </w:tc>
        <w:tc>
          <w:tcPr>
            <w:tcW w:w="309" w:type="dxa"/>
            <w:tcBorders/>
            <w:shd w:fill="auto" w:val="clear"/>
            <w:vAlign w:val="center"/>
          </w:tcPr>
          <w:p>
            <w:pPr>
              <w:pStyle w:val="TableContents"/>
              <w:spacing w:before="0" w:after="283"/>
              <w:rPr/>
            </w:pPr>
            <w:r>
              <w:rPr/>
              <w:t> </w:t>
            </w:r>
          </w:p>
        </w:tc>
        <w:tc>
          <w:tcPr>
            <w:tcW w:w="455" w:type="dxa"/>
            <w:tcBorders>
              <w:top w:val="double" w:sz="6" w:space="0" w:color="000000"/>
            </w:tcBorders>
            <w:shd w:fill="auto" w:val="clear"/>
            <w:tcMar>
              <w:top w:w="28" w:type="dxa"/>
            </w:tcMar>
            <w:vAlign w:val="center"/>
          </w:tcPr>
          <w:p>
            <w:pPr>
              <w:pStyle w:val="TableContents"/>
              <w:spacing w:before="0" w:after="283"/>
              <w:jc w:val="right"/>
              <w:rPr/>
            </w:pPr>
            <w:r>
              <w:rPr/>
              <w:t> </w:t>
            </w:r>
          </w:p>
        </w:tc>
        <w:tc>
          <w:tcPr>
            <w:tcW w:w="98" w:type="dxa"/>
            <w:tcBorders/>
            <w:shd w:fill="auto" w:val="clear"/>
            <w:vAlign w:val="center"/>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639"/>
        <w:gridCol w:w="2195"/>
        <w:gridCol w:w="1371"/>
      </w:tblGrid>
      <w:tr>
        <w:trPr/>
        <w:tc>
          <w:tcPr>
            <w:tcW w:w="6639" w:type="dxa"/>
            <w:tcBorders/>
            <w:shd w:fill="auto" w:val="clear"/>
            <w:vAlign w:val="center"/>
          </w:tcPr>
          <w:p>
            <w:pPr>
              <w:pStyle w:val="TableContents"/>
              <w:spacing w:before="0" w:after="283"/>
              <w:rPr>
                <w:sz w:val="4"/>
                <w:szCs w:val="4"/>
              </w:rPr>
            </w:pPr>
            <w:r>
              <w:rPr>
                <w:sz w:val="4"/>
                <w:szCs w:val="4"/>
              </w:rPr>
            </w:r>
          </w:p>
        </w:tc>
        <w:tc>
          <w:tcPr>
            <w:tcW w:w="2195" w:type="dxa"/>
            <w:tcBorders/>
            <w:shd w:fill="auto" w:val="clear"/>
            <w:vAlign w:val="center"/>
          </w:tcPr>
          <w:p>
            <w:pPr>
              <w:pStyle w:val="TableContents"/>
              <w:spacing w:before="0" w:after="283"/>
              <w:rPr>
                <w:sz w:val="4"/>
                <w:szCs w:val="4"/>
              </w:rPr>
            </w:pPr>
            <w:r>
              <w:rPr>
                <w:sz w:val="4"/>
                <w:szCs w:val="4"/>
              </w:rPr>
            </w:r>
          </w:p>
        </w:tc>
        <w:tc>
          <w:tcPr>
            <w:tcW w:w="1371" w:type="dxa"/>
            <w:tcBorders/>
            <w:shd w:fill="auto" w:val="clear"/>
            <w:vAlign w:val="center"/>
          </w:tcPr>
          <w:p>
            <w:pPr>
              <w:pStyle w:val="TableContents"/>
              <w:spacing w:before="0" w:after="283"/>
              <w:rPr>
                <w:sz w:val="4"/>
                <w:szCs w:val="4"/>
              </w:rPr>
            </w:pPr>
            <w:r>
              <w:rPr>
                <w:sz w:val="4"/>
                <w:szCs w:val="4"/>
              </w:rPr>
            </w:r>
          </w:p>
        </w:tc>
      </w:tr>
      <w:tr>
        <w:trPr/>
        <w:tc>
          <w:tcPr>
            <w:tcW w:w="6639" w:type="dxa"/>
            <w:tcBorders/>
            <w:shd w:fill="auto" w:val="clear"/>
          </w:tcPr>
          <w:p>
            <w:pPr>
              <w:pStyle w:val="TableContents"/>
              <w:spacing w:before="0" w:after="283"/>
              <w:jc w:val="left"/>
              <w:rPr>
                <w:position w:val="8"/>
                <w:sz w:val="19"/>
              </w:rPr>
            </w:pPr>
            <w:r>
              <w:rPr>
                <w:position w:val="8"/>
                <w:sz w:val="19"/>
              </w:rPr>
              <w:t>(1)</w:t>
            </w:r>
          </w:p>
        </w:tc>
        <w:tc>
          <w:tcPr>
            <w:tcW w:w="2195" w:type="dxa"/>
            <w:tcBorders/>
            <w:shd w:fill="auto" w:val="clear"/>
          </w:tcPr>
          <w:p>
            <w:pPr>
              <w:pStyle w:val="TableContents"/>
              <w:spacing w:before="0" w:after="283"/>
              <w:rPr/>
            </w:pPr>
            <w:r>
              <w:rPr/>
              <w:t> </w:t>
            </w:r>
          </w:p>
        </w:tc>
        <w:tc>
          <w:tcPr>
            <w:tcW w:w="1371" w:type="dxa"/>
            <w:tcBorders/>
            <w:shd w:fill="auto" w:val="clear"/>
          </w:tcPr>
          <w:p>
            <w:pPr>
              <w:pStyle w:val="TableContents"/>
              <w:spacing w:before="0" w:after="283"/>
              <w:rPr/>
            </w:pPr>
            <w:r>
              <w:rPr/>
              <w:t>Includes approximately 12,400 Option Units in excess of outstanding options (see Note 4).</w:t>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rPr>
        <w:t>Note 3Partners Capital</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We distribute all of the cash received from PAA distributions, less reserves established by management, on a quarterly basis. Generally, distributions are paid to the Partners in proportion to their percentage interest in the Partnership. Included in partners capital is accumulated other comprehensive income of approximately $8.5 million, which is our proportionate share of PAAs other comprehensive income (loss). Other comprehensive income (loss) is allocated based on each partners ownership interest in the Partnership. </w:t>
      </w:r>
    </w:p>
    <w:p>
      <w:pPr>
        <w:pStyle w:val="TextBody"/>
        <w:spacing w:before="120" w:after="283"/>
        <w:jc w:val="left"/>
        <w:rPr/>
      </w:pPr>
      <w:r>
        <w:rPr/>
        <w:t>     </w:t>
      </w:r>
      <w:r>
        <w:rPr>
          <w:rFonts w:ascii="Times New Roman;Times;serif" w:hAnsi="Times New Roman;Times;serif"/>
          <w:sz w:val="17"/>
        </w:rPr>
        <w:t xml:space="preserve">We recognize a change of interest gain or loss at the time of each PAA equity transaction involving the issuance of PAA common units. Such gains or losses reflect the change in the book value of our limited partner equity in PAA compared to our proportionate share of the change in the underlying net assets of PAA caused by the equity transaction. Additionally, in connection with each PAA equity transaction, we are required to make a capital contribution to PAA to maintain our 2% general partner interest in PAA. Funding for our required capital contributions is provided by our General Partner and limited partners based on their respective ownership interest.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4Incentive Compensation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SFAS 123(R), Share Based Payment, was issued in December 2004. SFAS 123(R) amends SFAS No. 123, Accounting for Stock-Based Compensation, and establishes accounting for transactions in which an entity exchanges its equity instruments for goods or services. This statement requires that the cost resulting from all share-based payment transactions be recognized in the financial statements at fair value. In conjunction with our adoption of EITF 04-05, we adopted SFAS 123(R) on January 1, 2006 under the modified prospective transition method, as defined in SFAS 123(R). </w:t>
      </w:r>
    </w:p>
    <w:p>
      <w:pPr>
        <w:pStyle w:val="TextBody"/>
        <w:spacing w:before="240" w:after="283"/>
        <w:jc w:val="left"/>
        <w:rPr>
          <w:rFonts w:ascii="Times New Roman;Times;serif" w:hAnsi="Times New Roman;Times;serif"/>
          <w:sz w:val="17"/>
        </w:rPr>
      </w:pPr>
      <w:r>
        <w:rPr>
          <w:rFonts w:ascii="Times New Roman;Times;serif" w:hAnsi="Times New Roman;Times;serif"/>
          <w:i/>
          <w:sz w:val="17"/>
        </w:rPr>
        <w:t>Performance Option Plan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June 2001, the Performance Option Plan (the Plan) was approved by our General Partner to grant options to purchase up to 450,000 Option Units of PAA to employees of the General Partner for services provided to the General Partner and the Partnership. Substantially all available options under the Plan have been issued. The options were granted with a per unit exercise price of $22.00, less 80% of any per unit distribution on an Option Unit from June 2001 until the date of exercise. As of November 3, 2006, the exercise price has been reduced to $11.55 for distributions made since June 2001. At September 30, 2006, there were 169,000 vested options outstanding. </w:t>
      </w:r>
    </w:p>
    <w:p>
      <w:pPr>
        <w:pStyle w:val="TextBody"/>
        <w:jc w:val="center"/>
        <w:rPr>
          <w:rFonts w:ascii="Times New Roman;Times;serif" w:hAnsi="Times New Roman;Times;serif"/>
          <w:sz w:val="17"/>
        </w:rPr>
      </w:pPr>
      <w:r>
        <w:rPr>
          <w:rFonts w:ascii="Times New Roman;Times;serif" w:hAnsi="Times New Roman;Times;serif"/>
          <w:sz w:val="17"/>
        </w:rPr>
        <w:t xml:space="preserve">F-5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A summary of the options issued by the Plan at September 30, 2006 is as follows (in thousands): </w:t>
      </w:r>
    </w:p>
    <w:tbl>
      <w:tblPr>
        <w:tblW w:w="5000" w:type="pct"/>
        <w:jc w:val="center"/>
        <w:tblInd w:w="0" w:type="dxa"/>
        <w:tblCellMar>
          <w:top w:w="0" w:type="dxa"/>
          <w:left w:w="0" w:type="dxa"/>
          <w:bottom w:w="0" w:type="dxa"/>
          <w:right w:w="0" w:type="dxa"/>
        </w:tblCellMar>
      </w:tblPr>
      <w:tblGrid>
        <w:gridCol w:w="8711"/>
        <w:gridCol w:w="775"/>
        <w:gridCol w:w="320"/>
        <w:gridCol w:w="399"/>
      </w:tblGrid>
      <w:tr>
        <w:trPr/>
        <w:tc>
          <w:tcPr>
            <w:tcW w:w="8711"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399" w:type="dxa"/>
            <w:tcBorders/>
            <w:shd w:fill="auto" w:val="clear"/>
            <w:vAlign w:val="bottom"/>
          </w:tcPr>
          <w:p>
            <w:pPr>
              <w:pStyle w:val="TableContents"/>
              <w:spacing w:before="0" w:after="283"/>
              <w:rPr/>
            </w:pPr>
            <w:r>
              <w:rPr/>
              <w:t> </w:t>
            </w:r>
          </w:p>
        </w:tc>
      </w:tr>
      <w:tr>
        <w:trPr/>
        <w:tc>
          <w:tcPr>
            <w:tcW w:w="8711" w:type="dxa"/>
            <w:tcBorders/>
            <w:shd w:fill="CCEEFF" w:val="clear"/>
            <w:vAlign w:val="bottom"/>
          </w:tcPr>
          <w:p>
            <w:pPr>
              <w:pStyle w:val="TableContents"/>
              <w:spacing w:before="0" w:after="0"/>
              <w:ind w:left="225" w:right="0" w:hanging="225"/>
              <w:rPr/>
            </w:pPr>
            <w:r>
              <w:rPr/>
              <w:t>Vested options outstanding (1)</w:t>
            </w:r>
          </w:p>
        </w:tc>
        <w:tc>
          <w:tcPr>
            <w:tcW w:w="775"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pPr>
            <w:r>
              <w:rPr/>
              <w:t> </w:t>
            </w:r>
          </w:p>
        </w:tc>
        <w:tc>
          <w:tcPr>
            <w:tcW w:w="399" w:type="dxa"/>
            <w:tcBorders/>
            <w:shd w:fill="CCEEFF" w:val="clear"/>
            <w:vAlign w:val="bottom"/>
          </w:tcPr>
          <w:p>
            <w:pPr>
              <w:pStyle w:val="TableContents"/>
              <w:spacing w:before="0" w:after="283"/>
              <w:jc w:val="right"/>
              <w:rPr/>
            </w:pPr>
            <w:r>
              <w:rPr/>
              <w:t>169</w:t>
            </w:r>
          </w:p>
        </w:tc>
      </w:tr>
      <w:tr>
        <w:trPr/>
        <w:tc>
          <w:tcPr>
            <w:tcW w:w="8711" w:type="dxa"/>
            <w:tcBorders/>
            <w:shd w:fill="auto" w:val="clear"/>
            <w:vAlign w:val="bottom"/>
          </w:tcPr>
          <w:p>
            <w:pPr>
              <w:pStyle w:val="TableContents"/>
              <w:spacing w:before="0" w:after="0"/>
              <w:ind w:left="225" w:right="0" w:hanging="225"/>
              <w:rPr/>
            </w:pPr>
            <w:r>
              <w:rPr/>
              <w:t>Exercised or cancelled</w:t>
            </w:r>
          </w:p>
        </w:tc>
        <w:tc>
          <w:tcPr>
            <w:tcW w:w="775"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399" w:type="dxa"/>
            <w:tcBorders/>
            <w:shd w:fill="auto" w:val="clear"/>
            <w:vAlign w:val="bottom"/>
          </w:tcPr>
          <w:p>
            <w:pPr>
              <w:pStyle w:val="TableContents"/>
              <w:spacing w:before="0" w:after="283"/>
              <w:jc w:val="right"/>
              <w:rPr/>
            </w:pPr>
            <w:r>
              <w:rPr/>
              <w:t>279</w:t>
            </w:r>
          </w:p>
        </w:tc>
      </w:tr>
      <w:tr>
        <w:trPr/>
        <w:tc>
          <w:tcPr>
            <w:tcW w:w="8711" w:type="dxa"/>
            <w:tcBorders/>
            <w:shd w:fill="auto" w:val="clear"/>
            <w:vAlign w:val="center"/>
          </w:tcPr>
          <w:p>
            <w:pPr>
              <w:pStyle w:val="TableContents"/>
              <w:spacing w:before="0" w:after="0"/>
              <w:ind w:left="225" w:right="0" w:hanging="225"/>
              <w:rPr/>
            </w:pPr>
            <w:r>
              <w:rPr/>
              <w:t> </w:t>
            </w:r>
          </w:p>
        </w:tc>
        <w:tc>
          <w:tcPr>
            <w:tcW w:w="7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399" w:type="dxa"/>
            <w:tcBorders>
              <w:top w:val="single" w:sz="2" w:space="0" w:color="000000"/>
            </w:tcBorders>
            <w:shd w:fill="auto" w:val="clear"/>
            <w:tcMar>
              <w:top w:w="28" w:type="dxa"/>
            </w:tcMar>
            <w:vAlign w:val="center"/>
          </w:tcPr>
          <w:p>
            <w:pPr>
              <w:pStyle w:val="TableContents"/>
              <w:spacing w:before="0" w:after="283"/>
              <w:jc w:val="right"/>
              <w:rPr/>
            </w:pPr>
            <w:r>
              <w:rPr/>
              <w:t> </w:t>
            </w:r>
          </w:p>
        </w:tc>
      </w:tr>
      <w:tr>
        <w:trPr/>
        <w:tc>
          <w:tcPr>
            <w:tcW w:w="8711" w:type="dxa"/>
            <w:tcBorders/>
            <w:shd w:fill="CCEEFF" w:val="clear"/>
            <w:vAlign w:val="bottom"/>
          </w:tcPr>
          <w:p>
            <w:pPr>
              <w:pStyle w:val="TableContents"/>
              <w:spacing w:before="0" w:after="0"/>
              <w:ind w:left="225" w:right="0" w:hanging="225"/>
              <w:rPr/>
            </w:pPr>
            <w:r>
              <w:rPr/>
              <w:t>Total options issued</w:t>
            </w:r>
          </w:p>
        </w:tc>
        <w:tc>
          <w:tcPr>
            <w:tcW w:w="775"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pPr>
            <w:r>
              <w:rPr/>
              <w:t> </w:t>
            </w:r>
          </w:p>
        </w:tc>
        <w:tc>
          <w:tcPr>
            <w:tcW w:w="399" w:type="dxa"/>
            <w:tcBorders/>
            <w:shd w:fill="CCEEFF" w:val="clear"/>
            <w:vAlign w:val="bottom"/>
          </w:tcPr>
          <w:p>
            <w:pPr>
              <w:pStyle w:val="TableContents"/>
              <w:spacing w:before="0" w:after="283"/>
              <w:jc w:val="right"/>
              <w:rPr/>
            </w:pPr>
            <w:r>
              <w:rPr/>
              <w:t>448</w:t>
            </w:r>
          </w:p>
        </w:tc>
      </w:tr>
      <w:tr>
        <w:trPr/>
        <w:tc>
          <w:tcPr>
            <w:tcW w:w="8711" w:type="dxa"/>
            <w:tcBorders/>
            <w:shd w:fill="auto" w:val="clear"/>
            <w:vAlign w:val="bottom"/>
          </w:tcPr>
          <w:p>
            <w:pPr>
              <w:pStyle w:val="TableContents"/>
              <w:spacing w:before="0" w:after="0"/>
              <w:ind w:left="225" w:right="0" w:hanging="225"/>
              <w:rPr/>
            </w:pPr>
            <w:r>
              <w:rPr/>
              <w:t>Available for grant</w:t>
            </w:r>
          </w:p>
        </w:tc>
        <w:tc>
          <w:tcPr>
            <w:tcW w:w="775"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399" w:type="dxa"/>
            <w:tcBorders/>
            <w:shd w:fill="auto" w:val="clear"/>
            <w:vAlign w:val="bottom"/>
          </w:tcPr>
          <w:p>
            <w:pPr>
              <w:pStyle w:val="TableContents"/>
              <w:spacing w:before="0" w:after="283"/>
              <w:jc w:val="right"/>
              <w:rPr/>
            </w:pPr>
            <w:r>
              <w:rPr/>
              <w:t>2</w:t>
            </w:r>
          </w:p>
        </w:tc>
      </w:tr>
      <w:tr>
        <w:trPr/>
        <w:tc>
          <w:tcPr>
            <w:tcW w:w="8711" w:type="dxa"/>
            <w:tcBorders/>
            <w:shd w:fill="auto" w:val="clear"/>
            <w:vAlign w:val="center"/>
          </w:tcPr>
          <w:p>
            <w:pPr>
              <w:pStyle w:val="TableContents"/>
              <w:spacing w:before="0" w:after="0"/>
              <w:ind w:left="225" w:right="0" w:hanging="225"/>
              <w:rPr/>
            </w:pPr>
            <w:r>
              <w:rPr/>
              <w:t> </w:t>
            </w:r>
          </w:p>
        </w:tc>
        <w:tc>
          <w:tcPr>
            <w:tcW w:w="7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399" w:type="dxa"/>
            <w:tcBorders>
              <w:top w:val="single" w:sz="2" w:space="0" w:color="000000"/>
            </w:tcBorders>
            <w:shd w:fill="auto" w:val="clear"/>
            <w:tcMar>
              <w:top w:w="28" w:type="dxa"/>
            </w:tcMar>
            <w:vAlign w:val="center"/>
          </w:tcPr>
          <w:p>
            <w:pPr>
              <w:pStyle w:val="TableContents"/>
              <w:spacing w:before="0" w:after="283"/>
              <w:jc w:val="right"/>
              <w:rPr/>
            </w:pPr>
            <w:r>
              <w:rPr/>
              <w:t> </w:t>
            </w:r>
          </w:p>
        </w:tc>
      </w:tr>
      <w:tr>
        <w:trPr/>
        <w:tc>
          <w:tcPr>
            <w:tcW w:w="8711" w:type="dxa"/>
            <w:tcBorders/>
            <w:shd w:fill="CCEEFF" w:val="clear"/>
            <w:vAlign w:val="bottom"/>
          </w:tcPr>
          <w:p>
            <w:pPr>
              <w:pStyle w:val="TableContents"/>
              <w:spacing w:before="0" w:after="0"/>
              <w:ind w:left="225" w:right="0" w:hanging="225"/>
              <w:rPr/>
            </w:pPr>
            <w:r>
              <w:rPr/>
              <w:t> </w:t>
            </w:r>
          </w:p>
        </w:tc>
        <w:tc>
          <w:tcPr>
            <w:tcW w:w="775"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pPr>
            <w:r>
              <w:rPr/>
              <w:t> </w:t>
            </w:r>
          </w:p>
        </w:tc>
        <w:tc>
          <w:tcPr>
            <w:tcW w:w="399" w:type="dxa"/>
            <w:tcBorders/>
            <w:shd w:fill="CCEEFF" w:val="clear"/>
            <w:vAlign w:val="bottom"/>
          </w:tcPr>
          <w:p>
            <w:pPr>
              <w:pStyle w:val="TableContents"/>
              <w:spacing w:before="0" w:after="283"/>
              <w:jc w:val="right"/>
              <w:rPr/>
            </w:pPr>
            <w:r>
              <w:rPr/>
              <w:t>450</w:t>
            </w:r>
          </w:p>
        </w:tc>
      </w:tr>
      <w:tr>
        <w:trPr/>
        <w:tc>
          <w:tcPr>
            <w:tcW w:w="8711" w:type="dxa"/>
            <w:tcBorders/>
            <w:shd w:fill="auto" w:val="clear"/>
            <w:vAlign w:val="center"/>
          </w:tcPr>
          <w:p>
            <w:pPr>
              <w:pStyle w:val="TableContents"/>
              <w:spacing w:before="0" w:after="0"/>
              <w:ind w:left="225" w:right="0" w:hanging="225"/>
              <w:rPr/>
            </w:pPr>
            <w:r>
              <w:rPr/>
              <w:t> </w:t>
            </w:r>
          </w:p>
        </w:tc>
        <w:tc>
          <w:tcPr>
            <w:tcW w:w="7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399" w:type="dxa"/>
            <w:tcBorders>
              <w:top w:val="double" w:sz="6" w:space="0" w:color="000000"/>
            </w:tcBorders>
            <w:shd w:fill="auto" w:val="clear"/>
            <w:tcMar>
              <w:top w:w="28" w:type="dxa"/>
            </w:tcMar>
            <w:vAlign w:val="center"/>
          </w:tcPr>
          <w:p>
            <w:pPr>
              <w:pStyle w:val="TableContents"/>
              <w:spacing w:before="0" w:after="283"/>
              <w:jc w:val="right"/>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716"/>
        <w:gridCol w:w="2238"/>
        <w:gridCol w:w="1251"/>
      </w:tblGrid>
      <w:tr>
        <w:trPr/>
        <w:tc>
          <w:tcPr>
            <w:tcW w:w="6716" w:type="dxa"/>
            <w:tcBorders/>
            <w:shd w:fill="auto" w:val="clear"/>
            <w:vAlign w:val="center"/>
          </w:tcPr>
          <w:p>
            <w:pPr>
              <w:pStyle w:val="TableContents"/>
              <w:spacing w:before="0" w:after="283"/>
              <w:rPr>
                <w:sz w:val="4"/>
                <w:szCs w:val="4"/>
              </w:rPr>
            </w:pPr>
            <w:r>
              <w:rPr>
                <w:sz w:val="4"/>
                <w:szCs w:val="4"/>
              </w:rPr>
            </w:r>
          </w:p>
        </w:tc>
        <w:tc>
          <w:tcPr>
            <w:tcW w:w="2238" w:type="dxa"/>
            <w:tcBorders/>
            <w:shd w:fill="auto" w:val="clear"/>
            <w:vAlign w:val="center"/>
          </w:tcPr>
          <w:p>
            <w:pPr>
              <w:pStyle w:val="TableContents"/>
              <w:spacing w:before="0" w:after="283"/>
              <w:rPr>
                <w:sz w:val="4"/>
                <w:szCs w:val="4"/>
              </w:rPr>
            </w:pPr>
            <w:r>
              <w:rPr>
                <w:sz w:val="4"/>
                <w:szCs w:val="4"/>
              </w:rPr>
            </w:r>
          </w:p>
        </w:tc>
        <w:tc>
          <w:tcPr>
            <w:tcW w:w="1251" w:type="dxa"/>
            <w:tcBorders/>
            <w:shd w:fill="auto" w:val="clear"/>
            <w:vAlign w:val="center"/>
          </w:tcPr>
          <w:p>
            <w:pPr>
              <w:pStyle w:val="TableContents"/>
              <w:spacing w:before="0" w:after="283"/>
              <w:rPr>
                <w:sz w:val="4"/>
                <w:szCs w:val="4"/>
              </w:rPr>
            </w:pPr>
            <w:r>
              <w:rPr>
                <w:sz w:val="4"/>
                <w:szCs w:val="4"/>
              </w:rPr>
            </w:r>
          </w:p>
        </w:tc>
      </w:tr>
      <w:tr>
        <w:trPr/>
        <w:tc>
          <w:tcPr>
            <w:tcW w:w="6716" w:type="dxa"/>
            <w:tcBorders/>
            <w:shd w:fill="auto" w:val="clear"/>
          </w:tcPr>
          <w:p>
            <w:pPr>
              <w:pStyle w:val="TableContents"/>
              <w:spacing w:before="0" w:after="283"/>
              <w:jc w:val="left"/>
              <w:rPr/>
            </w:pPr>
            <w:r>
              <w:rPr/>
              <w:t>(1)</w:t>
            </w:r>
          </w:p>
        </w:tc>
        <w:tc>
          <w:tcPr>
            <w:tcW w:w="2238" w:type="dxa"/>
            <w:tcBorders/>
            <w:shd w:fill="auto" w:val="clear"/>
          </w:tcPr>
          <w:p>
            <w:pPr>
              <w:pStyle w:val="TableContents"/>
              <w:spacing w:before="0" w:after="283"/>
              <w:rPr/>
            </w:pPr>
            <w:r>
              <w:rPr/>
              <w:t> </w:t>
            </w:r>
          </w:p>
        </w:tc>
        <w:tc>
          <w:tcPr>
            <w:tcW w:w="1251" w:type="dxa"/>
            <w:tcBorders/>
            <w:shd w:fill="auto" w:val="clear"/>
          </w:tcPr>
          <w:p>
            <w:pPr>
              <w:pStyle w:val="TableContents"/>
              <w:spacing w:before="0" w:after="283"/>
              <w:rPr/>
            </w:pPr>
            <w:r>
              <w:rPr/>
              <w:t>All unvested options vested in August 2005 due to a change in the ownership structure of the Partnership (see Note 1).</w:t>
            </w:r>
          </w:p>
        </w:tc>
      </w:tr>
    </w:tbl>
    <w:p>
      <w:pPr>
        <w:pStyle w:val="TextBody"/>
        <w:spacing w:before="120" w:after="283"/>
        <w:jc w:val="left"/>
        <w:rPr/>
      </w:pPr>
      <w:r>
        <w:rPr/>
        <w:t>     </w:t>
      </w:r>
      <w:r>
        <w:rPr>
          <w:rFonts w:ascii="Times New Roman;Times;serif" w:hAnsi="Times New Roman;Times;serif"/>
          <w:sz w:val="17"/>
        </w:rPr>
        <w:t xml:space="preserve">These options are considered performance awards and are accounted for at fair value and are revalued at each financial statement date based on the Black-Scholes Model. No options were granted, expired, forfeited or exercised during the three-month period ending September 30, 2006. At September 30, 2006, the estimated fair value of $31.63 per unit resulted in a liability of approximately $5.3 million, which is reflected as a component of other current liabilities on the accompanying consolidated balance sheet. We intend to use Option Units (see Note 2) to settle these awards when they are exercised. PAA does not have any obligation to reimburse us for the units underlying these awards. </w:t>
      </w:r>
    </w:p>
    <w:p>
      <w:pPr>
        <w:pStyle w:val="TextBody"/>
        <w:spacing w:before="120" w:after="283"/>
        <w:jc w:val="left"/>
        <w:rPr/>
      </w:pPr>
      <w:r>
        <w:rPr/>
        <w:t>     </w:t>
      </w:r>
      <w:r>
        <w:rPr>
          <w:rFonts w:ascii="Times New Roman;Times;serif" w:hAnsi="Times New Roman;Times;serif"/>
          <w:sz w:val="17"/>
        </w:rPr>
        <w:t xml:space="preserve">The facts and assumptions used in the Black-Scholes Model at September 30, 2006 were as follows: </w:t>
      </w:r>
    </w:p>
    <w:tbl>
      <w:tblPr>
        <w:tblW w:w="5000" w:type="pct"/>
        <w:jc w:val="center"/>
        <w:tblInd w:w="0" w:type="dxa"/>
        <w:tblCellMar>
          <w:top w:w="0" w:type="dxa"/>
          <w:left w:w="0" w:type="dxa"/>
          <w:bottom w:w="0" w:type="dxa"/>
          <w:right w:w="0" w:type="dxa"/>
        </w:tblCellMar>
      </w:tblPr>
      <w:tblGrid>
        <w:gridCol w:w="1293"/>
        <w:gridCol w:w="76"/>
        <w:gridCol w:w="839"/>
        <w:gridCol w:w="76"/>
        <w:gridCol w:w="1911"/>
        <w:gridCol w:w="76"/>
        <w:gridCol w:w="1911"/>
        <w:gridCol w:w="76"/>
        <w:gridCol w:w="1955"/>
        <w:gridCol w:w="76"/>
        <w:gridCol w:w="1916"/>
      </w:tblGrid>
      <w:tr>
        <w:trPr/>
        <w:tc>
          <w:tcPr>
            <w:tcW w:w="129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839"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911"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911"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955"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916" w:type="dxa"/>
            <w:tcBorders/>
            <w:shd w:fill="auto" w:val="clear"/>
            <w:vAlign w:val="bottom"/>
          </w:tcPr>
          <w:p>
            <w:pPr>
              <w:pStyle w:val="TableContents"/>
              <w:spacing w:before="0" w:after="283"/>
              <w:rPr/>
            </w:pPr>
            <w:r>
              <w:rPr/>
              <w:t> </w:t>
            </w:r>
          </w:p>
        </w:tc>
      </w:tr>
      <w:tr>
        <w:trPr/>
        <w:tc>
          <w:tcPr>
            <w:tcW w:w="129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839"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7921" w:type="dxa"/>
            <w:gridSpan w:val="7"/>
            <w:tcBorders>
              <w:bottom w:val="single" w:sz="2" w:space="0" w:color="000000"/>
            </w:tcBorders>
            <w:shd w:fill="auto" w:val="clear"/>
            <w:tcMar>
              <w:bottom w:w="28" w:type="dxa"/>
            </w:tcMar>
            <w:vAlign w:val="bottom"/>
          </w:tcPr>
          <w:p>
            <w:pPr>
              <w:pStyle w:val="TableContents"/>
              <w:spacing w:before="0" w:after="283"/>
              <w:jc w:val="center"/>
              <w:rPr>
                <w:b/>
              </w:rPr>
            </w:pPr>
            <w:r>
              <w:rPr>
                <w:b/>
              </w:rPr>
              <w:t>Assumptions</w:t>
            </w:r>
          </w:p>
        </w:tc>
      </w:tr>
      <w:tr>
        <w:trPr/>
        <w:tc>
          <w:tcPr>
            <w:tcW w:w="1293"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839"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911"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911"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955"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916" w:type="dxa"/>
            <w:tcBorders/>
            <w:shd w:fill="auto" w:val="clear"/>
            <w:vAlign w:val="bottom"/>
          </w:tcPr>
          <w:p>
            <w:pPr>
              <w:pStyle w:val="TableContents"/>
              <w:spacing w:before="0" w:after="283"/>
              <w:jc w:val="center"/>
              <w:rPr>
                <w:b/>
              </w:rPr>
            </w:pPr>
            <w:r>
              <w:rPr>
                <w:b/>
              </w:rPr>
              <w:t>Weighted Average</w:t>
            </w:r>
          </w:p>
        </w:tc>
      </w:tr>
      <w:tr>
        <w:trPr/>
        <w:tc>
          <w:tcPr>
            <w:tcW w:w="1293" w:type="dxa"/>
            <w:tcBorders/>
            <w:shd w:fill="auto" w:val="clear"/>
            <w:vAlign w:val="bottom"/>
          </w:tcPr>
          <w:p>
            <w:pPr>
              <w:pStyle w:val="TableContents"/>
              <w:spacing w:before="0" w:after="283"/>
              <w:jc w:val="center"/>
              <w:rPr>
                <w:b/>
              </w:rPr>
            </w:pPr>
            <w:r>
              <w:rPr>
                <w:b/>
              </w:rPr>
              <w:t>Options</w:t>
            </w:r>
          </w:p>
        </w:tc>
        <w:tc>
          <w:tcPr>
            <w:tcW w:w="76" w:type="dxa"/>
            <w:tcBorders/>
            <w:shd w:fill="auto" w:val="clear"/>
            <w:vAlign w:val="bottom"/>
          </w:tcPr>
          <w:p>
            <w:pPr>
              <w:pStyle w:val="TableContents"/>
              <w:spacing w:before="0" w:after="283"/>
              <w:rPr/>
            </w:pPr>
            <w:r>
              <w:rPr/>
              <w:t> </w:t>
            </w:r>
          </w:p>
        </w:tc>
        <w:tc>
          <w:tcPr>
            <w:tcW w:w="839" w:type="dxa"/>
            <w:tcBorders/>
            <w:shd w:fill="auto" w:val="clear"/>
            <w:vAlign w:val="bottom"/>
          </w:tcPr>
          <w:p>
            <w:pPr>
              <w:pStyle w:val="TableContents"/>
              <w:spacing w:before="0" w:after="283"/>
              <w:jc w:val="center"/>
              <w:rPr>
                <w:b/>
              </w:rPr>
            </w:pPr>
            <w:r>
              <w:rPr>
                <w:b/>
              </w:rPr>
              <w:t>Options</w:t>
            </w:r>
          </w:p>
        </w:tc>
        <w:tc>
          <w:tcPr>
            <w:tcW w:w="76" w:type="dxa"/>
            <w:tcBorders/>
            <w:shd w:fill="auto" w:val="clear"/>
            <w:vAlign w:val="bottom"/>
          </w:tcPr>
          <w:p>
            <w:pPr>
              <w:pStyle w:val="TableContents"/>
              <w:spacing w:before="0" w:after="283"/>
              <w:rPr/>
            </w:pPr>
            <w:r>
              <w:rPr/>
              <w:t> </w:t>
            </w:r>
          </w:p>
        </w:tc>
        <w:tc>
          <w:tcPr>
            <w:tcW w:w="1911" w:type="dxa"/>
            <w:tcBorders/>
            <w:shd w:fill="auto" w:val="clear"/>
            <w:vAlign w:val="bottom"/>
          </w:tcPr>
          <w:p>
            <w:pPr>
              <w:pStyle w:val="TableContents"/>
              <w:spacing w:before="0" w:after="283"/>
              <w:jc w:val="center"/>
              <w:rPr>
                <w:b/>
              </w:rPr>
            </w:pPr>
            <w:r>
              <w:rPr>
                <w:b/>
              </w:rPr>
              <w:t>Weighted Average</w:t>
            </w:r>
          </w:p>
        </w:tc>
        <w:tc>
          <w:tcPr>
            <w:tcW w:w="76" w:type="dxa"/>
            <w:tcBorders/>
            <w:shd w:fill="auto" w:val="clear"/>
            <w:vAlign w:val="bottom"/>
          </w:tcPr>
          <w:p>
            <w:pPr>
              <w:pStyle w:val="TableContents"/>
              <w:spacing w:before="0" w:after="283"/>
              <w:rPr/>
            </w:pPr>
            <w:r>
              <w:rPr/>
              <w:t> </w:t>
            </w:r>
          </w:p>
        </w:tc>
        <w:tc>
          <w:tcPr>
            <w:tcW w:w="1911" w:type="dxa"/>
            <w:tcBorders/>
            <w:shd w:fill="auto" w:val="clear"/>
            <w:vAlign w:val="bottom"/>
          </w:tcPr>
          <w:p>
            <w:pPr>
              <w:pStyle w:val="TableContents"/>
              <w:spacing w:before="0" w:after="283"/>
              <w:jc w:val="center"/>
              <w:rPr>
                <w:b/>
              </w:rPr>
            </w:pPr>
            <w:r>
              <w:rPr>
                <w:b/>
              </w:rPr>
              <w:t>Weighted Average</w:t>
            </w:r>
          </w:p>
        </w:tc>
        <w:tc>
          <w:tcPr>
            <w:tcW w:w="76" w:type="dxa"/>
            <w:tcBorders/>
            <w:shd w:fill="auto" w:val="clear"/>
            <w:vAlign w:val="bottom"/>
          </w:tcPr>
          <w:p>
            <w:pPr>
              <w:pStyle w:val="TableContents"/>
              <w:spacing w:before="0" w:after="283"/>
              <w:rPr/>
            </w:pPr>
            <w:r>
              <w:rPr/>
              <w:t> </w:t>
            </w:r>
          </w:p>
        </w:tc>
        <w:tc>
          <w:tcPr>
            <w:tcW w:w="1955" w:type="dxa"/>
            <w:tcBorders/>
            <w:shd w:fill="auto" w:val="clear"/>
            <w:vAlign w:val="bottom"/>
          </w:tcPr>
          <w:p>
            <w:pPr>
              <w:pStyle w:val="TableContents"/>
              <w:spacing w:before="0" w:after="283"/>
              <w:jc w:val="center"/>
              <w:rPr>
                <w:b/>
              </w:rPr>
            </w:pPr>
            <w:r>
              <w:rPr>
                <w:b/>
              </w:rPr>
              <w:t>Weighted Average</w:t>
            </w:r>
          </w:p>
        </w:tc>
        <w:tc>
          <w:tcPr>
            <w:tcW w:w="76" w:type="dxa"/>
            <w:tcBorders/>
            <w:shd w:fill="auto" w:val="clear"/>
            <w:vAlign w:val="bottom"/>
          </w:tcPr>
          <w:p>
            <w:pPr>
              <w:pStyle w:val="TableContents"/>
              <w:spacing w:before="0" w:after="283"/>
              <w:rPr/>
            </w:pPr>
            <w:r>
              <w:rPr/>
              <w:t> </w:t>
            </w:r>
          </w:p>
        </w:tc>
        <w:tc>
          <w:tcPr>
            <w:tcW w:w="1916" w:type="dxa"/>
            <w:tcBorders/>
            <w:shd w:fill="auto" w:val="clear"/>
            <w:vAlign w:val="bottom"/>
          </w:tcPr>
          <w:p>
            <w:pPr>
              <w:pStyle w:val="TableContents"/>
              <w:spacing w:before="0" w:after="283"/>
              <w:jc w:val="center"/>
              <w:rPr>
                <w:b/>
              </w:rPr>
            </w:pPr>
            <w:r>
              <w:rPr>
                <w:b/>
              </w:rPr>
              <w:t>Expected</w:t>
            </w:r>
          </w:p>
        </w:tc>
      </w:tr>
      <w:tr>
        <w:trPr/>
        <w:tc>
          <w:tcPr>
            <w:tcW w:w="1293" w:type="dxa"/>
            <w:tcBorders>
              <w:bottom w:val="single" w:sz="2" w:space="0" w:color="000000"/>
            </w:tcBorders>
            <w:shd w:fill="auto" w:val="clear"/>
            <w:tcMar>
              <w:bottom w:w="28" w:type="dxa"/>
            </w:tcMar>
            <w:vAlign w:val="bottom"/>
          </w:tcPr>
          <w:p>
            <w:pPr>
              <w:pStyle w:val="TableContents"/>
              <w:spacing w:before="0" w:after="283"/>
              <w:jc w:val="center"/>
              <w:rPr>
                <w:b/>
              </w:rPr>
            </w:pPr>
            <w:r>
              <w:rPr>
                <w:b/>
              </w:rPr>
              <w:t>Outstanding</w:t>
            </w:r>
          </w:p>
        </w:tc>
        <w:tc>
          <w:tcPr>
            <w:tcW w:w="76" w:type="dxa"/>
            <w:tcBorders/>
            <w:shd w:fill="auto" w:val="clear"/>
            <w:vAlign w:val="bottom"/>
          </w:tcPr>
          <w:p>
            <w:pPr>
              <w:pStyle w:val="TableContents"/>
              <w:spacing w:before="0" w:after="283"/>
              <w:rPr/>
            </w:pPr>
            <w:r>
              <w:rPr/>
              <w:t> </w:t>
            </w:r>
          </w:p>
        </w:tc>
        <w:tc>
          <w:tcPr>
            <w:tcW w:w="839" w:type="dxa"/>
            <w:tcBorders>
              <w:bottom w:val="single" w:sz="2" w:space="0" w:color="000000"/>
            </w:tcBorders>
            <w:shd w:fill="auto" w:val="clear"/>
            <w:tcMar>
              <w:bottom w:w="28" w:type="dxa"/>
            </w:tcMar>
            <w:vAlign w:val="bottom"/>
          </w:tcPr>
          <w:p>
            <w:pPr>
              <w:pStyle w:val="TableContents"/>
              <w:spacing w:before="0" w:after="283"/>
              <w:jc w:val="center"/>
              <w:rPr>
                <w:b/>
              </w:rPr>
            </w:pPr>
            <w:r>
              <w:rPr>
                <w:b/>
              </w:rPr>
              <w:t>Vested</w:t>
            </w:r>
          </w:p>
        </w:tc>
        <w:tc>
          <w:tcPr>
            <w:tcW w:w="76" w:type="dxa"/>
            <w:tcBorders/>
            <w:shd w:fill="auto" w:val="clear"/>
            <w:vAlign w:val="bottom"/>
          </w:tcPr>
          <w:p>
            <w:pPr>
              <w:pStyle w:val="TableContents"/>
              <w:spacing w:before="0" w:after="283"/>
              <w:rPr/>
            </w:pPr>
            <w:r>
              <w:rPr/>
              <w:t> </w:t>
            </w:r>
          </w:p>
        </w:tc>
        <w:tc>
          <w:tcPr>
            <w:tcW w:w="1911" w:type="dxa"/>
            <w:tcBorders>
              <w:bottom w:val="single" w:sz="2" w:space="0" w:color="000000"/>
            </w:tcBorders>
            <w:shd w:fill="auto" w:val="clear"/>
            <w:tcMar>
              <w:bottom w:w="28" w:type="dxa"/>
            </w:tcMar>
            <w:vAlign w:val="bottom"/>
          </w:tcPr>
          <w:p>
            <w:pPr>
              <w:pStyle w:val="TableContents"/>
              <w:spacing w:before="0" w:after="283"/>
              <w:jc w:val="center"/>
              <w:rPr>
                <w:b/>
              </w:rPr>
            </w:pPr>
            <w:r>
              <w:rPr>
                <w:b/>
              </w:rPr>
              <w:t>Interest Rate</w:t>
            </w:r>
          </w:p>
        </w:tc>
        <w:tc>
          <w:tcPr>
            <w:tcW w:w="76" w:type="dxa"/>
            <w:tcBorders/>
            <w:shd w:fill="auto" w:val="clear"/>
            <w:vAlign w:val="bottom"/>
          </w:tcPr>
          <w:p>
            <w:pPr>
              <w:pStyle w:val="TableContents"/>
              <w:spacing w:before="0" w:after="283"/>
              <w:rPr/>
            </w:pPr>
            <w:r>
              <w:rPr/>
              <w:t> </w:t>
            </w:r>
          </w:p>
        </w:tc>
        <w:tc>
          <w:tcPr>
            <w:tcW w:w="1911" w:type="dxa"/>
            <w:tcBorders>
              <w:bottom w:val="single" w:sz="2" w:space="0" w:color="000000"/>
            </w:tcBorders>
            <w:shd w:fill="auto" w:val="clear"/>
            <w:tcMar>
              <w:bottom w:w="28" w:type="dxa"/>
            </w:tcMar>
            <w:vAlign w:val="bottom"/>
          </w:tcPr>
          <w:p>
            <w:pPr>
              <w:pStyle w:val="TableContents"/>
              <w:spacing w:before="0" w:after="283"/>
              <w:jc w:val="center"/>
              <w:rPr>
                <w:b/>
              </w:rPr>
            </w:pPr>
            <w:r>
              <w:rPr>
                <w:b/>
              </w:rPr>
              <w:t>Expected Life</w:t>
            </w:r>
          </w:p>
        </w:tc>
        <w:tc>
          <w:tcPr>
            <w:tcW w:w="76" w:type="dxa"/>
            <w:tcBorders/>
            <w:shd w:fill="auto" w:val="clear"/>
            <w:vAlign w:val="bottom"/>
          </w:tcPr>
          <w:p>
            <w:pPr>
              <w:pStyle w:val="TableContents"/>
              <w:spacing w:before="0" w:after="283"/>
              <w:rPr/>
            </w:pPr>
            <w:r>
              <w:rPr/>
              <w:t> </w:t>
            </w:r>
          </w:p>
        </w:tc>
        <w:tc>
          <w:tcPr>
            <w:tcW w:w="1955" w:type="dxa"/>
            <w:tcBorders>
              <w:bottom w:val="single" w:sz="2" w:space="0" w:color="000000"/>
            </w:tcBorders>
            <w:shd w:fill="auto" w:val="clear"/>
            <w:tcMar>
              <w:bottom w:w="28" w:type="dxa"/>
            </w:tcMar>
            <w:vAlign w:val="bottom"/>
          </w:tcPr>
          <w:p>
            <w:pPr>
              <w:pStyle w:val="TableContents"/>
              <w:spacing w:before="0" w:after="283"/>
              <w:jc w:val="center"/>
              <w:rPr>
                <w:b/>
              </w:rPr>
            </w:pPr>
            <w:r>
              <w:rPr>
                <w:b/>
              </w:rPr>
              <w:t>Expected Volatility</w:t>
            </w:r>
          </w:p>
        </w:tc>
        <w:tc>
          <w:tcPr>
            <w:tcW w:w="76" w:type="dxa"/>
            <w:tcBorders/>
            <w:shd w:fill="auto" w:val="clear"/>
            <w:vAlign w:val="bottom"/>
          </w:tcPr>
          <w:p>
            <w:pPr>
              <w:pStyle w:val="TableContents"/>
              <w:spacing w:before="0" w:after="283"/>
              <w:rPr/>
            </w:pPr>
            <w:r>
              <w:rPr/>
              <w:t> </w:t>
            </w:r>
          </w:p>
        </w:tc>
        <w:tc>
          <w:tcPr>
            <w:tcW w:w="1916" w:type="dxa"/>
            <w:tcBorders>
              <w:bottom w:val="single" w:sz="2" w:space="0" w:color="000000"/>
            </w:tcBorders>
            <w:shd w:fill="auto" w:val="clear"/>
            <w:tcMar>
              <w:bottom w:w="28" w:type="dxa"/>
            </w:tcMar>
            <w:vAlign w:val="bottom"/>
          </w:tcPr>
          <w:p>
            <w:pPr>
              <w:pStyle w:val="TableContents"/>
              <w:spacing w:before="0" w:after="283"/>
              <w:jc w:val="center"/>
              <w:rPr>
                <w:b/>
              </w:rPr>
            </w:pPr>
            <w:r>
              <w:rPr>
                <w:b/>
              </w:rPr>
              <w:t>Dividend Yield(1)</w:t>
            </w:r>
          </w:p>
        </w:tc>
      </w:tr>
      <w:tr>
        <w:trPr/>
        <w:tc>
          <w:tcPr>
            <w:tcW w:w="1293" w:type="dxa"/>
            <w:tcBorders/>
            <w:shd w:fill="auto" w:val="clear"/>
          </w:tcPr>
          <w:p>
            <w:pPr>
              <w:pStyle w:val="TableContents"/>
              <w:spacing w:before="0" w:after="0"/>
              <w:ind w:left="225" w:right="0" w:hanging="225"/>
              <w:jc w:val="center"/>
              <w:rPr/>
            </w:pPr>
            <w:r>
              <w:rPr/>
              <w:t xml:space="preserve">169,000 </w:t>
            </w:r>
          </w:p>
        </w:tc>
        <w:tc>
          <w:tcPr>
            <w:tcW w:w="76" w:type="dxa"/>
            <w:tcBorders/>
            <w:shd w:fill="auto" w:val="clear"/>
            <w:vAlign w:val="bottom"/>
          </w:tcPr>
          <w:p>
            <w:pPr>
              <w:pStyle w:val="TableContents"/>
              <w:spacing w:before="0" w:after="283"/>
              <w:rPr/>
            </w:pPr>
            <w:r>
              <w:rPr/>
              <w:t> </w:t>
            </w:r>
          </w:p>
        </w:tc>
        <w:tc>
          <w:tcPr>
            <w:tcW w:w="839" w:type="dxa"/>
            <w:tcBorders/>
            <w:shd w:fill="auto" w:val="clear"/>
          </w:tcPr>
          <w:p>
            <w:pPr>
              <w:pStyle w:val="TableContents"/>
              <w:spacing w:before="0" w:after="283"/>
              <w:jc w:val="center"/>
              <w:rPr/>
            </w:pPr>
            <w:r>
              <w:rPr/>
              <w:t xml:space="preserve">169,000 </w:t>
            </w:r>
          </w:p>
        </w:tc>
        <w:tc>
          <w:tcPr>
            <w:tcW w:w="76" w:type="dxa"/>
            <w:tcBorders/>
            <w:shd w:fill="auto" w:val="clear"/>
            <w:vAlign w:val="bottom"/>
          </w:tcPr>
          <w:p>
            <w:pPr>
              <w:pStyle w:val="TableContents"/>
              <w:spacing w:before="0" w:after="283"/>
              <w:rPr/>
            </w:pPr>
            <w:r>
              <w:rPr/>
              <w:t> </w:t>
            </w:r>
          </w:p>
        </w:tc>
        <w:tc>
          <w:tcPr>
            <w:tcW w:w="1911" w:type="dxa"/>
            <w:tcBorders/>
            <w:shd w:fill="auto" w:val="clear"/>
          </w:tcPr>
          <w:p>
            <w:pPr>
              <w:pStyle w:val="TableContents"/>
              <w:spacing w:before="0" w:after="283"/>
              <w:jc w:val="center"/>
              <w:rPr/>
            </w:pPr>
            <w:r>
              <w:rPr/>
              <w:t xml:space="preserve">4.8% </w:t>
            </w:r>
          </w:p>
        </w:tc>
        <w:tc>
          <w:tcPr>
            <w:tcW w:w="76" w:type="dxa"/>
            <w:tcBorders/>
            <w:shd w:fill="auto" w:val="clear"/>
            <w:vAlign w:val="bottom"/>
          </w:tcPr>
          <w:p>
            <w:pPr>
              <w:pStyle w:val="TableContents"/>
              <w:spacing w:before="0" w:after="283"/>
              <w:rPr/>
            </w:pPr>
            <w:r>
              <w:rPr/>
              <w:t> </w:t>
            </w:r>
          </w:p>
        </w:tc>
        <w:tc>
          <w:tcPr>
            <w:tcW w:w="1911" w:type="dxa"/>
            <w:tcBorders/>
            <w:shd w:fill="auto" w:val="clear"/>
          </w:tcPr>
          <w:p>
            <w:pPr>
              <w:pStyle w:val="TableContents"/>
              <w:spacing w:before="0" w:after="283"/>
              <w:jc w:val="center"/>
              <w:rPr/>
            </w:pPr>
            <w:r>
              <w:rPr/>
              <w:t xml:space="preserve">3.1 </w:t>
            </w:r>
          </w:p>
        </w:tc>
        <w:tc>
          <w:tcPr>
            <w:tcW w:w="76" w:type="dxa"/>
            <w:tcBorders/>
            <w:shd w:fill="auto" w:val="clear"/>
            <w:vAlign w:val="bottom"/>
          </w:tcPr>
          <w:p>
            <w:pPr>
              <w:pStyle w:val="TableContents"/>
              <w:spacing w:before="0" w:after="283"/>
              <w:rPr/>
            </w:pPr>
            <w:r>
              <w:rPr/>
              <w:t> </w:t>
            </w:r>
          </w:p>
        </w:tc>
        <w:tc>
          <w:tcPr>
            <w:tcW w:w="1955" w:type="dxa"/>
            <w:tcBorders/>
            <w:shd w:fill="auto" w:val="clear"/>
          </w:tcPr>
          <w:p>
            <w:pPr>
              <w:pStyle w:val="TableContents"/>
              <w:spacing w:before="0" w:after="283"/>
              <w:jc w:val="center"/>
              <w:rPr/>
            </w:pPr>
            <w:r>
              <w:rPr/>
              <w:t xml:space="preserve">18.0% </w:t>
            </w:r>
          </w:p>
        </w:tc>
        <w:tc>
          <w:tcPr>
            <w:tcW w:w="76" w:type="dxa"/>
            <w:tcBorders/>
            <w:shd w:fill="auto" w:val="clear"/>
            <w:vAlign w:val="bottom"/>
          </w:tcPr>
          <w:p>
            <w:pPr>
              <w:pStyle w:val="TableContents"/>
              <w:spacing w:before="0" w:after="283"/>
              <w:rPr/>
            </w:pPr>
            <w:r>
              <w:rPr/>
              <w:t> </w:t>
            </w:r>
          </w:p>
        </w:tc>
        <w:tc>
          <w:tcPr>
            <w:tcW w:w="1916" w:type="dxa"/>
            <w:tcBorders/>
            <w:shd w:fill="auto" w:val="clear"/>
          </w:tcPr>
          <w:p>
            <w:pPr>
              <w:pStyle w:val="TableContents"/>
              <w:spacing w:before="0" w:after="283"/>
              <w:jc w:val="center"/>
              <w:rPr/>
            </w:pPr>
            <w:r>
              <w:rPr/>
              <w:t>1.8%</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727"/>
        <w:gridCol w:w="2242"/>
        <w:gridCol w:w="1236"/>
      </w:tblGrid>
      <w:tr>
        <w:trPr/>
        <w:tc>
          <w:tcPr>
            <w:tcW w:w="6727" w:type="dxa"/>
            <w:tcBorders/>
            <w:shd w:fill="auto" w:val="clear"/>
            <w:vAlign w:val="center"/>
          </w:tcPr>
          <w:p>
            <w:pPr>
              <w:pStyle w:val="TableContents"/>
              <w:spacing w:before="0" w:after="283"/>
              <w:rPr>
                <w:sz w:val="4"/>
                <w:szCs w:val="4"/>
              </w:rPr>
            </w:pPr>
            <w:r>
              <w:rPr>
                <w:sz w:val="4"/>
                <w:szCs w:val="4"/>
              </w:rPr>
            </w:r>
          </w:p>
        </w:tc>
        <w:tc>
          <w:tcPr>
            <w:tcW w:w="2242" w:type="dxa"/>
            <w:tcBorders/>
            <w:shd w:fill="auto" w:val="clear"/>
            <w:vAlign w:val="center"/>
          </w:tcPr>
          <w:p>
            <w:pPr>
              <w:pStyle w:val="TableContents"/>
              <w:spacing w:before="0" w:after="283"/>
              <w:rPr>
                <w:sz w:val="4"/>
                <w:szCs w:val="4"/>
              </w:rPr>
            </w:pPr>
            <w:r>
              <w:rPr>
                <w:sz w:val="4"/>
                <w:szCs w:val="4"/>
              </w:rPr>
            </w:r>
          </w:p>
        </w:tc>
        <w:tc>
          <w:tcPr>
            <w:tcW w:w="1236" w:type="dxa"/>
            <w:tcBorders/>
            <w:shd w:fill="auto" w:val="clear"/>
            <w:vAlign w:val="center"/>
          </w:tcPr>
          <w:p>
            <w:pPr>
              <w:pStyle w:val="TableContents"/>
              <w:spacing w:before="0" w:after="283"/>
              <w:rPr>
                <w:sz w:val="4"/>
                <w:szCs w:val="4"/>
              </w:rPr>
            </w:pPr>
            <w:r>
              <w:rPr>
                <w:sz w:val="4"/>
                <w:szCs w:val="4"/>
              </w:rPr>
            </w:r>
          </w:p>
        </w:tc>
      </w:tr>
      <w:tr>
        <w:trPr/>
        <w:tc>
          <w:tcPr>
            <w:tcW w:w="6727" w:type="dxa"/>
            <w:tcBorders/>
            <w:shd w:fill="auto" w:val="clear"/>
          </w:tcPr>
          <w:p>
            <w:pPr>
              <w:pStyle w:val="TableContents"/>
              <w:spacing w:before="0" w:after="283"/>
              <w:jc w:val="left"/>
              <w:rPr/>
            </w:pPr>
            <w:r>
              <w:rPr/>
              <w:t>(1)</w:t>
            </w:r>
          </w:p>
        </w:tc>
        <w:tc>
          <w:tcPr>
            <w:tcW w:w="2242" w:type="dxa"/>
            <w:tcBorders/>
            <w:shd w:fill="auto" w:val="clear"/>
          </w:tcPr>
          <w:p>
            <w:pPr>
              <w:pStyle w:val="TableContents"/>
              <w:spacing w:before="0" w:after="283"/>
              <w:rPr/>
            </w:pPr>
            <w:r>
              <w:rPr/>
              <w:t> </w:t>
            </w:r>
          </w:p>
        </w:tc>
        <w:tc>
          <w:tcPr>
            <w:tcW w:w="1236" w:type="dxa"/>
            <w:tcBorders/>
            <w:shd w:fill="auto" w:val="clear"/>
          </w:tcPr>
          <w:p>
            <w:pPr>
              <w:pStyle w:val="TableContents"/>
              <w:spacing w:before="0" w:after="283"/>
              <w:rPr/>
            </w:pPr>
            <w:r>
              <w:rPr/>
              <w:t>Reflects 20% of anticipated dividend yield to provide for the reduction in the exercise price of the options equal to 80% of distributions.</w:t>
            </w:r>
          </w:p>
        </w:tc>
      </w:tr>
    </w:tbl>
    <w:p>
      <w:pPr>
        <w:pStyle w:val="TextBody"/>
        <w:spacing w:before="120" w:after="283"/>
        <w:jc w:val="left"/>
        <w:rPr/>
      </w:pPr>
      <w:r>
        <w:rPr/>
        <w:t>     </w:t>
      </w:r>
      <w:r>
        <w:rPr>
          <w:rFonts w:ascii="Times New Roman;Times;serif" w:hAnsi="Times New Roman;Times;serif"/>
          <w:sz w:val="17"/>
        </w:rPr>
        <w:t xml:space="preserve">During the first quarter of 2005, the Board of Directors of our General Partner approved amendments to the Plan. The Plan, as amended, requires options that vest in 2005 or thereafter to be exercised in the year in which they vest. In August 2005, because of the change in ownership structure discussed in Note 1, all unvested options under the Plan became fully vested and, based on the amendment, were either (i) exercised or (ii) included in a program pursuant to which we sold an equivalent number of Option Units and used the proceeds to pay the equivalent of the exercise price and tax, with the remainder paid to the optionees. The remaining options, all of which vested prior to 2005, expire in 2011 and 2012. </w:t>
      </w:r>
    </w:p>
    <w:p>
      <w:pPr>
        <w:pStyle w:val="TextBody"/>
        <w:spacing w:before="0" w:after="0"/>
        <w:jc w:val="center"/>
        <w:rPr>
          <w:rFonts w:ascii="Times New Roman;Times;serif" w:hAnsi="Times New Roman;Times;serif"/>
          <w:sz w:val="17"/>
        </w:rPr>
      </w:pPr>
      <w:r>
        <w:rPr>
          <w:rFonts w:ascii="Times New Roman;Times;serif" w:hAnsi="Times New Roman;Times;serif"/>
          <w:sz w:val="17"/>
        </w:rPr>
        <w:t xml:space="preserve">F-6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10</Pages>
  <Words>3395</Words>
  <CharactersWithSpaces>21557</CharactersWithSpaces>
  <Paragraphs>677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exv99w1</dc:title>
</cp:coreProperties>
</file>