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RAYMOND JOHN T</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11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0000FF"/>
              </w:rPr>
              <w:t>PAA</w:t>
            </w:r>
            <w:r>
              <w:rPr>
                <w:rFonts w:ascii="Arial" w:cs="Arial" w:eastAsia="Arial" w:hAnsi="Arial"/>
                <w:sz w:val="13"/>
                <w:szCs w:val="13"/>
                <w:color w:val="auto"/>
              </w:rPr>
              <w:t xml:space="preserve"> ]</w:t>
            </w: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7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ind w:left="100"/>
              <w:spacing w:after="0" w:line="115" w:lineRule="exact"/>
              <w:rPr>
                <w:sz w:val="20"/>
                <w:szCs w:val="20"/>
                <w:color w:val="auto"/>
              </w:rPr>
            </w:pPr>
            <w:r>
              <w:rPr>
                <w:rFonts w:ascii="Arial" w:cs="Arial" w:eastAsia="Arial" w:hAnsi="Arial"/>
                <w:sz w:val="12"/>
                <w:szCs w:val="12"/>
                <w:color w:val="auto"/>
              </w:rPr>
              <w:t>below)</w:t>
            </w:r>
          </w:p>
        </w:tc>
        <w:tc>
          <w:tcPr>
            <w:tcW w:w="940" w:type="dxa"/>
            <w:vAlign w:val="bottom"/>
          </w:tcPr>
          <w:p>
            <w:pPr>
              <w:ind w:left="52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w w:val="95"/>
              </w:rPr>
              <w:t>811 MAIN STREET, SUITE 4200</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08/21/2014</w:t>
            </w: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gridSpan w:val="3"/>
          </w:tcPr>
          <w:p>
            <w:pPr>
              <w:spacing w:after="0"/>
              <w:rPr>
                <w:sz w:val="9"/>
                <w:szCs w:val="9"/>
                <w:color w:val="auto"/>
              </w:rPr>
            </w:pPr>
          </w:p>
        </w:tc>
        <w:tc>
          <w:tcPr>
            <w:tcW w:w="2180" w:type="dxa"/>
            <w:vAlign w:val="bottom"/>
            <w:tcBorders>
              <w:bottom w:val="single" w:sz="8" w:color="2C2C2C"/>
            </w:tcBorders>
            <w:gridSpan w:val="4"/>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Line)</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20" w:type="dxa"/>
            <w:vAlign w:val="bottom"/>
            <w:gridSpan w:val="5"/>
          </w:tcPr>
          <w:p>
            <w:pPr>
              <w:ind w:left="1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9"/>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00"/>
              <w:spacing w:after="0"/>
              <w:rPr>
                <w:sz w:val="20"/>
                <w:szCs w:val="20"/>
                <w:color w:val="auto"/>
              </w:rPr>
            </w:pPr>
            <w:r>
              <w:rPr>
                <w:rFonts w:ascii="Arial" w:cs="Arial" w:eastAsia="Arial" w:hAnsi="Arial"/>
                <w:sz w:val="18"/>
                <w:szCs w:val="18"/>
                <w:color w:val="0000FF"/>
                <w:w w:val="88"/>
              </w:rPr>
              <w:t>08/21/2014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ind w:right="9"/>
              <w:spacing w:after="0"/>
              <w:rPr>
                <w:sz w:val="20"/>
                <w:szCs w:val="20"/>
                <w:color w:val="auto"/>
              </w:rPr>
            </w:pPr>
            <w:r>
              <w:rPr>
                <w:rFonts w:ascii="Arial" w:cs="Arial" w:eastAsia="Arial" w:hAnsi="Arial"/>
                <w:sz w:val="18"/>
                <w:szCs w:val="18"/>
                <w:color w:val="0000FF"/>
                <w:w w:val="84"/>
              </w:rPr>
              <w:t>53,649</w:t>
            </w:r>
            <w:r>
              <w:rPr>
                <w:rFonts w:ascii="Arial" w:cs="Arial" w:eastAsia="Arial" w:hAnsi="Arial"/>
                <w:sz w:val="22"/>
                <w:szCs w:val="22"/>
                <w:color w:val="008000"/>
                <w:w w:val="84"/>
                <w:vertAlign w:val="superscript"/>
              </w:rPr>
              <w:t>(1)</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gridSpan w:val="5"/>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58.5059</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1,631,382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00"/>
              <w:spacing w:after="0"/>
              <w:rPr>
                <w:sz w:val="20"/>
                <w:szCs w:val="20"/>
                <w:color w:val="auto"/>
              </w:rPr>
            </w:pPr>
            <w:r>
              <w:rPr>
                <w:rFonts w:ascii="Arial" w:cs="Arial" w:eastAsia="Arial" w:hAnsi="Arial"/>
                <w:sz w:val="18"/>
                <w:szCs w:val="18"/>
                <w:color w:val="0000FF"/>
                <w:w w:val="88"/>
              </w:rPr>
              <w:t>08/22/2014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ind w:right="9"/>
              <w:spacing w:after="0"/>
              <w:rPr>
                <w:sz w:val="20"/>
                <w:szCs w:val="20"/>
                <w:color w:val="auto"/>
              </w:rPr>
            </w:pPr>
            <w:r>
              <w:rPr>
                <w:rFonts w:ascii="Arial" w:cs="Arial" w:eastAsia="Arial" w:hAnsi="Arial"/>
                <w:sz w:val="18"/>
                <w:szCs w:val="18"/>
                <w:color w:val="0000FF"/>
                <w:w w:val="84"/>
              </w:rPr>
              <w:t>141,011</w:t>
            </w:r>
            <w:r>
              <w:rPr>
                <w:rFonts w:ascii="Arial" w:cs="Arial" w:eastAsia="Arial" w:hAnsi="Arial"/>
                <w:sz w:val="22"/>
                <w:szCs w:val="22"/>
                <w:color w:val="008000"/>
                <w:w w:val="84"/>
                <w:vertAlign w:val="superscript"/>
              </w:rPr>
              <w:t>(1)</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gridSpan w:val="5"/>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58.3049</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1,490,371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00"/>
              <w:spacing w:after="0"/>
              <w:rPr>
                <w:sz w:val="20"/>
                <w:szCs w:val="20"/>
                <w:color w:val="auto"/>
              </w:rPr>
            </w:pPr>
            <w:r>
              <w:rPr>
                <w:rFonts w:ascii="Arial" w:cs="Arial" w:eastAsia="Arial" w:hAnsi="Arial"/>
                <w:sz w:val="18"/>
                <w:szCs w:val="18"/>
                <w:color w:val="0000FF"/>
                <w:w w:val="88"/>
              </w:rPr>
              <w:t>08/25/2014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ind w:right="9"/>
              <w:spacing w:after="0"/>
              <w:rPr>
                <w:sz w:val="20"/>
                <w:szCs w:val="20"/>
                <w:color w:val="auto"/>
              </w:rPr>
            </w:pPr>
            <w:r>
              <w:rPr>
                <w:rFonts w:ascii="Arial" w:cs="Arial" w:eastAsia="Arial" w:hAnsi="Arial"/>
                <w:sz w:val="18"/>
                <w:szCs w:val="18"/>
                <w:color w:val="0000FF"/>
                <w:w w:val="84"/>
              </w:rPr>
              <w:t>63,438</w:t>
            </w:r>
            <w:r>
              <w:rPr>
                <w:rFonts w:ascii="Arial" w:cs="Arial" w:eastAsia="Arial" w:hAnsi="Arial"/>
                <w:sz w:val="22"/>
                <w:szCs w:val="22"/>
                <w:color w:val="008000"/>
                <w:w w:val="84"/>
                <w:vertAlign w:val="superscript"/>
              </w:rPr>
              <w:t>(1)</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gridSpan w:val="5"/>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58.3418</w:t>
            </w:r>
            <w:r>
              <w:rPr>
                <w:rFonts w:ascii="Arial" w:cs="Arial" w:eastAsia="Arial" w:hAnsi="Arial"/>
                <w:sz w:val="22"/>
                <w:szCs w:val="22"/>
                <w:color w:val="008000"/>
                <w:w w:val="90"/>
                <w:vertAlign w:val="superscript"/>
              </w:rPr>
              <w:t>(4)</w:t>
            </w:r>
          </w:p>
        </w:tc>
        <w:tc>
          <w:tcPr>
            <w:tcW w:w="12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1,426,933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left="4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00" w:type="dxa"/>
            <w:vAlign w:val="bottom"/>
            <w:gridSpan w:val="15"/>
          </w:tcPr>
          <w:p>
            <w:pPr>
              <w:jc w:val="center"/>
              <w:ind w:left="5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aggregate 258,098 common units reported as sold herein were owned directly by NGPMR MLP Opportunity Fund Company, LLC (the "MLP Fund"). Beneficial ownership of the 258,098 common units was originally reported by John T. Raymond ("Raymond") solely in his capacity as the Chief Executive Officer and Managing Partner of NGP MR GP, LLC, the general partner of NGP MR, LP, the general partner of NGP Midstream &amp; Resources, L.P., the member holding a majority interest in the MLP Fund. Raymond disclaims beneficial ownership of the 258,098 common units owned by the MLP Fund except to the extent of his pecuniary interest therein, and the inclusion of the common units in Raymond's Form 4 shall not be deemed an admission of beneficial ownership of all of the reported common units for purposes of Section 16 or for any other purpose.</w:t>
      </w:r>
    </w:p>
    <w:p>
      <w:pPr>
        <w:spacing w:after="0" w:line="32"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$58.50 to $58.62. Reporting Person undertakes to provide to the SEC staff, the Issuer or any unitholder of the Issuer, upon request, full information regarding the number of units sold at each separate price.</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$58.25 to $58.60. Reporting Person undertakes to provide to the SEC staff, the Issuer or any unitholder of the Issuer, upon request, full information regarding the number of units sold at each separate price.</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$58.25 to $5861. Reporting Person undertakes to provide to the SEC staff, the Issuer or any unitholder of the Issuer, upon request, full information regarding the number of units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0000FF"/>
                <w:w w:val="86"/>
              </w:rPr>
              <w:t>/s/ John T. Raymond</w:t>
            </w:r>
          </w:p>
        </w:tc>
        <w:tc>
          <w:tcPr>
            <w:tcW w:w="6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08/25/2014</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173"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2020-01-28T09:41:42Z</dcterms:created>
  <dcterms:modified xsi:type="dcterms:W3CDTF">2020-01-28T09:41:42Z</dcterms:modified>
</cp:coreProperties>
</file>