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May 3, 2024</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May 3, 2024, the Registrant issued a press release reporting its first-quarter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May 3, 2024</w:t>
            </w:r>
          </w:p>
        </w:tc>
        <w:tc>
          <w:tcPr>
            <w:tcW w:w="5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7800" w:type="dxa"/>
            <w:vAlign w:val="bottom"/>
            <w:gridSpan w:val="3"/>
          </w:tcPr>
          <w:p>
            <w:pPr>
              <w:ind w:left="16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2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282575</wp:posOffset>
            </wp:positionV>
            <wp:extent cx="1969135" cy="443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Plains All American Reports First-Quarter 2024 Results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Provides Update on Permian Long-Haul Contracting &amp; Announces Bolt-on Acquisitions</w:t>
      </w:r>
    </w:p>
    <w:p>
      <w:pPr>
        <w:spacing w:after="0" w:line="198"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 xml:space="preserve">Houston, TX – May 3, 2024 – Plains All American Pipeline, L.P. (Nasdaq: </w:t>
      </w:r>
      <w:r>
        <w:rPr>
          <w:rFonts w:ascii="Times New Roman" w:cs="Times New Roman" w:eastAsia="Times New Roman" w:hAnsi="Times New Roman"/>
          <w:sz w:val="17"/>
          <w:szCs w:val="17"/>
          <w:color w:val="0000FF"/>
        </w:rPr>
        <w:t>PAA</w:t>
      </w:r>
      <w:r>
        <w:rPr>
          <w:rFonts w:ascii="Times New Roman" w:cs="Times New Roman" w:eastAsia="Times New Roman" w:hAnsi="Times New Roman"/>
          <w:sz w:val="17"/>
          <w:szCs w:val="17"/>
          <w:color w:val="auto"/>
        </w:rPr>
        <w:t xml:space="preserve">) and Plains GP Holdings (Nasdaq: </w:t>
      </w:r>
      <w:r>
        <w:rPr>
          <w:rFonts w:ascii="Times New Roman" w:cs="Times New Roman" w:eastAsia="Times New Roman" w:hAnsi="Times New Roman"/>
          <w:sz w:val="17"/>
          <w:szCs w:val="17"/>
          <w:color w:val="0000FF"/>
        </w:rPr>
        <w:t>PAGP</w:t>
      </w:r>
      <w:r>
        <w:rPr>
          <w:rFonts w:ascii="Times New Roman" w:cs="Times New Roman" w:eastAsia="Times New Roman" w:hAnsi="Times New Roman"/>
          <w:sz w:val="17"/>
          <w:szCs w:val="17"/>
          <w:color w:val="auto"/>
        </w:rPr>
        <w:t>) today reported first-quarter 2024 results and reaffirmed full-year 2024 Adjusted EBITDA guidance. Plains also provided updates on Permian long-haul contracting and announced two bolt-on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First-Quarter Results</w:t>
      </w:r>
    </w:p>
    <w:p>
      <w:pPr>
        <w:spacing w:after="0" w:line="235"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$266 million and Net cash provided by operating activities of $419 million</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Adjusted EBITDA attributable to PAA of $718 million; on-track to meet full-year guidance of $2.625 - $2.725 billion</w:t>
      </w:r>
    </w:p>
    <w:p>
      <w:pPr>
        <w:spacing w:after="0" w:line="3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Generated Adjusted Free Cash Flow of $262 million (excluding changes in Assets &amp; Liabilities; including bolt-on acquisition capital)</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annualized common distribution by $0.20 to $1.27 per unit (~19% increase, paid in February)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Permian Long-Haul Contracting Update</w:t>
      </w:r>
    </w:p>
    <w:p>
      <w:pPr>
        <w:spacing w:after="0" w:line="248" w:lineRule="exact"/>
        <w:rPr>
          <w:sz w:val="20"/>
          <w:szCs w:val="20"/>
          <w:color w:val="auto"/>
        </w:rPr>
      </w:pPr>
    </w:p>
    <w:p>
      <w:pPr>
        <w:ind w:left="620" w:right="48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contracted volumes and extended the term of certain contracts such that the weighted average contract duration of our Permian long-haul portfolio is approximately 5-years, through 2028, including new contracts or extensions on Cactus I, Cactus II and Basin/Sunrise</w:t>
      </w:r>
    </w:p>
    <w:p>
      <w:pPr>
        <w:spacing w:after="0" w:line="176"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underlying growth in the business and contributions from efficient growth investments to offset lower contracted rates resulting in broadly flat Adj. EBITDA in 2026 as compared to 2024 guidance for the Crude Oil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Bolt-on Acquisitions</w:t>
      </w:r>
    </w:p>
    <w:p>
      <w:pPr>
        <w:spacing w:after="0" w:line="248" w:lineRule="exact"/>
        <w:rPr>
          <w:sz w:val="20"/>
          <w:szCs w:val="20"/>
          <w:color w:val="auto"/>
        </w:rPr>
      </w:pPr>
    </w:p>
    <w:p>
      <w:pPr>
        <w:ind w:left="620" w:right="860" w:hanging="307"/>
        <w:spacing w:after="0" w:line="28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Plains acquired an additional 10% interest in Saddlehorn Pipeline Company and a Mid-Con terminal asset for aggregate cash consideration of approximately $110 million enhancing Plains’ position in the Rockies and Mid-Con</w:t>
      </w:r>
    </w:p>
    <w:p>
      <w:pPr>
        <w:spacing w:after="0" w:line="1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“This marks a solid start to the year as we are on-track to deliver against our full-year plan and our bolt-on M&amp;A strategy continues to prove successful with complementary transactions enhancing our footprint in the Rockies and Mid-Con,” said Willie Chiang, Chairman and CEO of Plains. “Separately, we successfully extended the duration of our Permian long-haul portfolio, including Cactus I. This represents a major milestone and provides greater clarity on the outlook for our long-haul assets. Better visibility around re-contracting combined with our disciplined operational and financial performance should provide investors with greater confidence in the outlook for the business and our ability to continue generating significant free cash flow for years to come.”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5"/>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581"/>
        </w:trPr>
        <w:tc>
          <w:tcPr>
            <w:tcW w:w="8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w:t>
            </w:r>
          </w:p>
        </w:tc>
        <w:tc>
          <w:tcPr>
            <w:tcW w:w="20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8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826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after Distributions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 (Excluding Changes in Assets &amp; Liabilities)</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7"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35" w:lineRule="exact"/>
        <w:rPr>
          <w:rFonts w:ascii="Times New Roman" w:cs="Times New Roman" w:eastAsia="Times New Roman" w:hAnsi="Times New Roman"/>
          <w:sz w:val="22"/>
          <w:szCs w:val="22"/>
          <w:color w:val="auto"/>
          <w:vertAlign w:val="superscript"/>
        </w:rPr>
      </w:pPr>
    </w:p>
    <w:p>
      <w:pPr>
        <w:ind w:left="320" w:right="40" w:hanging="317"/>
        <w:spacing w:after="0" w:line="23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joint venture,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560" w:type="dxa"/>
            <w:vAlign w:val="bottom"/>
            <w:tcBorders>
              <w:bottom w:val="single" w:sz="8" w:color="auto"/>
            </w:tcBorders>
          </w:tcPr>
          <w:p>
            <w:pPr>
              <w:spacing w:after="0"/>
              <w:rPr>
                <w:sz w:val="18"/>
                <w:szCs w:val="18"/>
                <w:color w:val="auto"/>
              </w:rPr>
            </w:pPr>
          </w:p>
        </w:tc>
      </w:tr>
      <w:tr>
        <w:trPr>
          <w:trHeight w:val="201"/>
        </w:trPr>
        <w:tc>
          <w:tcPr>
            <w:tcW w:w="78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NGL</w:t>
            </w:r>
          </w:p>
        </w:tc>
        <w:tc>
          <w:tcPr>
            <w:tcW w:w="560" w:type="dxa"/>
            <w:vAlign w:val="bottom"/>
            <w:tcBorders>
              <w:bottom w:val="single" w:sz="8" w:color="auto"/>
            </w:tcBorders>
          </w:tcPr>
          <w:p>
            <w:pPr>
              <w:spacing w:after="0"/>
              <w:rPr>
                <w:sz w:val="17"/>
                <w:szCs w:val="17"/>
                <w:color w:val="auto"/>
              </w:rPr>
            </w:pPr>
          </w:p>
        </w:tc>
      </w:tr>
      <w:tr>
        <w:trPr>
          <w:trHeight w:val="23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March 31, 2024</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159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March 31, 2023</w:t>
            </w:r>
          </w:p>
        </w:tc>
        <w:tc>
          <w:tcPr>
            <w:tcW w:w="1160" w:type="dxa"/>
            <w:vAlign w:val="bottom"/>
            <w:tcBorders>
              <w:bottom w:val="single" w:sz="8" w:color="auto"/>
            </w:tcBorders>
          </w:tcPr>
          <w:p>
            <w:pPr>
              <w:jc w:val="right"/>
              <w:ind w:right="978"/>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517</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9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ind w:left="100"/>
              <w:spacing w:after="0" w:line="191" w:lineRule="exact"/>
              <w:rPr>
                <w:sz w:val="20"/>
                <w:szCs w:val="20"/>
                <w:color w:val="auto"/>
              </w:rPr>
            </w:pPr>
            <w:r>
              <w:rPr>
                <w:rFonts w:ascii="Times New Roman" w:cs="Times New Roman" w:eastAsia="Times New Roman" w:hAnsi="Times New Roman"/>
                <w:sz w:val="17"/>
                <w:szCs w:val="17"/>
                <w:color w:val="auto"/>
              </w:rPr>
              <w:t>192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(17)%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340" w:firstLine="620"/>
        <w:spacing w:after="0" w:line="288" w:lineRule="auto"/>
        <w:rPr>
          <w:sz w:val="20"/>
          <w:szCs w:val="20"/>
          <w:color w:val="auto"/>
        </w:rPr>
      </w:pPr>
      <w:r>
        <w:rPr>
          <w:rFonts w:ascii="Times New Roman" w:cs="Times New Roman" w:eastAsia="Times New Roman" w:hAnsi="Times New Roman"/>
          <w:sz w:val="17"/>
          <w:szCs w:val="17"/>
          <w:color w:val="auto"/>
        </w:rPr>
        <w:t>First-quarter 2024 Crude Oil Segment Adjusted EBITDA increased 7% versus comparable 2023 results primarily due to higher tariff volumes on our pipelines, tariff escalations and contributions from acquisitions. These items were partially offset by fewer market based opportunities.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First-quarter 2024 NGL Segment Adjusted EBITDA decreased 17% versus comparable 2023 results primarily due to lower realized frac spreads.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May 3, 2024 to discuss first-quarter performance and related items.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https://edge.media-server.com/mmc/p/cr79phyy/</w:t>
      </w:r>
    </w:p>
    <w:p>
      <w:pPr>
        <w:spacing w:after="0" w:line="244"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96"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32"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w:t>
      </w:r>
    </w:p>
    <w:p>
      <w:pPr>
        <w:spacing w:after="0" w:line="93"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98"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44" w:lineRule="exact"/>
        <w:rPr>
          <w:sz w:val="20"/>
          <w:szCs w:val="20"/>
          <w:color w:val="auto"/>
        </w:rPr>
      </w:pPr>
    </w:p>
    <w:p>
      <w:pPr>
        <w:ind w:right="120" w:firstLine="620"/>
        <w:spacing w:after="0" w:line="260"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spacing w:after="0" w:line="73"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bottom w:val="single" w:sz="8" w:color="CCEEFF"/>
            </w:tcBorders>
          </w:tcPr>
          <w:p>
            <w:pPr>
              <w:spacing w:after="0"/>
              <w:rPr>
                <w:sz w:val="17"/>
                <w:szCs w:val="17"/>
                <w:color w:val="auto"/>
              </w:rPr>
            </w:pPr>
          </w:p>
        </w:tc>
        <w:tc>
          <w:tcPr>
            <w:tcW w:w="476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Field operating costs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1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2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center"/>
              <w:ind w:right="414"/>
              <w:spacing w:after="0"/>
              <w:rPr>
                <w:sz w:val="20"/>
                <w:szCs w:val="20"/>
                <w:color w:val="auto"/>
              </w:rPr>
            </w:pPr>
            <w:r>
              <w:rPr>
                <w:rFonts w:ascii="Times New Roman" w:cs="Times New Roman" w:eastAsia="Times New Roman" w:hAnsi="Times New Roman"/>
                <w:sz w:val="17"/>
                <w:szCs w:val="17"/>
                <w:color w:val="auto"/>
              </w:rPr>
              <w:t>- more -</w:t>
            </w:r>
          </w:p>
        </w:tc>
        <w:tc>
          <w:tcPr>
            <w:tcW w:w="1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180" w:type="dxa"/>
            <w:vAlign w:val="bottom"/>
          </w:tcPr>
          <w:p>
            <w:pPr>
              <w:jc w:val="center"/>
              <w:ind w:right="43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3020" w:type="dxa"/>
            <w:vAlign w:val="bottom"/>
            <w:gridSpan w:val="3"/>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Pr>
          <w:p>
            <w:pPr>
              <w:spacing w:after="0"/>
              <w:rPr>
                <w:sz w:val="13"/>
                <w:szCs w:val="13"/>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assets (including Cash and cash equivalents of $331 and $450, respectively)</w:t>
            </w:r>
          </w:p>
        </w:tc>
        <w:tc>
          <w:tcPr>
            <w:tcW w:w="19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Pr>
          <w:p>
            <w:pPr>
              <w:spacing w:after="0"/>
              <w:rPr>
                <w:sz w:val="13"/>
                <w:szCs w:val="13"/>
                <w:color w:val="auto"/>
              </w:rPr>
            </w:pPr>
          </w:p>
        </w:tc>
        <w:tc>
          <w:tcPr>
            <w:tcW w:w="106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18,201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960" w:type="dxa"/>
            <w:vAlign w:val="bottom"/>
            <w:gridSpan w:val="3"/>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0"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20" w:type="dxa"/>
            <w:vAlign w:val="bottom"/>
          </w:tcPr>
          <w:p>
            <w:pPr>
              <w:spacing w:after="0"/>
              <w:rPr>
                <w:sz w:val="17"/>
                <w:szCs w:val="17"/>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allocated to common unitholders</w:t>
            </w: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45"/>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5"/>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126" w:lineRule="exact"/>
        <w:rPr>
          <w:sz w:val="20"/>
          <w:szCs w:val="20"/>
          <w:color w:val="auto"/>
        </w:rPr>
      </w:pPr>
    </w:p>
    <w:p>
      <w:pPr>
        <w:ind w:left="320" w:right="10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right="56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each of the three months ended March 31, 2024 and 2023 as the effect was antidilutive.</w:t>
      </w:r>
    </w:p>
    <w:p>
      <w:pPr>
        <w:spacing w:after="0" w:line="35" w:lineRule="exact"/>
        <w:rPr>
          <w:rFonts w:ascii="Times New Roman" w:cs="Times New Roman" w:eastAsia="Times New Roman" w:hAnsi="Times New Roman"/>
          <w:sz w:val="22"/>
          <w:szCs w:val="22"/>
          <w:color w:val="auto"/>
          <w:vertAlign w:val="superscript"/>
        </w:rPr>
      </w:pPr>
    </w:p>
    <w:p>
      <w:pPr>
        <w:ind w:left="320" w:right="2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16510</wp:posOffset>
            </wp:positionV>
            <wp:extent cx="1591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8" w:lineRule="exact"/>
        <w:rPr>
          <w:sz w:val="20"/>
          <w:szCs w:val="20"/>
          <w:color w:val="auto"/>
        </w:rPr>
      </w:pPr>
    </w:p>
    <w:p>
      <w:pPr>
        <w:jc w:val="both"/>
        <w:ind w:left="91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40"/>
          </w:cols>
          <w:pgMar w:left="320" w:top="356" w:right="339" w:bottom="1440" w:gutter="0" w:footer="0" w:header="0"/>
        </w:sectPr>
      </w:pPr>
    </w:p>
    <w:p>
      <w:pPr>
        <w:spacing w:after="0" w:line="37" w:lineRule="exact"/>
        <w:rPr>
          <w:sz w:val="20"/>
          <w:szCs w:val="20"/>
          <w:color w:val="auto"/>
        </w:rPr>
      </w:pPr>
    </w:p>
    <w:p>
      <w:pPr>
        <w:ind w:left="20" w:right="160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CASH FLOWS FROM OPERATING ACTIVITIES </w:t>
      </w:r>
      <w:r>
        <w:rPr>
          <w:rFonts w:ascii="Times New Roman" w:cs="Times New Roman" w:eastAsia="Times New Roman" w:hAnsi="Times New Roman"/>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21525"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-278130</wp:posOffset>
            </wp:positionV>
            <wp:extent cx="7121525"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120" w:right="1600"/>
        <w:spacing w:after="0" w:line="269" w:lineRule="auto"/>
        <w:rPr>
          <w:sz w:val="20"/>
          <w:szCs w:val="20"/>
          <w:color w:val="auto"/>
        </w:rPr>
      </w:pPr>
      <w:r>
        <w:rPr>
          <w:rFonts w:ascii="Times New Roman" w:cs="Times New Roman" w:eastAsia="Times New Roman" w:hAnsi="Times New Roman"/>
          <w:sz w:val="17"/>
          <w:szCs w:val="17"/>
          <w:color w:val="auto"/>
        </w:rPr>
        <w:t>Equity earnings in unconsolidated entities Distributions on earnings from unconsolidated entities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21525" cy="139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220" w:right="1800" w:hanging="102"/>
        <w:spacing w:after="0" w:line="315" w:lineRule="auto"/>
        <w:rPr>
          <w:sz w:val="20"/>
          <w:szCs w:val="20"/>
          <w:color w:val="auto"/>
        </w:rPr>
      </w:pPr>
      <w:r>
        <w:rPr>
          <w:rFonts w:ascii="Times New Roman" w:cs="Times New Roman" w:eastAsia="Times New Roman" w:hAnsi="Times New Roman"/>
          <w:sz w:val="17"/>
          <w:szCs w:val="17"/>
          <w:color w:val="auto"/>
        </w:rPr>
        <w:t>Changes in assets and liabilities, net of acquisitions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21525"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21525"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1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131445"/>
                    </a:xfrm>
                    <a:prstGeom prst="rect">
                      <a:avLst/>
                    </a:prstGeom>
                    <a:noFill/>
                  </pic:spPr>
                </pic:pic>
              </a:graphicData>
            </a:graphic>
          </wp:anchor>
        </w:drawing>
      </w:r>
    </w:p>
    <w:p>
      <w:pPr>
        <w:spacing w:after="0" w:line="203" w:lineRule="exact"/>
        <w:rPr>
          <w:sz w:val="20"/>
          <w:szCs w:val="20"/>
          <w:color w:val="auto"/>
        </w:rPr>
      </w:pPr>
    </w:p>
    <w:p>
      <w:pPr>
        <w:ind w:left="120" w:right="1640" w:hanging="102"/>
        <w:spacing w:after="0" w:line="308" w:lineRule="auto"/>
        <w:rPr>
          <w:sz w:val="20"/>
          <w:szCs w:val="20"/>
          <w:color w:val="auto"/>
        </w:rPr>
      </w:pPr>
      <w:r>
        <w:rPr>
          <w:rFonts w:ascii="Times New Roman" w:cs="Times New Roman" w:eastAsia="Times New Roman" w:hAnsi="Times New Roman"/>
          <w:sz w:val="17"/>
          <w:szCs w:val="17"/>
          <w:b w:val="1"/>
          <w:bCs w:val="1"/>
          <w:color w:val="auto"/>
        </w:rPr>
        <w:t xml:space="preserve">CASH FLOWS FROM FINANCING ACTIVITIES </w:t>
      </w:r>
      <w:r>
        <w:rPr>
          <w:rFonts w:ascii="Times New Roman" w:cs="Times New Roman" w:eastAsia="Times New Roman" w:hAnsi="Times New Roman"/>
          <w:sz w:val="17"/>
          <w:szCs w:val="17"/>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121525" cy="139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21525"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21525"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211" w:lineRule="exact"/>
        <w:rPr>
          <w:sz w:val="20"/>
          <w:szCs w:val="20"/>
          <w:color w:val="auto"/>
        </w:rPr>
      </w:pPr>
    </w:p>
    <w:p>
      <w:pPr>
        <w:ind w:left="20" w:right="860"/>
        <w:spacing w:after="0" w:line="351" w:lineRule="auto"/>
        <w:rPr>
          <w:sz w:val="20"/>
          <w:szCs w:val="20"/>
          <w:color w:val="auto"/>
        </w:rPr>
      </w:pPr>
      <w:r>
        <w:rPr>
          <w:rFonts w:ascii="Times New Roman" w:cs="Times New Roman" w:eastAsia="Times New Roman" w:hAnsi="Times New Roman"/>
          <w:sz w:val="17"/>
          <w:szCs w:val="17"/>
          <w:color w:val="auto"/>
        </w:rPr>
        <w:t>Cash and cash equivalents and restricted cash, beginning of period Cash and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21525" cy="139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223"/>
        </w:trPr>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436"/>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20"/>
        </w:trPr>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0"/>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0"/>
        </w:trPr>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3"/>
        </w:trPr>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16"/>
        </w:trPr>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r>
      <w:tr>
        <w:trPr>
          <w:trHeight w:val="643"/>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646"/>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426"/>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26"/>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426"/>
        </w:trPr>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13"/>
        </w:trPr>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 w:type="dxa"/>
            <w:vAlign w:val="bottom"/>
          </w:tcPr>
          <w:p>
            <w:pPr>
              <w:spacing w:after="0"/>
              <w:rPr>
                <w:sz w:val="15"/>
                <w:szCs w:val="15"/>
                <w:color w:val="auto"/>
              </w:rPr>
            </w:pPr>
          </w:p>
        </w:tc>
        <w:tc>
          <w:tcPr>
            <w:tcW w:w="18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8"/>
              </w:rPr>
              <w:t xml:space="preserve">Net to PAA </w:t>
            </w:r>
            <w:r>
              <w:rPr>
                <w:rFonts w:ascii="Times New Roman" w:cs="Times New Roman" w:eastAsia="Times New Roman" w:hAnsi="Times New Roman"/>
                <w:sz w:val="8"/>
                <w:szCs w:val="8"/>
                <w:b w:val="1"/>
                <w:bCs w:val="1"/>
                <w:color w:val="auto"/>
                <w:w w:val="98"/>
              </w:rPr>
              <w:t>(1)</w:t>
            </w:r>
          </w:p>
        </w:tc>
        <w:tc>
          <w:tcPr>
            <w:tcW w:w="780" w:type="dxa"/>
            <w:vAlign w:val="bottom"/>
          </w:tcPr>
          <w:p>
            <w:pPr>
              <w:spacing w:after="0"/>
              <w:rPr>
                <w:sz w:val="15"/>
                <w:szCs w:val="15"/>
                <w:color w:val="auto"/>
              </w:rPr>
            </w:pPr>
          </w:p>
        </w:tc>
        <w:tc>
          <w:tcPr>
            <w:tcW w:w="164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r>
      <w:tr>
        <w:trPr>
          <w:trHeight w:val="23"/>
        </w:trPr>
        <w:tc>
          <w:tcPr>
            <w:tcW w:w="26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124"/>
        </w:trPr>
        <w:tc>
          <w:tcPr>
            <w:tcW w:w="242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0"/>
                <w:szCs w:val="10"/>
                <w:color w:val="auto"/>
              </w:rPr>
            </w:pPr>
          </w:p>
        </w:tc>
        <w:tc>
          <w:tcPr>
            <w:tcW w:w="242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88"/>
        </w:trPr>
        <w:tc>
          <w:tcPr>
            <w:tcW w:w="760" w:type="dxa"/>
            <w:vAlign w:val="bottom"/>
          </w:tcPr>
          <w:p>
            <w:pPr>
              <w:spacing w:after="0"/>
              <w:rPr>
                <w:sz w:val="16"/>
                <w:szCs w:val="16"/>
                <w:color w:val="auto"/>
              </w:rPr>
            </w:pPr>
          </w:p>
        </w:tc>
        <w:tc>
          <w:tcPr>
            <w:tcW w:w="18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780" w:type="dxa"/>
            <w:vAlign w:val="bottom"/>
          </w:tcPr>
          <w:p>
            <w:pPr>
              <w:spacing w:after="0"/>
              <w:rPr>
                <w:sz w:val="16"/>
                <w:szCs w:val="16"/>
                <w:color w:val="auto"/>
              </w:rPr>
            </w:pPr>
          </w:p>
        </w:tc>
        <w:tc>
          <w:tcPr>
            <w:tcW w:w="164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80"/>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p>
      <w:pPr>
        <w:sectPr>
          <w:pgSz w:w="11900" w:h="16838" w:orient="portrait"/>
          <w:cols w:equalWidth="0" w:num="2">
            <w:col w:w="5460" w:space="720"/>
            <w:col w:w="5060"/>
          </w:cols>
          <w:pgMar w:left="320" w:top="356"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6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20"/>
        </w:trPr>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3"/>
        </w:trPr>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0"/>
        </w:trPr>
        <w:tc>
          <w:tcPr>
            <w:tcW w:w="388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9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7"/>
          <w:szCs w:val="17"/>
          <w:color w:val="auto"/>
        </w:rPr>
        <w:t>Excludes expenditures attributable to noncontrolling interests.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p>
    <w:p>
      <w:pPr>
        <w:spacing w:after="0" w:line="210"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20"/>
        </w:trPr>
        <w:tc>
          <w:tcPr>
            <w:tcW w:w="882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20"/>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8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8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88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58"/>
        </w:trPr>
        <w:tc>
          <w:tcPr>
            <w:tcW w:w="8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5"/>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24612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20" w:right="80" w:hanging="317"/>
        <w:spacing w:after="0" w:line="246" w:lineRule="auto"/>
        <w:tabs>
          <w:tab w:leader="none" w:pos="30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00" w:hanging="297"/>
        <w:spacing w:after="0"/>
        <w:tabs>
          <w:tab w:leader="none" w:pos="3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61" w:lineRule="exact"/>
        <w:rPr>
          <w:rFonts w:ascii="Times New Roman" w:cs="Times New Roman" w:eastAsia="Times New Roman" w:hAnsi="Times New Roman"/>
          <w:sz w:val="20"/>
          <w:szCs w:val="20"/>
          <w:color w:val="auto"/>
          <w:vertAlign w:val="superscript"/>
        </w:rPr>
      </w:pPr>
    </w:p>
    <w:p>
      <w:pPr>
        <w:ind w:left="320" w:right="180" w:hanging="317"/>
        <w:spacing w:after="0" w:line="211"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months ended March 31, 2024 and 2023 as the effect was antidilutive.</w:t>
      </w:r>
    </w:p>
    <w:p>
      <w:pPr>
        <w:spacing w:after="0" w:line="33" w:lineRule="exact"/>
        <w:rPr>
          <w:rFonts w:ascii="Times New Roman" w:cs="Times New Roman" w:eastAsia="Times New Roman" w:hAnsi="Times New Roman"/>
          <w:sz w:val="20"/>
          <w:szCs w:val="20"/>
          <w:color w:val="auto"/>
          <w:vertAlign w:val="superscript"/>
        </w:rPr>
      </w:pPr>
    </w:p>
    <w:p>
      <w:pPr>
        <w:ind w:left="320" w:hanging="317"/>
        <w:spacing w:after="0" w:line="246" w:lineRule="auto"/>
        <w:tabs>
          <w:tab w:leader="none" w:pos="30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Adjusted Net Income Per Common Unit Reconciliation:</w:t>
      </w:r>
    </w:p>
    <w:p>
      <w:pPr>
        <w:spacing w:after="0" w:line="278"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378"/>
              <w:spacing w:after="0"/>
              <w:rPr>
                <w:sz w:val="20"/>
                <w:szCs w:val="20"/>
                <w:color w:val="auto"/>
              </w:rPr>
            </w:pPr>
            <w:r>
              <w:rPr>
                <w:rFonts w:ascii="Times New Roman" w:cs="Times New Roman" w:eastAsia="Times New Roman" w:hAnsi="Times New Roman"/>
                <w:sz w:val="17"/>
                <w:szCs w:val="17"/>
                <w:color w:val="auto"/>
              </w:rPr>
              <w:t>0.52</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8"/>
              <w:spacing w:after="0"/>
              <w:rPr>
                <w:sz w:val="20"/>
                <w:szCs w:val="20"/>
                <w:color w:val="auto"/>
              </w:rPr>
            </w:pPr>
            <w:r>
              <w:rPr>
                <w:rFonts w:ascii="Times New Roman" w:cs="Times New Roman" w:eastAsia="Times New Roman" w:hAnsi="Times New Roman"/>
                <w:sz w:val="17"/>
                <w:szCs w:val="17"/>
                <w:color w:val="auto"/>
              </w:rPr>
              <w:t>(0.11)</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center"/>
              <w:ind w:left="378"/>
              <w:spacing w:after="0"/>
              <w:rPr>
                <w:sz w:val="20"/>
                <w:szCs w:val="20"/>
                <w:color w:val="auto"/>
              </w:rPr>
            </w:pPr>
            <w:r>
              <w:rPr>
                <w:rFonts w:ascii="Times New Roman" w:cs="Times New Roman" w:eastAsia="Times New Roman" w:hAnsi="Times New Roman"/>
                <w:sz w:val="17"/>
                <w:szCs w:val="17"/>
                <w:color w:val="auto"/>
              </w:rPr>
              <w:t>0.41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4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100"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65"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7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20"/>
        </w:trPr>
        <w:tc>
          <w:tcPr>
            <w:tcW w:w="8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20"/>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0"/>
        </w:trPr>
        <w:tc>
          <w:tcPr>
            <w:tcW w:w="8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20"/>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0"/>
        </w:trPr>
        <w:tc>
          <w:tcPr>
            <w:tcW w:w="878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87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20"/>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3"/>
        </w:trPr>
        <w:tc>
          <w:tcPr>
            <w:tcW w:w="8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0"/>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20"/>
        </w:trPr>
        <w:tc>
          <w:tcPr>
            <w:tcW w:w="87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items </w:t>
            </w:r>
            <w:r>
              <w:rPr>
                <w:rFonts w:ascii="Times New Roman" w:cs="Times New Roman" w:eastAsia="Times New Roman" w:hAnsi="Times New Roman"/>
                <w:sz w:val="21"/>
                <w:szCs w:val="21"/>
                <w:color w:val="auto"/>
                <w:vertAlign w:val="superscript"/>
              </w:rPr>
              <w:t>(3)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0"/>
        </w:trPr>
        <w:tc>
          <w:tcPr>
            <w:tcW w:w="8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Maintenance capital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87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8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0"/>
        </w:trPr>
        <w:tc>
          <w:tcPr>
            <w:tcW w:w="87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78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r>
      <w:tr>
        <w:trPr>
          <w:trHeight w:val="220"/>
        </w:trPr>
        <w:tc>
          <w:tcPr>
            <w:tcW w:w="8780" w:type="dxa"/>
            <w:vAlign w:val="bottom"/>
            <w:tcBorders>
              <w:bottom w:val="single" w:sz="8" w:color="CCEEFF"/>
            </w:tcBorders>
          </w:tcPr>
          <w:p>
            <w:pPr>
              <w:ind w:left="16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3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20"/>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07"/>
        </w:trPr>
        <w:tc>
          <w:tcPr>
            <w:tcW w:w="8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878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(7)</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0.63</w:t>
            </w:r>
          </w:p>
        </w:tc>
      </w:tr>
      <w:tr>
        <w:trPr>
          <w:trHeight w:val="220"/>
        </w:trPr>
        <w:tc>
          <w:tcPr>
            <w:tcW w:w="87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(8)</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155"/>
        </w:trPr>
        <w:tc>
          <w:tcPr>
            <w:tcW w:w="8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r>
      <w:tr>
        <w:trPr>
          <w:trHeight w:val="220"/>
        </w:trPr>
        <w:tc>
          <w:tcPr>
            <w:tcW w:w="878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(6)</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2.11x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2.37x</w:t>
            </w:r>
          </w:p>
        </w:tc>
      </w:tr>
      <w:tr>
        <w:trPr>
          <w:trHeight w:val="207"/>
        </w:trPr>
        <w:tc>
          <w:tcPr>
            <w:tcW w:w="8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246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0"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to exclude our proportionate share of depreciation and amortization expense (including write-downs related to cancelled projects and impairments) of unconsolidated entities.</w:t>
      </w:r>
    </w:p>
    <w:p>
      <w:pPr>
        <w:spacing w:after="0" w:line="29"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3" w:lineRule="exact"/>
        <w:rPr>
          <w:rFonts w:ascii="Times New Roman" w:cs="Times New Roman" w:eastAsia="Times New Roman" w:hAnsi="Times New Roman"/>
          <w:sz w:val="9"/>
          <w:szCs w:val="9"/>
          <w:color w:val="auto"/>
        </w:rPr>
      </w:pPr>
    </w:p>
    <w:p>
      <w:pPr>
        <w:ind w:left="300" w:hanging="297"/>
        <w:spacing w:after="0"/>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certain non-cash items impacting interest expense such as amortization of debt issuance costs and terminated interest rate swaps.</w:t>
      </w:r>
    </w:p>
    <w:p>
      <w:pPr>
        <w:spacing w:after="0" w:line="28"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capital expenditures attributable to noncontrolling interests that reduce Implied DCF available to PAA common unitholders.</w:t>
      </w:r>
    </w:p>
    <w:p>
      <w:pPr>
        <w:spacing w:after="0" w:line="31" w:lineRule="exact"/>
        <w:rPr>
          <w:rFonts w:ascii="Times New Roman" w:cs="Times New Roman" w:eastAsia="Times New Roman" w:hAnsi="Times New Roman"/>
          <w:sz w:val="9"/>
          <w:szCs w:val="9"/>
          <w:color w:val="auto"/>
        </w:rPr>
      </w:pPr>
    </w:p>
    <w:p>
      <w:pPr>
        <w:ind w:left="320" w:right="40" w:hanging="317"/>
        <w:spacing w:after="0" w:line="226" w:lineRule="auto"/>
        <w:tabs>
          <w:tab w:leader="none" w:pos="308"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00" w:hanging="297"/>
        <w:spacing w:after="0" w:line="224" w:lineRule="auto"/>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distributions paid during the period presented.</w:t>
      </w:r>
    </w:p>
    <w:p>
      <w:pPr>
        <w:spacing w:after="0" w:line="29"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Implied DCF Available to Common Unitholders for the period divided by the weighted average common units outstanding for the period.</w:t>
      </w:r>
    </w:p>
    <w:p>
      <w:pPr>
        <w:spacing w:after="0" w:line="31" w:lineRule="exact"/>
        <w:rPr>
          <w:rFonts w:ascii="Times New Roman" w:cs="Times New Roman" w:eastAsia="Times New Roman" w:hAnsi="Times New Roman"/>
          <w:sz w:val="9"/>
          <w:szCs w:val="9"/>
          <w:color w:val="auto"/>
        </w:rPr>
      </w:pPr>
    </w:p>
    <w:p>
      <w:pPr>
        <w:ind w:left="320" w:right="80" w:hanging="317"/>
        <w:spacing w:after="0" w:line="233" w:lineRule="auto"/>
        <w:tabs>
          <w:tab w:leader="none" w:pos="308"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65"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r>
      <w:tr>
        <w:trPr>
          <w:trHeight w:val="220"/>
        </w:trPr>
        <w:tc>
          <w:tcPr>
            <w:tcW w:w="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r>
      <w:tr>
        <w:trPr>
          <w:trHeight w:val="220"/>
        </w:trPr>
        <w:tc>
          <w:tcPr>
            <w:tcW w:w="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26" w:lineRule="exact"/>
        <w:rPr>
          <w:sz w:val="20"/>
          <w:szCs w:val="20"/>
          <w:color w:val="auto"/>
        </w:rPr>
      </w:pPr>
    </w:p>
    <w:p>
      <w:pPr>
        <w:ind w:left="320" w:hanging="317"/>
        <w:spacing w:after="0" w:line="230"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of 701 million and 698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80" w:hanging="317"/>
        <w:spacing w:after="0" w:line="220"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of 71 million for each of the periods presented.</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65"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gridSpan w:val="2"/>
            <w:shd w:val="clear" w:color="auto" w:fill="CCEEFF"/>
          </w:tcPr>
          <w:p>
            <w:pPr>
              <w:ind w:left="120"/>
              <w:spacing w:after="0" w:line="21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(2)</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(4)</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(198)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(5)</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78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(242)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(Excluding Changes in Assets &amp; Liabilities) </w:t>
            </w:r>
            <w:r>
              <w:rPr>
                <w:rFonts w:ascii="Times New Roman" w:cs="Times New Roman" w:eastAsia="Times New Roman" w:hAnsi="Times New Roman"/>
                <w:sz w:val="22"/>
                <w:szCs w:val="22"/>
                <w:color w:val="auto"/>
                <w:vertAlign w:val="superscript"/>
              </w:rPr>
              <w:t>(5)</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220" w:hanging="317"/>
        <w:spacing w:after="0" w:line="219" w:lineRule="auto"/>
        <w:tabs>
          <w:tab w:leader="none" w:pos="30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1"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Statements of Cash Flows”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20" w:type="dxa"/>
            <w:vAlign w:val="bottom"/>
          </w:tcPr>
          <w:p>
            <w:pPr>
              <w:spacing w:after="0"/>
              <w:rPr>
                <w:sz w:val="17"/>
                <w:szCs w:val="17"/>
                <w:color w:val="auto"/>
              </w:rPr>
            </w:pPr>
          </w:p>
        </w:tc>
        <w:tc>
          <w:tcPr>
            <w:tcW w:w="878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7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20" w:type="dxa"/>
            <w:vAlign w:val="bottom"/>
          </w:tcPr>
          <w:p>
            <w:pPr>
              <w:spacing w:after="0"/>
              <w:rPr>
                <w:sz w:val="18"/>
                <w:szCs w:val="18"/>
                <w:color w:val="auto"/>
              </w:rPr>
            </w:pPr>
          </w:p>
        </w:tc>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1"/>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73" w:lineRule="exact"/>
        <w:rPr>
          <w:sz w:val="20"/>
          <w:szCs w:val="20"/>
          <w:color w:val="auto"/>
        </w:rPr>
      </w:pPr>
    </w:p>
    <w:p>
      <w:pPr>
        <w:ind w:left="320" w:right="80" w:hanging="317"/>
        <w:spacing w:after="0" w:line="229" w:lineRule="auto"/>
        <w:tabs>
          <w:tab w:leader="none" w:pos="31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7" w:lineRule="exact"/>
        <w:rPr>
          <w:rFonts w:ascii="Times New Roman" w:cs="Times New Roman" w:eastAsia="Times New Roman" w:hAnsi="Times New Roman"/>
          <w:sz w:val="19"/>
          <w:szCs w:val="19"/>
          <w:color w:val="auto"/>
          <w:vertAlign w:val="superscript"/>
        </w:rPr>
      </w:pPr>
    </w:p>
    <w:p>
      <w:pPr>
        <w:ind w:left="320" w:hanging="317"/>
        <w:spacing w:after="0" w:line="239" w:lineRule="auto"/>
        <w:tabs>
          <w:tab w:leader="none" w:pos="31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8" w:lineRule="exact"/>
        <w:rPr>
          <w:rFonts w:ascii="Times New Roman" w:cs="Times New Roman" w:eastAsia="Times New Roman" w:hAnsi="Times New Roman"/>
          <w:sz w:val="19"/>
          <w:szCs w:val="19"/>
          <w:color w:val="auto"/>
          <w:vertAlign w:val="superscript"/>
        </w:rPr>
      </w:pPr>
    </w:p>
    <w:p>
      <w:pPr>
        <w:ind w:left="320" w:right="40" w:hanging="317"/>
        <w:spacing w:after="0" w:line="253" w:lineRule="auto"/>
        <w:tabs>
          <w:tab w:leader="none" w:pos="315"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9" w:lineRule="exact"/>
        <w:rPr>
          <w:rFonts w:ascii="Times New Roman" w:cs="Times New Roman" w:eastAsia="Times New Roman" w:hAnsi="Times New Roman"/>
          <w:sz w:val="18"/>
          <w:szCs w:val="18"/>
          <w:color w:val="auto"/>
          <w:vertAlign w:val="superscript"/>
        </w:rPr>
      </w:pPr>
    </w:p>
    <w:p>
      <w:pPr>
        <w:ind w:left="320" w:hanging="317"/>
        <w:spacing w:after="0"/>
        <w:tabs>
          <w:tab w:leader="none" w:pos="31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6" w:lineRule="exact"/>
        <w:rPr>
          <w:rFonts w:ascii="Times New Roman" w:cs="Times New Roman" w:eastAsia="Times New Roman" w:hAnsi="Times New Roman"/>
          <w:sz w:val="19"/>
          <w:szCs w:val="19"/>
          <w:color w:val="auto"/>
          <w:vertAlign w:val="superscript"/>
        </w:rPr>
      </w:pPr>
    </w:p>
    <w:p>
      <w:pPr>
        <w:ind w:left="320" w:hanging="317"/>
        <w:spacing w:after="0" w:line="234" w:lineRule="auto"/>
        <w:tabs>
          <w:tab w:leader="none" w:pos="31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8" w:lineRule="exact"/>
        <w:rPr>
          <w:rFonts w:ascii="Times New Roman" w:cs="Times New Roman" w:eastAsia="Times New Roman" w:hAnsi="Times New Roman"/>
          <w:sz w:val="19"/>
          <w:szCs w:val="19"/>
          <w:color w:val="auto"/>
          <w:vertAlign w:val="superscript"/>
        </w:rPr>
      </w:pPr>
    </w:p>
    <w:p>
      <w:pPr>
        <w:ind w:left="320" w:right="60" w:hanging="317"/>
        <w:spacing w:after="0" w:line="229" w:lineRule="auto"/>
        <w:tabs>
          <w:tab w:leader="none" w:pos="31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60" w:lineRule="exact"/>
        <w:rPr>
          <w:rFonts w:ascii="Times New Roman" w:cs="Times New Roman" w:eastAsia="Times New Roman" w:hAnsi="Times New Roman"/>
          <w:sz w:val="19"/>
          <w:szCs w:val="19"/>
          <w:color w:val="auto"/>
          <w:vertAlign w:val="superscript"/>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40" w:type="dxa"/>
            <w:vAlign w:val="bottom"/>
            <w:tcBorders>
              <w:bottom w:val="single" w:sz="8" w:color="auto"/>
            </w:tcBorders>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2"/>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2"/>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p>
    <w:p>
      <w:pPr>
        <w:spacing w:after="0" w:line="265"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20" w:type="dxa"/>
            <w:vAlign w:val="bottom"/>
          </w:tcPr>
          <w:p>
            <w:pPr>
              <w:spacing w:after="0"/>
              <w:rPr>
                <w:sz w:val="17"/>
                <w:szCs w:val="17"/>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pipeline tariff volumes (by region)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Western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13"/>
        </w:trPr>
        <w:tc>
          <w:tcPr>
            <w:tcW w:w="20" w:type="dxa"/>
            <w:vAlign w:val="bottom"/>
          </w:tcPr>
          <w:p>
            <w:pPr>
              <w:spacing w:after="0"/>
              <w:rPr>
                <w:sz w:val="18"/>
                <w:szCs w:val="18"/>
                <w:color w:val="auto"/>
              </w:rPr>
            </w:pPr>
          </w:p>
        </w:tc>
        <w:tc>
          <w:tcPr>
            <w:tcW w:w="87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volumes </w:t>
            </w:r>
            <w:r>
              <w:rPr>
                <w:rFonts w:ascii="Times New Roman" w:cs="Times New Roman" w:eastAsia="Times New Roman" w:hAnsi="Times New Roman"/>
                <w:sz w:val="22"/>
                <w:szCs w:val="22"/>
                <w:color w:val="auto"/>
                <w:vertAlign w:val="superscript"/>
              </w:rPr>
              <w:t>(1) (2)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8,280</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Commercial crude oil storage capacity </w:t>
            </w:r>
            <w:r>
              <w:rPr>
                <w:rFonts w:ascii="Times New Roman" w:cs="Times New Roman" w:eastAsia="Times New Roman" w:hAnsi="Times New Roman"/>
                <w:sz w:val="22"/>
                <w:szCs w:val="22"/>
                <w:color w:val="auto"/>
                <w:vertAlign w:val="superscript"/>
              </w:rPr>
              <w:t>(2) (3)</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lease gathering purchases </w:t>
            </w:r>
            <w:r>
              <w:rPr>
                <w:rFonts w:ascii="Times New Roman" w:cs="Times New Roman" w:eastAsia="Times New Roman" w:hAnsi="Times New Roman"/>
                <w:sz w:val="22"/>
                <w:szCs w:val="22"/>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Segment Volumes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NGL pipeline tariff volumes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monthly capacity in millions of barrels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6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8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2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0"/>
        </w:trPr>
        <w:tc>
          <w:tcPr>
            <w:tcW w:w="86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income/(expense), net </w:t>
            </w:r>
            <w:r>
              <w:rPr>
                <w:rFonts w:ascii="Times New Roman" w:cs="Times New Roman" w:eastAsia="Times New Roman" w:hAnsi="Times New Roman"/>
                <w:sz w:val="22"/>
                <w:szCs w:val="22"/>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86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0"/>
        </w:trPr>
        <w:tc>
          <w:tcPr>
            <w:tcW w:w="3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3880" w:type="dxa"/>
            <w:vAlign w:val="bottom"/>
            <w:tcBorders>
              <w:bottom w:val="single" w:sz="8" w:color="auto"/>
            </w:tcBorders>
          </w:tcPr>
          <w:p>
            <w:pPr>
              <w:spacing w:after="0"/>
              <w:rPr>
                <w:sz w:val="17"/>
                <w:szCs w:val="17"/>
                <w:color w:val="auto"/>
              </w:rPr>
            </w:pPr>
          </w:p>
        </w:tc>
        <w:tc>
          <w:tcPr>
            <w:tcW w:w="4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126" w:lineRule="exact"/>
        <w:rPr>
          <w:sz w:val="20"/>
          <w:szCs w:val="20"/>
          <w:color w:val="auto"/>
        </w:rPr>
      </w:pPr>
    </w:p>
    <w:p>
      <w:pPr>
        <w:jc w:val="both"/>
        <w:ind w:left="320" w:right="300" w:hanging="317"/>
        <w:spacing w:after="0" w:line="237"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income/(expense), net” as reported on our Condensed Consolidated Statements of Operations, excluding other income/(expense),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56"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12,341</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11,323</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11,870</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4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07"/>
        </w:trPr>
        <w:tc>
          <w:tcPr>
            <w:tcW w:w="3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96"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28,590</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5,005</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13,424</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28,590</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9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5"/>
        </w:trPr>
        <w:tc>
          <w:tcPr>
            <w:tcW w:w="8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5"/>
        </w:trPr>
        <w:tc>
          <w:tcPr>
            <w:tcW w:w="8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2" w:lineRule="exact"/>
        <w:rPr>
          <w:sz w:val="20"/>
          <w:szCs w:val="20"/>
          <w:color w:val="auto"/>
        </w:rPr>
      </w:pPr>
    </w:p>
    <w:p>
      <w:pPr>
        <w:ind w:left="620" w:right="200" w:hanging="307"/>
        <w:spacing w:after="0" w:line="250"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9" w:lineRule="exact"/>
        <w:rPr>
          <w:rFonts w:ascii="Arial" w:cs="Arial" w:eastAsia="Arial" w:hAnsi="Arial"/>
          <w:sz w:val="21"/>
          <w:szCs w:val="21"/>
          <w:color w:val="auto"/>
        </w:rPr>
      </w:pPr>
    </w:p>
    <w:p>
      <w:pPr>
        <w:ind w:left="620" w:right="120" w:hanging="307"/>
        <w:spacing w:after="0" w:line="248"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3" w:lineRule="exact"/>
        <w:rPr>
          <w:rFonts w:ascii="Arial" w:cs="Arial" w:eastAsia="Arial" w:hAnsi="Arial"/>
          <w:sz w:val="21"/>
          <w:szCs w:val="21"/>
          <w:color w:val="auto"/>
        </w:rPr>
      </w:pPr>
    </w:p>
    <w:p>
      <w:pPr>
        <w:ind w:left="620" w:right="180" w:hanging="307"/>
        <w:spacing w:after="0" w:line="236"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25"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24" w:lineRule="exact"/>
        <w:rPr>
          <w:rFonts w:ascii="Arial" w:cs="Arial" w:eastAsia="Arial" w:hAnsi="Arial"/>
          <w:sz w:val="21"/>
          <w:szCs w:val="21"/>
          <w:color w:val="auto"/>
        </w:rPr>
      </w:pPr>
    </w:p>
    <w:p>
      <w:pPr>
        <w:ind w:left="620" w:right="240" w:hanging="307"/>
        <w:spacing w:after="0" w:line="236"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38" w:lineRule="exact"/>
        <w:rPr>
          <w:rFonts w:ascii="Arial" w:cs="Arial" w:eastAsia="Arial" w:hAnsi="Arial"/>
          <w:sz w:val="21"/>
          <w:szCs w:val="21"/>
          <w:color w:val="auto"/>
        </w:rPr>
      </w:pPr>
    </w:p>
    <w:p>
      <w:pPr>
        <w:ind w:left="620" w:right="360" w:hanging="307"/>
        <w:spacing w:after="0" w:line="236"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w:t>
      </w:r>
    </w:p>
    <w:p>
      <w:pPr>
        <w:spacing w:after="0" w:line="125"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124" w:lineRule="exact"/>
        <w:rPr>
          <w:rFonts w:ascii="Arial" w:cs="Arial" w:eastAsia="Arial" w:hAnsi="Arial"/>
          <w:sz w:val="21"/>
          <w:szCs w:val="21"/>
          <w:color w:val="auto"/>
        </w:rPr>
      </w:pPr>
    </w:p>
    <w:p>
      <w:pPr>
        <w:ind w:left="620" w:right="80" w:hanging="307"/>
        <w:spacing w:after="0" w:line="247"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25" w:lineRule="exact"/>
        <w:rPr>
          <w:rFonts w:ascii="Arial" w:cs="Arial" w:eastAsia="Arial" w:hAnsi="Arial"/>
          <w:sz w:val="21"/>
          <w:szCs w:val="21"/>
          <w:color w:val="auto"/>
        </w:rPr>
      </w:pPr>
    </w:p>
    <w:p>
      <w:pPr>
        <w:ind w:left="620" w:right="42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our credit rating and ability to receive open credit from our suppliers and trade counterparties;</w:t>
      </w:r>
    </w:p>
    <w:p>
      <w:pPr>
        <w:spacing w:after="0" w:line="138"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w:t>
      </w:r>
    </w:p>
    <w:p>
      <w:pPr>
        <w:spacing w:after="0" w:line="125" w:lineRule="exact"/>
        <w:rPr>
          <w:rFonts w:ascii="Arial" w:cs="Arial" w:eastAsia="Arial" w:hAnsi="Arial"/>
          <w:sz w:val="21"/>
          <w:szCs w:val="21"/>
          <w:color w:val="auto"/>
        </w:rPr>
      </w:pPr>
    </w:p>
    <w:p>
      <w:pPr>
        <w:ind w:left="620" w:right="20" w:hanging="307"/>
        <w:spacing w:after="0" w:line="245"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3" w:lineRule="exact"/>
        <w:rPr>
          <w:rFonts w:ascii="Arial" w:cs="Arial" w:eastAsia="Arial" w:hAnsi="Arial"/>
          <w:sz w:val="21"/>
          <w:szCs w:val="21"/>
          <w:color w:val="auto"/>
        </w:rPr>
      </w:pPr>
    </w:p>
    <w:p>
      <w:pPr>
        <w:jc w:val="both"/>
        <w:ind w:left="620" w:right="12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incurrence of costs and expenses related to unexpected or unplanned capital expenditures, third-party claims or other factors;</w:t>
      </w:r>
    </w:p>
    <w:p>
      <w:pPr>
        <w:spacing w:after="0" w:line="125" w:lineRule="exact"/>
        <w:rPr>
          <w:rFonts w:ascii="Arial" w:cs="Arial" w:eastAsia="Arial" w:hAnsi="Arial"/>
          <w:sz w:val="21"/>
          <w:szCs w:val="21"/>
          <w:color w:val="auto"/>
        </w:rPr>
      </w:pPr>
    </w:p>
    <w:p>
      <w:pPr>
        <w:ind w:left="620" w:right="100" w:hanging="307"/>
        <w:spacing w:after="0" w:line="247"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118" w:lineRule="exact"/>
        <w:rPr>
          <w:rFonts w:ascii="Arial" w:cs="Arial" w:eastAsia="Arial" w:hAnsi="Arial"/>
          <w:sz w:val="21"/>
          <w:szCs w:val="21"/>
          <w:color w:val="auto"/>
        </w:rPr>
      </w:pPr>
    </w:p>
    <w:p>
      <w:pPr>
        <w:ind w:left="620" w:right="30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63" w:lineRule="exact"/>
        <w:rPr>
          <w:sz w:val="20"/>
          <w:szCs w:val="20"/>
          <w:color w:val="auto"/>
        </w:rPr>
      </w:pPr>
    </w:p>
    <w:p>
      <w:pPr>
        <w:ind w:left="620" w:right="62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or lack of availability, of insurance;</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risks related to the development and operation of our assets;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pace of development of natural gas infrastructure and its impact on expected crude oil production growth in the Permian Basin; and</w:t>
      </w:r>
    </w:p>
    <w:p>
      <w:pPr>
        <w:spacing w:after="0" w:line="125" w:lineRule="exact"/>
        <w:rPr>
          <w:rFonts w:ascii="Arial" w:cs="Arial" w:eastAsia="Arial" w:hAnsi="Arial"/>
          <w:sz w:val="21"/>
          <w:szCs w:val="21"/>
          <w:color w:val="auto"/>
        </w:rPr>
      </w:pPr>
    </w:p>
    <w:p>
      <w:pPr>
        <w:ind w:left="620" w:right="6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lvl w:ilvl="1">
      <w:lvlJc w:val="left"/>
      <w:lvlText w:val="-"/>
      <w:numFmt w:val="bullet"/>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2024-05-03T07:27:29Z</dcterms:created>
  <dcterms:modified xsi:type="dcterms:W3CDTF">2024-05-03T07:27:29Z</dcterms:modified>
</cp:coreProperties>
</file>