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726503105</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40" w:hanging="436"/>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500" w:type="dxa"/>
            <w:vAlign w:val="bottom"/>
          </w:tcPr>
          <w:p>
            <w:pPr>
              <w:ind w:left="33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8"/>
          </w:tcPr>
          <w:p>
            <w:pPr>
              <w:spacing w:after="0"/>
              <w:rPr>
                <w:sz w:val="20"/>
                <w:szCs w:val="20"/>
                <w:color w:val="auto"/>
              </w:rPr>
            </w:pPr>
            <w:r>
              <w:rPr>
                <w:rFonts w:ascii="Arial" w:cs="Arial" w:eastAsia="Arial" w:hAnsi="Arial"/>
                <w:sz w:val="18"/>
                <w:szCs w:val="18"/>
                <w:color w:val="auto"/>
              </w:rPr>
              <w:t>CUSIP No. 726503105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0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Harvest Fund Advisors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4"/>
          </w:tcPr>
          <w:p>
            <w:pPr>
              <w:spacing w:after="0"/>
              <w:rPr>
                <w:sz w:val="20"/>
                <w:szCs w:val="20"/>
                <w:color w:val="auto"/>
              </w:rPr>
            </w:pPr>
          </w:p>
        </w:tc>
        <w:tc>
          <w:tcPr>
            <w:tcW w:w="9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0"/>
              </w:rPr>
              <w:t>Sec Use Only</w:t>
            </w:r>
          </w:p>
        </w:tc>
        <w:tc>
          <w:tcPr>
            <w:tcW w:w="9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Delaware</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42,108,526</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1"/>
                <w:szCs w:val="21"/>
                <w:color w:val="auto"/>
              </w:rPr>
            </w:pPr>
          </w:p>
        </w:tc>
        <w:tc>
          <w:tcPr>
            <w:tcW w:w="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1"/>
                <w:szCs w:val="21"/>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right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5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4"/>
              </w:rPr>
              <w:t>Person</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42,108,526</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9"/>
              </w:rPr>
              <w:t>42,108,526</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Pr>
          <w:p>
            <w:pPr>
              <w:ind w:left="3500"/>
              <w:spacing w:after="0"/>
              <w:rPr>
                <w:sz w:val="20"/>
                <w:szCs w:val="20"/>
                <w:color w:val="auto"/>
              </w:rPr>
            </w:pPr>
            <w:r>
              <w:rPr>
                <w:rFonts w:ascii="Arial" w:cs="Arial" w:eastAsia="Arial" w:hAnsi="Arial"/>
                <w:sz w:val="18"/>
                <w:szCs w:val="18"/>
                <w:color w:val="auto"/>
              </w:rPr>
              <w:t>Page 2 of 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500" w:type="dxa"/>
            <w:vAlign w:val="bottom"/>
          </w:tcPr>
          <w:p>
            <w:pPr>
              <w:ind w:left="33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7"/>
          </w:tcPr>
          <w:p>
            <w:pPr>
              <w:spacing w:after="0"/>
              <w:rPr>
                <w:sz w:val="20"/>
                <w:szCs w:val="20"/>
                <w:color w:val="auto"/>
              </w:rPr>
            </w:pPr>
            <w:r>
              <w:rPr>
                <w:rFonts w:ascii="Arial" w:cs="Arial" w:eastAsia="Arial" w:hAnsi="Arial"/>
                <w:sz w:val="18"/>
                <w:szCs w:val="18"/>
                <w:color w:val="auto"/>
              </w:rPr>
              <w:t>CUSIP No. 726503105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Eric M. Conklin</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0"/>
              </w:rPr>
              <w:t>Sec Use Only</w:t>
            </w:r>
          </w:p>
        </w:tc>
        <w:tc>
          <w:tcPr>
            <w:tcW w:w="9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42,108,526</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right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5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4"/>
              </w:rPr>
              <w:t>Person</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42,108,526</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42,108,526</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HC</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Pr>
          <w:p>
            <w:pPr>
              <w:ind w:left="3500"/>
              <w:spacing w:after="0"/>
              <w:rPr>
                <w:sz w:val="20"/>
                <w:szCs w:val="20"/>
                <w:color w:val="auto"/>
              </w:rPr>
            </w:pPr>
            <w:r>
              <w:rPr>
                <w:rFonts w:ascii="Arial" w:cs="Arial" w:eastAsia="Arial" w:hAnsi="Arial"/>
                <w:sz w:val="18"/>
                <w:szCs w:val="18"/>
                <w:color w:val="auto"/>
              </w:rPr>
              <w:t>Page 3 of 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Plains All American Pipeline, L.P.</w:t>
      </w:r>
    </w:p>
    <w:p>
      <w:pPr>
        <w:spacing w:after="0" w:line="252"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333 Clay Street, Suite 1600, Houston, Texas 77002</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is being filed on behalf of Harvest Fund Advisors LLC (“</w:t>
      </w:r>
      <w:r>
        <w:rPr>
          <w:rFonts w:ascii="Arial" w:cs="Arial" w:eastAsia="Arial" w:hAnsi="Arial"/>
          <w:sz w:val="18"/>
          <w:szCs w:val="18"/>
          <w:u w:val="single" w:color="auto"/>
          <w:color w:val="auto"/>
        </w:rPr>
        <w:t>HFA</w:t>
      </w:r>
      <w:r>
        <w:rPr>
          <w:rFonts w:ascii="Arial" w:cs="Arial" w:eastAsia="Arial" w:hAnsi="Arial"/>
          <w:sz w:val="18"/>
          <w:szCs w:val="18"/>
          <w:color w:val="auto"/>
        </w:rPr>
        <w:t>”) and Eric M. Conklin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Mr. Conklin is the Managing Partner and Chair of the Investment Committee of HFA.</w:t>
      </w:r>
    </w:p>
    <w:p>
      <w:pPr>
        <w:spacing w:after="0" w:line="193"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of each Reporting Person is 100 W. Lancaster Avenue, Suite 200, Wayne, PA 19087.</w:t>
      </w:r>
    </w:p>
    <w:p>
      <w:pPr>
        <w:spacing w:after="0" w:line="248"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Harvest Fund Advisors LLC is a Delaware limited liability company. Mr. Conklin is a citizen of the United States of America.</w:t>
      </w:r>
    </w:p>
    <w:p>
      <w:pPr>
        <w:spacing w:after="0" w:line="248"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Units Representing Limited Partner Interests</w:t>
      </w:r>
    </w:p>
    <w:p>
      <w:pPr>
        <w:spacing w:after="0" w:line="252"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726503105</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52" w:lineRule="exact"/>
        <w:rPr>
          <w:rFonts w:ascii="Arial" w:cs="Arial" w:eastAsia="Arial" w:hAnsi="Arial"/>
          <w:sz w:val="18"/>
          <w:szCs w:val="18"/>
          <w:color w:val="auto"/>
        </w:rPr>
      </w:pPr>
    </w:p>
    <w:p>
      <w:pPr>
        <w:ind w:left="500" w:hanging="496"/>
        <w:spacing w:after="0" w:line="207" w:lineRule="exact"/>
        <w:tabs>
          <w:tab w:leader="none" w:pos="5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52"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980" w:right="100" w:hanging="976"/>
        <w:spacing w:after="0" w:line="223" w:lineRule="exact"/>
        <w:tabs>
          <w:tab w:leader="none" w:pos="479"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230" w:lineRule="exact"/>
        <w:rPr>
          <w:rFonts w:ascii="Arial" w:cs="Arial" w:eastAsia="Arial" w:hAnsi="Arial"/>
          <w:sz w:val="18"/>
          <w:szCs w:val="18"/>
          <w:color w:val="auto"/>
        </w:rPr>
      </w:pPr>
    </w:p>
    <w:p>
      <w:pPr>
        <w:ind w:left="480" w:hanging="476"/>
        <w:spacing w:after="0" w:line="207" w:lineRule="exact"/>
        <w:tabs>
          <w:tab w:leader="none" w:pos="4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252" w:lineRule="exact"/>
        <w:rPr>
          <w:rFonts w:ascii="Arial" w:cs="Arial" w:eastAsia="Arial" w:hAnsi="Arial"/>
          <w:sz w:val="18"/>
          <w:szCs w:val="18"/>
          <w:color w:val="auto"/>
        </w:rPr>
      </w:pPr>
    </w:p>
    <w:p>
      <w:pPr>
        <w:ind w:left="980" w:hanging="976"/>
        <w:spacing w:after="0" w:line="223" w:lineRule="exact"/>
        <w:tabs>
          <w:tab w:leader="none" w:pos="474"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Rule 240.13d-1(b)(1)(ii)(K). If filing as a non-U.S. institution in accordance with Rule 240.13d-1(b)(1)(ii)(J), please specify the type of institution:</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0840"/>
          </w:cols>
          <w:pgMar w:left="440" w:top="270" w:right="6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42,108,526</w:t>
      </w:r>
    </w:p>
    <w:p>
      <w:pPr>
        <w:spacing w:after="0" w:line="252"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5.8%</w:t>
      </w:r>
    </w:p>
    <w:p>
      <w:pPr>
        <w:spacing w:after="0" w:line="252"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860" w:hanging="424"/>
        <w:spacing w:after="0"/>
        <w:tabs>
          <w:tab w:leader="none" w:pos="8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42,108,526</w:t>
      </w:r>
    </w:p>
    <w:p>
      <w:pPr>
        <w:spacing w:after="0" w:line="252" w:lineRule="exact"/>
        <w:rPr>
          <w:rFonts w:ascii="Arial" w:cs="Arial" w:eastAsia="Arial" w:hAnsi="Arial"/>
          <w:sz w:val="18"/>
          <w:szCs w:val="18"/>
          <w:b w:val="1"/>
          <w:bCs w:val="1"/>
          <w:color w:val="auto"/>
        </w:rPr>
      </w:pPr>
    </w:p>
    <w:p>
      <w:pPr>
        <w:ind w:left="860" w:hanging="424"/>
        <w:spacing w:after="0"/>
        <w:tabs>
          <w:tab w:leader="none" w:pos="8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252" w:lineRule="exact"/>
        <w:rPr>
          <w:rFonts w:ascii="Arial" w:cs="Arial" w:eastAsia="Arial" w:hAnsi="Arial"/>
          <w:sz w:val="18"/>
          <w:szCs w:val="18"/>
          <w:b w:val="1"/>
          <w:bCs w:val="1"/>
          <w:color w:val="auto"/>
        </w:rPr>
      </w:pPr>
    </w:p>
    <w:p>
      <w:pPr>
        <w:ind w:left="860" w:hanging="424"/>
        <w:spacing w:after="0"/>
        <w:tabs>
          <w:tab w:leader="none" w:pos="8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42,108,526</w:t>
      </w:r>
    </w:p>
    <w:p>
      <w:pPr>
        <w:spacing w:after="0" w:line="252" w:lineRule="exact"/>
        <w:rPr>
          <w:rFonts w:ascii="Arial" w:cs="Arial" w:eastAsia="Arial" w:hAnsi="Arial"/>
          <w:sz w:val="18"/>
          <w:szCs w:val="18"/>
          <w:b w:val="1"/>
          <w:bCs w:val="1"/>
          <w:color w:val="auto"/>
        </w:rPr>
      </w:pPr>
    </w:p>
    <w:p>
      <w:pPr>
        <w:ind w:left="860" w:hanging="424"/>
        <w:spacing w:after="0"/>
        <w:tabs>
          <w:tab w:leader="none" w:pos="8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number of shares or the percentage relating to beneficial ownership of Common Units held by the Reporting Persons is based on 726,272,203 shares of Common Units outstanding as of October 31, 2018 as reported in the Issuer’s Form 10-Q filed with the Securities and Exchange Commission on November 8, 2018.</w:t>
      </w:r>
    </w:p>
    <w:p>
      <w:pPr>
        <w:spacing w:after="0" w:line="18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This filing reflects the securities beneficially owned by the Harvest Fund Advisors LLC business, a subsidiary business of The Blackstone Group L.P. (the “</w:t>
      </w:r>
      <w:r>
        <w:rPr>
          <w:rFonts w:ascii="Arial" w:cs="Arial" w:eastAsia="Arial" w:hAnsi="Arial"/>
          <w:sz w:val="17"/>
          <w:szCs w:val="17"/>
          <w:u w:val="single" w:color="auto"/>
          <w:color w:val="auto"/>
        </w:rPr>
        <w:t>HFA Business</w:t>
      </w:r>
      <w:r>
        <w:rPr>
          <w:rFonts w:ascii="Arial" w:cs="Arial" w:eastAsia="Arial" w:hAnsi="Arial"/>
          <w:sz w:val="17"/>
          <w:szCs w:val="17"/>
          <w:color w:val="auto"/>
        </w:rPr>
        <w:t>”). In accordance with the Securities and Exchange Commission Release No. 34-39538 (the “</w:t>
      </w:r>
      <w:r>
        <w:rPr>
          <w:rFonts w:ascii="Arial" w:cs="Arial" w:eastAsia="Arial" w:hAnsi="Arial"/>
          <w:sz w:val="17"/>
          <w:szCs w:val="17"/>
          <w:u w:val="single" w:color="auto"/>
          <w:color w:val="auto"/>
        </w:rPr>
        <w:t>Release</w:t>
      </w:r>
      <w:r>
        <w:rPr>
          <w:rFonts w:ascii="Arial" w:cs="Arial" w:eastAsia="Arial" w:hAnsi="Arial"/>
          <w:sz w:val="17"/>
          <w:szCs w:val="17"/>
          <w:color w:val="auto"/>
        </w:rPr>
        <w:t>”), this filing does not reflect securities, if any, beneficially owned by The Blackstone Group L.P. and its affiliates, other than those comprising the HFA Business, whose ownership of securities is disaggregated from that of the HFA Business in accordance with the Release.</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securities as to which this Schedule is filed are owned of record by clients represented by Harvest Fund Advisors LLC. Those clients each have the right to receive, or the power to direct the receipt of, dividends from, and the proceeds from the sale of, such securities. No such client is known to have such right or power with respect to more than five percent of this class of securities.</w:t>
      </w:r>
    </w:p>
    <w:p>
      <w:pPr>
        <w:spacing w:after="0" w:line="326" w:lineRule="exact"/>
        <w:rPr>
          <w:sz w:val="20"/>
          <w:szCs w:val="20"/>
          <w:color w:val="auto"/>
        </w:rPr>
      </w:pPr>
    </w:p>
    <w:p>
      <w:pPr>
        <w:ind w:left="9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0960"/>
          </w:cols>
          <w:pgMar w:left="440" w:top="270" w:right="49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HARVEST FUND ADVISORS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Anthony Merhige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Anthony Merhige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459"/>
        </w:trPr>
        <w:tc>
          <w:tcPr>
            <w:tcW w:w="4420" w:type="dxa"/>
            <w:vAlign w:val="bottom"/>
            <w:gridSpan w:val="2"/>
          </w:tcPr>
          <w:p>
            <w:pPr>
              <w:spacing w:after="0"/>
              <w:rPr>
                <w:sz w:val="20"/>
                <w:szCs w:val="20"/>
                <w:color w:val="auto"/>
              </w:rPr>
            </w:pPr>
            <w:r>
              <w:rPr>
                <w:rFonts w:ascii="Arial" w:cs="Arial" w:eastAsia="Arial" w:hAnsi="Arial"/>
                <w:sz w:val="18"/>
                <w:szCs w:val="18"/>
                <w:color w:val="auto"/>
              </w:rPr>
              <w:t>ERIC M. CONKLIN</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Anthony Merhige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Anthony Merhige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Attorney-in-Fact</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040"/>
          </w:cols>
          <w:pgMar w:left="440" w:top="270" w:right="419" w:bottom="1440" w:gutter="0" w:footer="0" w:header="0"/>
        </w:sectPr>
      </w:pPr>
    </w:p>
    <w:bookmarkStart w:id="7" w:name="page8"/>
    <w:bookmarkEnd w:id="7"/>
    <w:p>
      <w:pPr>
        <w:jc w:val="right"/>
        <w:ind w:right="39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LIST</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A</w:t>
      </w:r>
      <w:r>
        <w:rPr>
          <w:sz w:val="20"/>
          <w:szCs w:val="20"/>
          <w:color w:val="auto"/>
        </w:rPr>
        <w:tab/>
      </w:r>
      <w:r>
        <w:rPr>
          <w:rFonts w:ascii="Arial" w:cs="Arial" w:eastAsia="Arial" w:hAnsi="Arial"/>
          <w:sz w:val="16"/>
          <w:szCs w:val="16"/>
          <w:color w:val="auto"/>
        </w:rPr>
        <w:t>Joint Filing Agreement</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B</w:t>
      </w:r>
      <w:r>
        <w:rPr>
          <w:sz w:val="20"/>
          <w:szCs w:val="20"/>
          <w:color w:val="auto"/>
        </w:rPr>
        <w:tab/>
      </w:r>
      <w:r>
        <w:rPr>
          <w:rFonts w:ascii="Arial" w:cs="Arial" w:eastAsia="Arial" w:hAnsi="Arial"/>
          <w:sz w:val="16"/>
          <w:szCs w:val="16"/>
          <w:color w:val="auto"/>
        </w:rPr>
        <w:t>Power of Attorney granted by Eric M. Conklin</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Page 8 of 10</w:t>
      </w:r>
    </w:p>
    <w:p>
      <w:pPr>
        <w:sectPr>
          <w:pgSz w:w="11900" w:h="16838" w:orient="portrait"/>
          <w:cols w:equalWidth="0" w:num="1">
            <w:col w:w="10019"/>
          </w:cols>
          <w:pgMar w:left="440" w:top="274" w:right="1440"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and in accordance with the Securities Exchange Act of 1934, as amended, and the rules and regulations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Plains All American Pipeline L.P., a Delaware limited partnership,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HARVEST FUND ADVISORS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Anthony Merhige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Anthony Merhige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Managing Director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ERIC M. CONKLIN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Anthony Merhige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Anthony Merhige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0980"/>
          </w:cols>
          <w:pgMar w:left="440" w:top="125"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Know all by these presents that Eric M. Conklin does hereby make, constitute and appoint Anthony Merhige and David Thayer, or either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Sections 13(d), 13(g), 13(f), 13(h) and 16(a) of the Securities Exchange Act of 1934, as amended, including without limitation, Schedule 13D, Schedule 13G, Form 13F, Form 13H, Form 3, Form 4 and Form 5 and any amendments thereto.</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such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until the date revoked in writing by the undersigned.</w:t>
      </w:r>
    </w:p>
    <w:p>
      <w:pPr>
        <w:spacing w:after="0" w:line="252"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 Eric M. Conklin</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Name: Eric M. Conklin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2020-01-09T20:45:17Z</dcterms:created>
  <dcterms:modified xsi:type="dcterms:W3CDTF">2020-01-09T20:45:17Z</dcterms:modified>
</cp:coreProperties>
</file>