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-638810</wp:posOffset>
            </wp:positionV>
            <wp:extent cx="59055" cy="652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145"/>
                    </a:xfrm>
                    <a:prstGeom prst="rect">
                      <a:avLst/>
                    </a:prstGeom>
                    <a:noFill/>
                  </pic:spPr>
                </pic:pic>
              </a:graphicData>
            </a:graphic>
          </wp:anchor>
        </w:drawing>
        <w:drawing>
          <wp:anchor simplePos="0" relativeHeight="251657728" behindDoc="1" locked="0" layoutInCell="0" allowOverlap="1">
            <wp:simplePos x="0" y="0"/>
            <wp:positionH relativeFrom="column">
              <wp:posOffset>4110355</wp:posOffset>
            </wp:positionH>
            <wp:positionV relativeFrom="paragraph">
              <wp:posOffset>-638810</wp:posOffset>
            </wp:positionV>
            <wp:extent cx="59055" cy="652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14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404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4044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KAFU Holdings (QP), L.P.</w:t>
        </w:r>
      </w:hyperlink>
    </w:p>
    <w:p>
      <w:pPr>
        <w:spacing w:after="0" w:line="31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AVENUE OF THE STARS, SUITE 300</w:t>
      </w:r>
    </w:p>
    <w:p>
      <w:pPr>
        <w:spacing w:after="0" w:line="35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900" w:type="dxa"/>
            <w:vAlign w:val="bottom"/>
          </w:tcPr>
          <w:p>
            <w:pPr>
              <w:ind w:left="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90067</w:t>
            </w:r>
          </w:p>
        </w:tc>
      </w:tr>
      <w:tr>
        <w:trPr>
          <w:trHeight w:val="154"/>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3920" w:type="dxa"/>
            <w:vAlign w:val="bottom"/>
            <w:gridSpan w:val="2"/>
          </w:tcPr>
          <w:p>
            <w:pPr>
              <w:spacing w:after="0"/>
              <w:rPr>
                <w:sz w:val="3"/>
                <w:szCs w:val="3"/>
                <w:color w:val="auto"/>
              </w:rPr>
            </w:pPr>
          </w:p>
        </w:tc>
        <w:tc>
          <w:tcPr>
            <w:tcW w:w="500" w:type="dxa"/>
            <w:vAlign w:val="bottom"/>
            <w:vMerge w:val="restart"/>
          </w:tcPr>
          <w:p>
            <w:pPr>
              <w:ind w:left="280"/>
              <w:spacing w:after="0" w:line="55" w:lineRule="exact"/>
              <w:rPr>
                <w:sz w:val="20"/>
                <w:szCs w:val="20"/>
                <w:color w:val="auto"/>
              </w:rPr>
            </w:pPr>
            <w:r>
              <w:rPr>
                <w:rFonts w:ascii="Arial" w:cs="Arial" w:eastAsia="Arial" w:hAnsi="Arial"/>
                <w:sz w:val="6"/>
                <w:szCs w:val="6"/>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
        </w:trPr>
        <w:tc>
          <w:tcPr>
            <w:tcW w:w="60" w:type="dxa"/>
            <w:vAlign w:val="bottom"/>
          </w:tcPr>
          <w:p>
            <w:pPr>
              <w:spacing w:after="0" w:line="20" w:lineRule="exact"/>
              <w:rPr>
                <w:sz w:val="1"/>
                <w:szCs w:val="1"/>
                <w:color w:val="auto"/>
              </w:rPr>
            </w:pPr>
          </w:p>
        </w:tc>
        <w:tc>
          <w:tcPr>
            <w:tcW w:w="36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PAA </w:t>
              </w:r>
              <w:r>
                <w:rPr>
                  <w:rFonts w:ascii="Arial" w:cs="Arial" w:eastAsia="Arial" w:hAnsi="Arial"/>
                  <w:sz w:val="1"/>
                  <w:szCs w:val="1"/>
                  <w:color w:val="000000"/>
                </w:rPr>
                <w:t>]</w:t>
              </w:r>
            </w:hyperlink>
          </w:p>
        </w:tc>
        <w:tc>
          <w:tcPr>
            <w:tcW w:w="28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4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60" w:type="dxa"/>
            <w:vAlign w:val="bottom"/>
            <w:tcBorders>
              <w:bottom w:val="single" w:sz="8" w:color="2C2C2C"/>
            </w:tcBorders>
          </w:tcPr>
          <w:p>
            <w:pPr>
              <w:spacing w:after="0"/>
              <w:rPr>
                <w:sz w:val="4"/>
                <w:szCs w:val="4"/>
                <w:color w:val="auto"/>
              </w:rPr>
            </w:pPr>
          </w:p>
        </w:tc>
        <w:tc>
          <w:tcPr>
            <w:tcW w:w="3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4"/>
                <w:szCs w:val="4"/>
                <w:color w:val="auto"/>
              </w:rPr>
            </w:pP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80" w:type="dxa"/>
            <w:vAlign w:val="bottom"/>
            <w:gridSpan w:val="2"/>
            <w:vMerge w:val="restart"/>
          </w:tcPr>
          <w:p>
            <w:pPr>
              <w:ind w:left="820"/>
              <w:spacing w:after="0"/>
              <w:rPr>
                <w:sz w:val="20"/>
                <w:szCs w:val="20"/>
                <w:color w:val="auto"/>
              </w:rPr>
            </w:pPr>
            <w:r>
              <w:rPr>
                <w:rFonts w:ascii="Arial" w:cs="Arial" w:eastAsia="Arial" w:hAnsi="Arial"/>
                <w:sz w:val="17"/>
                <w:szCs w:val="17"/>
                <w:color w:val="0000FF"/>
                <w:w w:val="92"/>
              </w:rPr>
              <w:t>See remaks</w:t>
            </w: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700" w:type="dxa"/>
            <w:vAlign w:val="bottom"/>
            <w:gridSpan w:val="2"/>
            <w:vMerge w:val="restart"/>
          </w:tcPr>
          <w:p>
            <w:pPr>
              <w:ind w:left="60"/>
              <w:spacing w:after="0"/>
              <w:rPr>
                <w:sz w:val="20"/>
                <w:szCs w:val="20"/>
                <w:color w:val="auto"/>
              </w:rPr>
            </w:pPr>
            <w:r>
              <w:rPr>
                <w:rFonts w:ascii="Arial" w:cs="Arial" w:eastAsia="Arial" w:hAnsi="Arial"/>
                <w:sz w:val="17"/>
                <w:szCs w:val="17"/>
                <w:color w:val="0000FF"/>
              </w:rPr>
              <w:t>09/30/2019</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6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8" w:lineRule="exact"/>
        <w:rPr>
          <w:sz w:val="20"/>
          <w:szCs w:val="20"/>
          <w:color w:val="auto"/>
        </w:rPr>
      </w:pPr>
    </w:p>
    <w:p>
      <w:pPr>
        <w:sectPr>
          <w:pgSz w:w="11900" w:h="16838" w:orient="portrait"/>
          <w:cols w:equalWidth="0" w:num="2">
            <w:col w:w="3920" w:space="8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Form: Direct</w:t>
            </w: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gridSpan w:val="2"/>
          </w:tcPr>
          <w:p>
            <w:pPr>
              <w:ind w:left="58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380"/>
              <w:spacing w:after="0" w:line="132" w:lineRule="exact"/>
              <w:rPr>
                <w:sz w:val="20"/>
                <w:szCs w:val="20"/>
                <w:color w:val="auto"/>
              </w:rPr>
            </w:pPr>
            <w:r>
              <w:rPr>
                <w:rFonts w:ascii="Arial" w:cs="Arial" w:eastAsia="Arial" w:hAnsi="Arial"/>
                <w:sz w:val="12"/>
                <w:szCs w:val="12"/>
                <w:b w:val="1"/>
                <w:bCs w:val="1"/>
                <w:color w:val="auto"/>
              </w:rPr>
              <w:t>(D) or Indirect</w:t>
            </w:r>
          </w:p>
        </w:tc>
        <w:tc>
          <w:tcPr>
            <w:tcW w:w="12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3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7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600" w:type="dxa"/>
            <w:vAlign w:val="bottom"/>
            <w:gridSpan w:val="2"/>
            <w:vMerge w:val="restart"/>
          </w:tcPr>
          <w:p>
            <w:pPr>
              <w:ind w:left="680"/>
              <w:spacing w:after="0"/>
              <w:rPr>
                <w:sz w:val="20"/>
                <w:szCs w:val="20"/>
                <w:color w:val="auto"/>
              </w:rPr>
            </w:pPr>
            <w:r>
              <w:rPr>
                <w:rFonts w:ascii="Arial" w:cs="Arial" w:eastAsia="Arial" w:hAnsi="Arial"/>
                <w:sz w:val="17"/>
                <w:szCs w:val="17"/>
                <w:color w:val="0000FF"/>
              </w:rPr>
              <w:t>09/30/2019</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51,913</w:t>
            </w:r>
          </w:p>
        </w:tc>
        <w:tc>
          <w:tcPr>
            <w:tcW w:w="58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2"/>
                <w:szCs w:val="22"/>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51,913</w:t>
            </w:r>
          </w:p>
        </w:tc>
        <w:tc>
          <w:tcPr>
            <w:tcW w:w="880" w:type="dxa"/>
            <w:vAlign w:val="bottom"/>
            <w:vMerge w:val="restart"/>
          </w:tcPr>
          <w:p>
            <w:pPr>
              <w:ind w:left="760"/>
              <w:spacing w:after="0"/>
              <w:rPr>
                <w:sz w:val="20"/>
                <w:szCs w:val="20"/>
                <w:color w:val="auto"/>
              </w:rPr>
            </w:pPr>
            <w:r>
              <w:rPr>
                <w:rFonts w:ascii="Arial" w:cs="Arial" w:eastAsia="Arial" w:hAnsi="Arial"/>
                <w:sz w:val="17"/>
                <w:szCs w:val="17"/>
                <w:color w:val="0000FF"/>
              </w:rPr>
              <w:t>I</w:t>
            </w:r>
          </w:p>
        </w:tc>
        <w:tc>
          <w:tcPr>
            <w:tcW w:w="4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0000FF"/>
                <w:w w:val="82"/>
              </w:rPr>
              <w:t>Ssee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4"/>
            <w:vMerge w:val="restart"/>
          </w:tcPr>
          <w:p>
            <w:pPr>
              <w:ind w:left="20"/>
              <w:spacing w:after="0" w:line="271"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top w:val="single" w:sz="8" w:color="2C2C2C"/>
            </w:tcBorders>
          </w:tcPr>
          <w:p>
            <w:pPr>
              <w:spacing w:after="0"/>
              <w:rPr>
                <w:sz w:val="22"/>
                <w:szCs w:val="22"/>
                <w:color w:val="auto"/>
              </w:rPr>
            </w:pPr>
          </w:p>
        </w:tc>
        <w:tc>
          <w:tcPr>
            <w:tcW w:w="1600" w:type="dxa"/>
            <w:vAlign w:val="bottom"/>
            <w:tcBorders>
              <w:top w:val="single" w:sz="8" w:color="2C2C2C"/>
            </w:tcBorders>
            <w:gridSpan w:val="2"/>
            <w:vMerge w:val="restart"/>
          </w:tcPr>
          <w:p>
            <w:pPr>
              <w:ind w:left="680"/>
              <w:spacing w:after="0"/>
              <w:rPr>
                <w:sz w:val="20"/>
                <w:szCs w:val="20"/>
                <w:color w:val="auto"/>
              </w:rPr>
            </w:pPr>
            <w:r>
              <w:rPr>
                <w:rFonts w:ascii="Arial" w:cs="Arial" w:eastAsia="Arial" w:hAnsi="Arial"/>
                <w:sz w:val="17"/>
                <w:szCs w:val="17"/>
                <w:color w:val="0000FF"/>
              </w:rPr>
              <w:t>09/30/2019</w:t>
            </w:r>
          </w:p>
        </w:tc>
        <w:tc>
          <w:tcPr>
            <w:tcW w:w="4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51,913</w:t>
            </w:r>
          </w:p>
        </w:tc>
        <w:tc>
          <w:tcPr>
            <w:tcW w:w="5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7"/>
                <w:szCs w:val="17"/>
                <w:color w:val="0000FF"/>
              </w:rPr>
              <w:t>D</w:t>
            </w: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gridSpan w:val="2"/>
            <w:vMerge w:val="restart"/>
          </w:tcPr>
          <w:p>
            <w:pPr>
              <w:jc w:val="right"/>
              <w:ind w:right="181"/>
              <w:spacing w:after="0"/>
              <w:rPr>
                <w:sz w:val="20"/>
                <w:szCs w:val="20"/>
                <w:color w:val="auto"/>
              </w:rPr>
            </w:pPr>
            <w:r>
              <w:rPr>
                <w:rFonts w:ascii="Arial" w:cs="Arial" w:eastAsia="Arial" w:hAnsi="Arial"/>
                <w:sz w:val="17"/>
                <w:szCs w:val="17"/>
                <w:color w:val="0000FF"/>
              </w:rPr>
              <w:t>0</w:t>
            </w:r>
          </w:p>
        </w:tc>
        <w:tc>
          <w:tcPr>
            <w:tcW w:w="880" w:type="dxa"/>
            <w:vAlign w:val="bottom"/>
            <w:tcBorders>
              <w:top w:val="single" w:sz="8" w:color="2C2C2C"/>
            </w:tcBorders>
            <w:vMerge w:val="restart"/>
          </w:tcPr>
          <w:p>
            <w:pPr>
              <w:ind w:left="760"/>
              <w:spacing w:after="0"/>
              <w:rPr>
                <w:sz w:val="20"/>
                <w:szCs w:val="20"/>
                <w:color w:val="auto"/>
              </w:rPr>
            </w:pPr>
            <w:r>
              <w:rPr>
                <w:rFonts w:ascii="Arial" w:cs="Arial" w:eastAsia="Arial" w:hAnsi="Arial"/>
                <w:sz w:val="17"/>
                <w:szCs w:val="17"/>
                <w:color w:val="0000FF"/>
              </w:rPr>
              <w:t>I</w:t>
            </w:r>
          </w:p>
        </w:tc>
        <w:tc>
          <w:tcPr>
            <w:tcW w:w="4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82"/>
              </w:rPr>
              <w:t>Ssee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4"/>
            <w:vMerge w:val="restart"/>
          </w:tcPr>
          <w:p>
            <w:pPr>
              <w:ind w:left="20"/>
              <w:spacing w:after="0" w:line="271"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12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32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8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3"/>
                <w:szCs w:val="13"/>
                <w:color w:val="0000FF"/>
              </w:rPr>
              <w:t>Ssee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3"/>
                <w:szCs w:val="13"/>
                <w:color w:val="0000FF"/>
                <w:w w:val="93"/>
              </w:rPr>
              <w:t>Shares/Class</w:t>
            </w:r>
          </w:p>
        </w:tc>
        <w:tc>
          <w:tcPr>
            <w:tcW w:w="80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vMerge w:val="restart"/>
          </w:tcPr>
          <w:p>
            <w:pPr>
              <w:jc w:val="right"/>
              <w:ind w:right="139"/>
              <w:spacing w:after="0"/>
              <w:rPr>
                <w:sz w:val="20"/>
                <w:szCs w:val="20"/>
                <w:color w:val="auto"/>
              </w:rPr>
            </w:pPr>
            <w:r>
              <w:rPr>
                <w:rFonts w:ascii="Arial" w:cs="Arial" w:eastAsia="Arial" w:hAnsi="Arial"/>
                <w:sz w:val="13"/>
                <w:szCs w:val="13"/>
                <w:color w:val="0000FF"/>
              </w:rPr>
              <w:t>09/30/2019</w:t>
            </w:r>
          </w:p>
        </w:tc>
        <w:tc>
          <w:tcPr>
            <w:tcW w:w="1160" w:type="dxa"/>
            <w:vAlign w:val="bottom"/>
          </w:tcPr>
          <w:p>
            <w:pPr>
              <w:spacing w:after="0"/>
              <w:rPr>
                <w:sz w:val="11"/>
                <w:szCs w:val="11"/>
                <w:color w:val="auto"/>
              </w:rPr>
            </w:pPr>
          </w:p>
        </w:tc>
        <w:tc>
          <w:tcPr>
            <w:tcW w:w="4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w w:val="85"/>
              </w:rPr>
              <w:t>51,913</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(1)(2)</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580" w:type="dxa"/>
            <w:vAlign w:val="bottom"/>
          </w:tcPr>
          <w:p>
            <w:pPr>
              <w:ind w:left="80"/>
              <w:spacing w:after="0" w:line="128" w:lineRule="exact"/>
              <w:rPr>
                <w:sz w:val="20"/>
                <w:szCs w:val="20"/>
                <w:color w:val="auto"/>
              </w:rPr>
            </w:pPr>
            <w:r>
              <w:rPr>
                <w:rFonts w:ascii="Arial" w:cs="Arial" w:eastAsia="Arial" w:hAnsi="Arial"/>
                <w:sz w:val="13"/>
                <w:szCs w:val="13"/>
                <w:color w:val="0000FF"/>
                <w:w w:val="90"/>
              </w:rPr>
              <w:t>Common</w:t>
            </w:r>
          </w:p>
        </w:tc>
        <w:tc>
          <w:tcPr>
            <w:tcW w:w="6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2"/>
              </w:rPr>
              <w:t>51,913</w:t>
            </w:r>
          </w:p>
        </w:tc>
        <w:tc>
          <w:tcPr>
            <w:tcW w:w="82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0000FF"/>
                <w:w w:val="97"/>
              </w:rPr>
              <w:t>16,225,067</w:t>
            </w:r>
            <w:r>
              <w:rPr>
                <w:rFonts w:ascii="Arial" w:cs="Arial" w:eastAsia="Arial" w:hAnsi="Arial"/>
                <w:sz w:val="21"/>
                <w:szCs w:val="21"/>
                <w:color w:val="008000"/>
                <w:w w:val="97"/>
                <w:vertAlign w:val="superscript"/>
              </w:rPr>
              <w:t>(4)</w:t>
            </w:r>
          </w:p>
        </w:tc>
        <w:tc>
          <w:tcPr>
            <w:tcW w:w="4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36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A Units/GP</w:t>
            </w:r>
          </w:p>
        </w:tc>
        <w:tc>
          <w:tcPr>
            <w:tcW w:w="8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ind w:left="180"/>
              <w:spacing w:after="0"/>
              <w:rPr>
                <w:sz w:val="20"/>
                <w:szCs w:val="20"/>
                <w:color w:val="auto"/>
              </w:rPr>
            </w:pPr>
            <w:r>
              <w:rPr>
                <w:rFonts w:ascii="Arial" w:cs="Arial" w:eastAsia="Arial" w:hAnsi="Arial"/>
                <w:sz w:val="13"/>
                <w:szCs w:val="13"/>
                <w:color w:val="0000FF"/>
              </w:rPr>
              <w:t>Units</w:t>
            </w:r>
          </w:p>
        </w:tc>
        <w:tc>
          <w:tcPr>
            <w:tcW w:w="6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3"/>
          </w:tcPr>
          <w:p>
            <w:pPr>
              <w:ind w:left="40"/>
              <w:spacing w:after="0" w:line="173" w:lineRule="exact"/>
              <w:rPr>
                <w:sz w:val="20"/>
                <w:szCs w:val="20"/>
                <w:color w:val="auto"/>
              </w:rPr>
            </w:pPr>
            <w:r>
              <w:rPr>
                <w:rFonts w:ascii="Arial" w:cs="Arial" w:eastAsia="Arial" w:hAnsi="Arial"/>
                <w:sz w:val="12"/>
                <w:szCs w:val="12"/>
                <w:color w:val="0000FF"/>
                <w:w w:val="99"/>
              </w:rPr>
              <w:t>footnotes</w:t>
            </w:r>
            <w:r>
              <w:rPr>
                <w:rFonts w:ascii="Arial" w:cs="Arial" w:eastAsia="Arial" w:hAnsi="Arial"/>
                <w:sz w:val="19"/>
                <w:szCs w:val="19"/>
                <w:color w:val="008000"/>
                <w:w w:val="99"/>
                <w:vertAlign w:val="superscript"/>
              </w:rPr>
              <w:t>(1)(2)</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20" w:firstLine="5"/>
        <w:spacing w:after="0"/>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September 30, 2019, KAFU Holdings (QP), L.P. exercised the Redemption Right with respect to an aggregate 51,913 Class A Units.</w:t>
      </w:r>
    </w:p>
    <w:p>
      <w:pPr>
        <w:spacing w:after="0" w:line="33" w:lineRule="exact"/>
        <w:rPr>
          <w:rFonts w:ascii="Arial" w:cs="Arial" w:eastAsia="Arial" w:hAnsi="Arial"/>
          <w:sz w:val="13"/>
          <w:szCs w:val="13"/>
          <w:color w:val="008000"/>
        </w:rPr>
      </w:pPr>
    </w:p>
    <w:p>
      <w:pPr>
        <w:ind w:left="40" w:right="380" w:firstLine="5"/>
        <w:spacing w:after="0" w:line="257"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be deemed to beneficially own the Class A Units, Class B Shares and GP Units held by KAFU.</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pacing w:after="0" w:line="47" w:lineRule="exact"/>
        <w:rPr>
          <w:rFonts w:ascii="Arial" w:cs="Arial" w:eastAsia="Arial" w:hAnsi="Arial"/>
          <w:sz w:val="13"/>
          <w:szCs w:val="13"/>
          <w:color w:val="008000"/>
        </w:rPr>
      </w:pPr>
    </w:p>
    <w:p>
      <w:pPr>
        <w:ind w:left="40" w:right="240" w:firstLine="5"/>
        <w:spacing w:after="0" w:line="290"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a simultaneous transaction, KAFU exercised the exchange right provided for in the limited partnership agreement of AAP pursuant to which 1,248 Class A Units, Class B Shares and GP Units were exchanged for a like number of PAGP Class A Shares. The number of derivative securities owned reflects both the redemption transaction reported herein and the simultaneous exchange transaction.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0"/>
          <w:szCs w:val="20"/>
          <w:color w:val="auto"/>
        </w:rPr>
      </w:pPr>
    </w:p>
    <w:p>
      <w:pPr>
        <w:ind w:left="40" w:right="300"/>
        <w:spacing w:after="0" w:line="24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ectPr>
          <w:pgSz w:w="11900" w:h="16838" w:orient="portrait"/>
          <w:cols w:equalWidth="0" w:num="1">
            <w:col w:w="11520"/>
          </w:cols>
          <w:pgMar w:left="240" w:top="223" w:right="139" w:bottom="1440" w:gutter="0" w:footer="0" w:header="0"/>
          <w:type w:val="continuous"/>
        </w:sectPr>
      </w:pPr>
    </w:p>
    <w:p>
      <w:pPr>
        <w:spacing w:after="0" w:line="57"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David Shladovsky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4445</wp:posOffset>
            </wp:positionV>
            <wp:extent cx="1369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24"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-13335</wp:posOffset>
            </wp:positionV>
            <wp:extent cx="503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138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0000FF"/>
        </w:rPr>
        <w:t>10/01/2019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494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466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1" w:lineRule="exact"/>
        <w:rPr>
          <w:sz w:val="20"/>
          <w:szCs w:val="20"/>
          <w:color w:val="auto"/>
        </w:rPr>
      </w:pPr>
    </w:p>
    <w:p>
      <w:pPr>
        <w:sectPr>
          <w:pgSz w:w="11900" w:h="16838" w:orient="portrait"/>
          <w:cols w:equalWidth="0" w:num="2">
            <w:col w:w="9020" w:space="120"/>
            <w:col w:w="2380"/>
          </w:cols>
          <w:pgMar w:left="240" w:top="223"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2020-02-27T02:23:53Z</dcterms:created>
  <dcterms:modified xsi:type="dcterms:W3CDTF">2020-02-27T02:23:53Z</dcterms:modified>
</cp:coreProperties>
</file>