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3"/>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offering price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3.60% Senior Notes due 2024</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$748,815,000</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89"/>
              </w:rPr>
              <w:t>$96,448(1)</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5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333-184137 by means of this prospectus supplement.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187325</wp:posOffset>
            </wp:positionV>
            <wp:extent cx="169799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PAA Finance Corp.</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$750,000,000 3.60%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212725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Plains All American Pipeline, L.P. and PAA Finance Corp. are offering $750 million aggregate principal amount of 3.60% Senior Notes due 2024 (the “Notes”).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will pay interest on the Notes semi-annually in arrears on May 1 and November 1 of each year, beginning on May 1, 2015. The Notes will mature on November 1, 2024, unless redeemed prior to the maturity date.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166370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0" w:lineRule="exact"/>
        <w:rPr>
          <w:sz w:val="20"/>
          <w:szCs w:val="20"/>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w:t>
      </w:r>
    </w:p>
    <w:p>
      <w:pPr>
        <w:spacing w:after="0" w:line="20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136525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Public Offering</w:t>
            </w:r>
          </w:p>
        </w:tc>
        <w:tc>
          <w:tcPr>
            <w:tcW w:w="2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Underwriting</w:t>
            </w:r>
          </w:p>
        </w:tc>
        <w:tc>
          <w:tcPr>
            <w:tcW w:w="32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Proceeds, Before</w:t>
            </w:r>
          </w:p>
        </w:tc>
      </w:tr>
      <w:tr>
        <w:trPr>
          <w:trHeight w:val="161"/>
        </w:trPr>
        <w:tc>
          <w:tcPr>
            <w:tcW w:w="396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Price(1)</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Discount</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Expenses, to Us</w:t>
            </w:r>
          </w:p>
        </w:tc>
        <w:tc>
          <w:tcPr>
            <w:tcW w:w="20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0.650%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99.192%</w:t>
            </w:r>
          </w:p>
        </w:tc>
      </w:tr>
      <w:tr>
        <w:trPr>
          <w:trHeight w:val="222"/>
        </w:trPr>
        <w:tc>
          <w:tcPr>
            <w:tcW w:w="3960" w:type="dxa"/>
            <w:vAlign w:val="bottom"/>
          </w:tcPr>
          <w:p>
            <w:pPr>
              <w:ind w:left="440"/>
              <w:spacing w:after="0"/>
              <w:rPr>
                <w:sz w:val="20"/>
                <w:szCs w:val="20"/>
                <w:color w:val="auto"/>
              </w:rPr>
            </w:pPr>
            <w:r>
              <w:rPr>
                <w:rFonts w:ascii="Arial" w:cs="Arial" w:eastAsia="Arial" w:hAnsi="Arial"/>
                <w:sz w:val="18"/>
                <w:szCs w:val="18"/>
                <w:color w:val="auto"/>
              </w:rPr>
              <w:t>Total</w:t>
            </w:r>
          </w:p>
        </w:tc>
        <w:tc>
          <w:tcPr>
            <w:tcW w:w="4500" w:type="dxa"/>
            <w:vAlign w:val="bottom"/>
            <w:gridSpan w:val="3"/>
          </w:tcPr>
          <w:p>
            <w:pPr>
              <w:jc w:val="right"/>
              <w:ind w:right="340"/>
              <w:spacing w:after="0"/>
              <w:rPr>
                <w:sz w:val="20"/>
                <w:szCs w:val="20"/>
                <w:color w:val="auto"/>
              </w:rPr>
            </w:pPr>
            <w:r>
              <w:rPr>
                <w:rFonts w:ascii="Arial" w:cs="Arial" w:eastAsia="Arial" w:hAnsi="Arial"/>
                <w:sz w:val="18"/>
                <w:szCs w:val="18"/>
                <w:color w:val="auto"/>
              </w:rPr>
              <w:t>$748,815,000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$4,875,000</w:t>
            </w:r>
          </w:p>
        </w:tc>
        <w:tc>
          <w:tcPr>
            <w:tcW w:w="46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$743,940,000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September 9, 2014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191135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September 9, 2014, the fifth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180340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64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1700" w:type="dxa"/>
            <w:vAlign w:val="bottom"/>
          </w:tcPr>
          <w:p>
            <w:pPr>
              <w:ind w:left="460"/>
              <w:spacing w:after="0"/>
              <w:rPr>
                <w:sz w:val="20"/>
                <w:szCs w:val="20"/>
                <w:color w:val="auto"/>
              </w:rPr>
            </w:pPr>
            <w:r>
              <w:rPr>
                <w:rFonts w:ascii="Arial" w:cs="Arial" w:eastAsia="Arial" w:hAnsi="Arial"/>
                <w:sz w:val="24"/>
                <w:szCs w:val="24"/>
                <w:b w:val="1"/>
                <w:bCs w:val="1"/>
                <w:color w:val="auto"/>
              </w:rPr>
              <w:t>Barclays</w:t>
            </w:r>
          </w:p>
        </w:tc>
        <w:tc>
          <w:tcPr>
            <w:tcW w:w="4380" w:type="dxa"/>
            <w:vAlign w:val="bottom"/>
          </w:tcPr>
          <w:p>
            <w:pPr>
              <w:ind w:left="2180"/>
              <w:spacing w:after="0"/>
              <w:rPr>
                <w:sz w:val="20"/>
                <w:szCs w:val="20"/>
                <w:color w:val="auto"/>
              </w:rPr>
            </w:pPr>
            <w:r>
              <w:rPr>
                <w:rFonts w:ascii="Arial" w:cs="Arial" w:eastAsia="Arial" w:hAnsi="Arial"/>
                <w:sz w:val="24"/>
                <w:szCs w:val="24"/>
                <w:b w:val="1"/>
                <w:bCs w:val="1"/>
                <w:color w:val="auto"/>
              </w:rPr>
              <w:t>BNP PARIBAS</w:t>
            </w:r>
          </w:p>
        </w:tc>
        <w:tc>
          <w:tcPr>
            <w:tcW w:w="2700" w:type="dxa"/>
            <w:vAlign w:val="bottom"/>
          </w:tcPr>
          <w:p>
            <w:pPr>
              <w:jc w:val="right"/>
              <w:spacing w:after="0"/>
              <w:rPr>
                <w:sz w:val="20"/>
                <w:szCs w:val="20"/>
                <w:color w:val="auto"/>
              </w:rPr>
            </w:pPr>
            <w:r>
              <w:rPr>
                <w:rFonts w:ascii="Arial" w:cs="Arial" w:eastAsia="Arial" w:hAnsi="Arial"/>
                <w:sz w:val="24"/>
                <w:szCs w:val="24"/>
                <w:b w:val="1"/>
                <w:bCs w:val="1"/>
                <w:color w:val="auto"/>
              </w:rPr>
              <w:t>BofA Merrill Lynch</w:t>
            </w:r>
          </w:p>
        </w:tc>
      </w:tr>
      <w:tr>
        <w:trPr>
          <w:trHeight w:val="365"/>
        </w:trPr>
        <w:tc>
          <w:tcPr>
            <w:tcW w:w="2640" w:type="dxa"/>
            <w:vAlign w:val="bottom"/>
          </w:tcPr>
          <w:p>
            <w:pPr>
              <w:spacing w:after="0"/>
              <w:rPr>
                <w:sz w:val="20"/>
                <w:szCs w:val="20"/>
                <w:color w:val="auto"/>
              </w:rPr>
            </w:pPr>
            <w:r>
              <w:rPr>
                <w:rFonts w:ascii="Arial" w:cs="Arial" w:eastAsia="Arial" w:hAnsi="Arial"/>
                <w:sz w:val="24"/>
                <w:szCs w:val="24"/>
                <w:b w:val="1"/>
                <w:bCs w:val="1"/>
                <w:color w:val="auto"/>
              </w:rPr>
              <w:t>DNB Markets</w:t>
            </w:r>
          </w:p>
        </w:tc>
        <w:tc>
          <w:tcPr>
            <w:tcW w:w="1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24"/>
                <w:szCs w:val="24"/>
                <w:b w:val="1"/>
                <w:bCs w:val="1"/>
                <w:color w:val="auto"/>
              </w:rPr>
              <w:t>Mizuho Securities</w:t>
            </w:r>
          </w:p>
        </w:tc>
      </w:tr>
      <w:tr>
        <w:trPr>
          <w:trHeight w:val="372"/>
        </w:trPr>
        <w:tc>
          <w:tcPr>
            <w:tcW w:w="2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380" w:type="dxa"/>
            <w:vAlign w:val="bottom"/>
          </w:tcPr>
          <w:p>
            <w:pPr>
              <w:ind w:left="880"/>
              <w:spacing w:after="0"/>
              <w:rPr>
                <w:sz w:val="20"/>
                <w:szCs w:val="20"/>
                <w:color w:val="auto"/>
              </w:rPr>
            </w:pPr>
            <w:r>
              <w:rPr>
                <w:rFonts w:ascii="Arial" w:cs="Arial" w:eastAsia="Arial" w:hAnsi="Arial"/>
                <w:sz w:val="18"/>
                <w:szCs w:val="18"/>
                <w:i w:val="1"/>
                <w:iCs w:val="1"/>
                <w:color w:val="auto"/>
              </w:rPr>
              <w:t>Co-Managers</w:t>
            </w:r>
          </w:p>
        </w:tc>
        <w:tc>
          <w:tcPr>
            <w:tcW w:w="2700" w:type="dxa"/>
            <w:vAlign w:val="bottom"/>
          </w:tcPr>
          <w:p>
            <w:pPr>
              <w:spacing w:after="0"/>
              <w:rPr>
                <w:sz w:val="24"/>
                <w:szCs w:val="24"/>
                <w:color w:val="auto"/>
              </w:rPr>
            </w:pPr>
          </w:p>
        </w:tc>
      </w:tr>
      <w:tr>
        <w:trPr>
          <w:trHeight w:val="420"/>
        </w:trPr>
        <w:tc>
          <w:tcPr>
            <w:tcW w:w="264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1700" w:type="dxa"/>
            <w:vAlign w:val="bottom"/>
          </w:tcPr>
          <w:p>
            <w:pPr>
              <w:spacing w:after="0"/>
              <w:rPr>
                <w:sz w:val="24"/>
                <w:szCs w:val="24"/>
                <w:color w:val="auto"/>
              </w:rPr>
            </w:pPr>
          </w:p>
        </w:tc>
        <w:tc>
          <w:tcPr>
            <w:tcW w:w="4380" w:type="dxa"/>
            <w:vAlign w:val="bottom"/>
          </w:tcPr>
          <w:p>
            <w:pPr>
              <w:jc w:val="center"/>
              <w:ind w:right="1393"/>
              <w:spacing w:after="0"/>
              <w:rPr>
                <w:sz w:val="20"/>
                <w:szCs w:val="20"/>
                <w:color w:val="auto"/>
              </w:rPr>
            </w:pPr>
            <w:r>
              <w:rPr>
                <w:rFonts w:ascii="Arial" w:cs="Arial" w:eastAsia="Arial" w:hAnsi="Arial"/>
                <w:sz w:val="22"/>
                <w:szCs w:val="22"/>
                <w:b w:val="1"/>
                <w:bCs w:val="1"/>
                <w:color w:val="auto"/>
                <w:w w:val="94"/>
              </w:rPr>
              <w:t>SMBC Nikko</w:t>
            </w:r>
          </w:p>
        </w:tc>
        <w:tc>
          <w:tcPr>
            <w:tcW w:w="2700" w:type="dxa"/>
            <w:vAlign w:val="bottom"/>
          </w:tcPr>
          <w:p>
            <w:pPr>
              <w:jc w:val="right"/>
              <w:spacing w:after="0"/>
              <w:rPr>
                <w:sz w:val="20"/>
                <w:szCs w:val="20"/>
                <w:color w:val="auto"/>
              </w:rPr>
            </w:pPr>
            <w:r>
              <w:rPr>
                <w:rFonts w:ascii="Arial" w:cs="Arial" w:eastAsia="Arial" w:hAnsi="Arial"/>
                <w:sz w:val="22"/>
                <w:szCs w:val="22"/>
                <w:b w:val="1"/>
                <w:bCs w:val="1"/>
                <w:color w:val="auto"/>
              </w:rPr>
              <w:t>BMO Capital Markets</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b w:val="1"/>
                <w:bCs w:val="1"/>
                <w:color w:val="auto"/>
              </w:rPr>
              <w:t>CIBC</w:t>
            </w:r>
          </w:p>
        </w:tc>
        <w:tc>
          <w:tcPr>
            <w:tcW w:w="1700" w:type="dxa"/>
            <w:vAlign w:val="bottom"/>
          </w:tcPr>
          <w:p>
            <w:pPr>
              <w:spacing w:after="0"/>
              <w:rPr>
                <w:sz w:val="21"/>
                <w:szCs w:val="21"/>
                <w:color w:val="auto"/>
              </w:rPr>
            </w:pPr>
          </w:p>
        </w:tc>
        <w:tc>
          <w:tcPr>
            <w:tcW w:w="4380" w:type="dxa"/>
            <w:vAlign w:val="bottom"/>
          </w:tcPr>
          <w:p>
            <w:pPr>
              <w:jc w:val="center"/>
              <w:ind w:right="1373"/>
              <w:spacing w:after="0" w:line="243" w:lineRule="exact"/>
              <w:rPr>
                <w:sz w:val="20"/>
                <w:szCs w:val="20"/>
                <w:color w:val="auto"/>
              </w:rPr>
            </w:pPr>
            <w:r>
              <w:rPr>
                <w:rFonts w:ascii="Arial" w:cs="Arial" w:eastAsia="Arial" w:hAnsi="Arial"/>
                <w:sz w:val="22"/>
                <w:szCs w:val="22"/>
                <w:b w:val="1"/>
                <w:bCs w:val="1"/>
                <w:color w:val="auto"/>
                <w:w w:val="91"/>
              </w:rPr>
              <w:t>Fifth Third Securities</w:t>
            </w:r>
          </w:p>
        </w:tc>
        <w:tc>
          <w:tcPr>
            <w:tcW w:w="270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ING</w:t>
            </w:r>
          </w:p>
        </w:tc>
      </w:tr>
      <w:tr>
        <w:trPr>
          <w:trHeight w:val="281"/>
        </w:trPr>
        <w:tc>
          <w:tcPr>
            <w:tcW w:w="2640" w:type="dxa"/>
            <w:vAlign w:val="bottom"/>
          </w:tcPr>
          <w:p>
            <w:pPr>
              <w:spacing w:after="0"/>
              <w:rPr>
                <w:sz w:val="20"/>
                <w:szCs w:val="20"/>
                <w:color w:val="auto"/>
              </w:rPr>
            </w:pPr>
            <w:r>
              <w:rPr>
                <w:rFonts w:ascii="Arial" w:cs="Arial" w:eastAsia="Arial" w:hAnsi="Arial"/>
                <w:sz w:val="22"/>
                <w:szCs w:val="22"/>
                <w:b w:val="1"/>
                <w:bCs w:val="1"/>
                <w:color w:val="auto"/>
              </w:rPr>
              <w:t>Regions Securities LLC</w:t>
            </w:r>
          </w:p>
        </w:tc>
        <w:tc>
          <w:tcPr>
            <w:tcW w:w="1700" w:type="dxa"/>
            <w:vAlign w:val="bottom"/>
          </w:tcPr>
          <w:p>
            <w:pPr>
              <w:spacing w:after="0"/>
              <w:rPr>
                <w:sz w:val="24"/>
                <w:szCs w:val="24"/>
                <w:color w:val="auto"/>
              </w:rPr>
            </w:pPr>
          </w:p>
        </w:tc>
        <w:tc>
          <w:tcPr>
            <w:tcW w:w="4380" w:type="dxa"/>
            <w:vAlign w:val="bottom"/>
          </w:tcPr>
          <w:p>
            <w:pPr>
              <w:jc w:val="center"/>
              <w:ind w:right="1373"/>
              <w:spacing w:after="0"/>
              <w:rPr>
                <w:sz w:val="20"/>
                <w:szCs w:val="20"/>
                <w:color w:val="auto"/>
              </w:rPr>
            </w:pPr>
            <w:r>
              <w:rPr>
                <w:rFonts w:ascii="Arial" w:cs="Arial" w:eastAsia="Arial" w:hAnsi="Arial"/>
                <w:sz w:val="22"/>
                <w:szCs w:val="22"/>
                <w:b w:val="1"/>
                <w:bCs w:val="1"/>
                <w:color w:val="auto"/>
                <w:w w:val="98"/>
              </w:rPr>
              <w:t>SOCIETE GENERALE</w:t>
            </w:r>
          </w:p>
        </w:tc>
        <w:tc>
          <w:tcPr>
            <w:tcW w:w="270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173990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date of this prospectus supplement is September 2,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19"/>
                <w:szCs w:val="19"/>
                <w:color w:val="auto"/>
              </w:rPr>
            </w:pPr>
          </w:p>
        </w:tc>
      </w:tr>
      <w:tr>
        <w:trPr>
          <w:trHeight w:val="378"/>
        </w:trPr>
        <w:tc>
          <w:tcPr>
            <w:tcW w:w="932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Ratio of Earnings To Fixed Charges</w:t>
              </w:r>
            </w:hyperlink>
          </w:p>
        </w:tc>
        <w:tc>
          <w:tcPr>
            <w:tcW w:w="67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Capitalization</w:t>
              </w:r>
            </w:hyperlink>
          </w:p>
        </w:tc>
        <w:tc>
          <w:tcPr>
            <w:tcW w:w="832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559"/>
        </w:trPr>
        <w:tc>
          <w:tcPr>
            <w:tcW w:w="280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65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16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expect delivery of the Notes will be made against payment therefor on or about September 9, 2014,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2013, which is incorporated by reference herein, for information regarding risks you should consider before making a decision to purchase any Notes in this offering.</w:t>
      </w:r>
    </w:p>
    <w:p>
      <w:pPr>
        <w:spacing w:after="0" w:line="120"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Plains All American Pipeline, L.P.</w:t>
      </w:r>
    </w:p>
    <w:p>
      <w:pPr>
        <w:spacing w:after="0" w:line="177"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43"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Ongoing Acquisition Activities</w:t>
      </w:r>
    </w:p>
    <w:p>
      <w:pPr>
        <w:spacing w:after="0" w:line="177"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18"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We typically do not announce a transaction until after we have executed a definitive acquisition agreement. However, in certain cases in order to protect our business interests or for other reasons, we may defer public</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34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25342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Principal Executive Offices</w:t>
      </w:r>
    </w:p>
    <w:p>
      <w:pPr>
        <w:spacing w:after="0" w:line="177" w:lineRule="exact"/>
        <w:rPr>
          <w:sz w:val="20"/>
          <w:szCs w:val="20"/>
          <w:color w:val="auto"/>
        </w:rPr>
      </w:pPr>
    </w:p>
    <w:p>
      <w:pPr>
        <w:jc w:val="both"/>
        <w:ind w:left="200" w:right="420" w:firstLine="443"/>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and our Quarterly Reports on Form 10-Q for the quarterly periods ended March 31, 2014 and June 30, 2014, each of which is incorporated by reference herein.</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80" w:type="dxa"/>
            <w:vAlign w:val="bottom"/>
          </w:tcPr>
          <w:p>
            <w:pPr>
              <w:ind w:left="1320"/>
              <w:spacing w:after="0"/>
              <w:rPr>
                <w:sz w:val="20"/>
                <w:szCs w:val="20"/>
                <w:color w:val="auto"/>
              </w:rPr>
            </w:pPr>
            <w:r>
              <w:rPr>
                <w:rFonts w:ascii="Arial" w:cs="Arial" w:eastAsia="Arial" w:hAnsi="Arial"/>
                <w:sz w:val="18"/>
                <w:szCs w:val="18"/>
                <w:color w:val="auto"/>
              </w:rPr>
              <w:t>Plains All American Pipeline, L.P. and PAA Finance Corp.</w:t>
            </w:r>
          </w:p>
        </w:tc>
      </w:tr>
      <w:tr>
        <w:trPr>
          <w:trHeight w:val="426"/>
        </w:trPr>
        <w:tc>
          <w:tcPr>
            <w:tcW w:w="3080" w:type="dxa"/>
            <w:vAlign w:val="bottom"/>
          </w:tcPr>
          <w:p>
            <w:pPr>
              <w:spacing w:after="0"/>
              <w:rPr>
                <w:sz w:val="24"/>
                <w:szCs w:val="24"/>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rPr>
              <w:t>PAA Finance Corp., a Delaware corporation, is a wholly owned subsidiary of Plains All</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1"/>
              </w:rPr>
              <w:t>American Pipeline, L.P. that has been organized for the purpose of co-issuing our existing notes,</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3"/>
              </w:rPr>
              <w:t>the Notes offered hereby and the notes issued in any future offerings. PAA Finance Corp. does</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1"/>
              </w:rPr>
              <w:t>not have operations of any kind and will not have any revenue other than as may be incidental to</w:t>
            </w:r>
          </w:p>
        </w:tc>
      </w:tr>
      <w:tr>
        <w:trPr>
          <w:trHeight w:val="222"/>
        </w:trPr>
        <w:tc>
          <w:tcPr>
            <w:tcW w:w="3080" w:type="dxa"/>
            <w:vAlign w:val="bottom"/>
          </w:tcPr>
          <w:p>
            <w:pPr>
              <w:spacing w:after="0"/>
              <w:rPr>
                <w:sz w:val="19"/>
                <w:szCs w:val="19"/>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rPr>
              <w:t>its activities as a co-issuer of our debt securities.</w:t>
            </w: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Future guarantees</w:t>
            </w:r>
          </w:p>
        </w:tc>
        <w:tc>
          <w:tcPr>
            <w:tcW w:w="8380" w:type="dxa"/>
            <w:vAlign w:val="bottom"/>
          </w:tcPr>
          <w:p>
            <w:pPr>
              <w:ind w:left="1320"/>
              <w:spacing w:after="0"/>
              <w:rPr>
                <w:sz w:val="20"/>
                <w:szCs w:val="20"/>
                <w:color w:val="auto"/>
              </w:rPr>
            </w:pPr>
            <w:r>
              <w:rPr>
                <w:rFonts w:ascii="Arial" w:cs="Arial" w:eastAsia="Arial" w:hAnsi="Arial"/>
                <w:sz w:val="18"/>
                <w:szCs w:val="18"/>
                <w:color w:val="auto"/>
                <w:w w:val="99"/>
              </w:rPr>
              <w:t>Initially, the Notes will not be guaranteed by any subsidiaries of the issuers. In the future,</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1"/>
              </w:rPr>
              <w:t>however, if any subsidiaries guarantee any of the issuers’ other debt, then those subsidiaries will,</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3"/>
              </w:rPr>
              <w:t>jointly and severally, fully and unconditionally guarantee the issuers’ payment obligations under</w:t>
            </w:r>
          </w:p>
        </w:tc>
      </w:tr>
      <w:tr>
        <w:trPr>
          <w:trHeight w:val="222"/>
        </w:trPr>
        <w:tc>
          <w:tcPr>
            <w:tcW w:w="3080" w:type="dxa"/>
            <w:vAlign w:val="bottom"/>
          </w:tcPr>
          <w:p>
            <w:pPr>
              <w:spacing w:after="0"/>
              <w:rPr>
                <w:sz w:val="19"/>
                <w:szCs w:val="19"/>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rPr>
              <w:t>the Notes. Please read “Description of Notes—Possible Future Guarantees.”</w:t>
            </w:r>
          </w:p>
        </w:tc>
      </w:tr>
      <w:tr>
        <w:trPr>
          <w:trHeight w:val="419"/>
        </w:trPr>
        <w:tc>
          <w:tcPr>
            <w:tcW w:w="3080" w:type="dxa"/>
            <w:vAlign w:val="bottom"/>
          </w:tcPr>
          <w:p>
            <w:pPr>
              <w:ind w:left="200"/>
              <w:spacing w:after="0"/>
              <w:rPr>
                <w:sz w:val="20"/>
                <w:szCs w:val="20"/>
                <w:color w:val="auto"/>
              </w:rPr>
            </w:pPr>
            <w:r>
              <w:rPr>
                <w:rFonts w:ascii="Arial" w:cs="Arial" w:eastAsia="Arial" w:hAnsi="Arial"/>
                <w:sz w:val="18"/>
                <w:szCs w:val="18"/>
                <w:color w:val="auto"/>
              </w:rPr>
              <w:t>Notes offered</w:t>
            </w:r>
          </w:p>
        </w:tc>
        <w:tc>
          <w:tcPr>
            <w:tcW w:w="8380" w:type="dxa"/>
            <w:vAlign w:val="bottom"/>
          </w:tcPr>
          <w:p>
            <w:pPr>
              <w:ind w:left="1320"/>
              <w:spacing w:after="0"/>
              <w:rPr>
                <w:sz w:val="20"/>
                <w:szCs w:val="20"/>
                <w:color w:val="auto"/>
              </w:rPr>
            </w:pPr>
            <w:r>
              <w:rPr>
                <w:rFonts w:ascii="Arial" w:cs="Arial" w:eastAsia="Arial" w:hAnsi="Arial"/>
                <w:sz w:val="18"/>
                <w:szCs w:val="18"/>
                <w:color w:val="auto"/>
              </w:rPr>
              <w:t>$750,000,000 aggregate principal amount of 3.60% Senior Notes due 2024.</w:t>
            </w:r>
          </w:p>
        </w:tc>
      </w:tr>
      <w:tr>
        <w:trPr>
          <w:trHeight w:val="432"/>
        </w:trPr>
        <w:tc>
          <w:tcPr>
            <w:tcW w:w="30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380" w:type="dxa"/>
            <w:vAlign w:val="bottom"/>
          </w:tcPr>
          <w:p>
            <w:pPr>
              <w:ind w:left="1320"/>
              <w:spacing w:after="0"/>
              <w:rPr>
                <w:sz w:val="20"/>
                <w:szCs w:val="20"/>
                <w:color w:val="auto"/>
              </w:rPr>
            </w:pPr>
            <w:r>
              <w:rPr>
                <w:rFonts w:ascii="Arial" w:cs="Arial" w:eastAsia="Arial" w:hAnsi="Arial"/>
                <w:sz w:val="18"/>
                <w:szCs w:val="18"/>
                <w:color w:val="auto"/>
              </w:rPr>
              <w:t>November 1, 2024.</w:t>
            </w:r>
          </w:p>
        </w:tc>
      </w:tr>
      <w:tr>
        <w:trPr>
          <w:trHeight w:val="432"/>
        </w:trPr>
        <w:tc>
          <w:tcPr>
            <w:tcW w:w="30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80" w:type="dxa"/>
            <w:vAlign w:val="bottom"/>
          </w:tcPr>
          <w:p>
            <w:pPr>
              <w:ind w:left="1320"/>
              <w:spacing w:after="0"/>
              <w:rPr>
                <w:sz w:val="20"/>
                <w:szCs w:val="20"/>
                <w:color w:val="auto"/>
              </w:rPr>
            </w:pPr>
            <w:r>
              <w:rPr>
                <w:rFonts w:ascii="Arial" w:cs="Arial" w:eastAsia="Arial" w:hAnsi="Arial"/>
                <w:sz w:val="18"/>
                <w:szCs w:val="18"/>
                <w:color w:val="auto"/>
              </w:rPr>
              <w:t>3.60%.</w:t>
            </w:r>
          </w:p>
        </w:tc>
      </w:tr>
      <w:tr>
        <w:trPr>
          <w:trHeight w:val="426"/>
        </w:trPr>
        <w:tc>
          <w:tcPr>
            <w:tcW w:w="30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80" w:type="dxa"/>
            <w:vAlign w:val="bottom"/>
          </w:tcPr>
          <w:p>
            <w:pPr>
              <w:ind w:left="1320"/>
              <w:spacing w:after="0"/>
              <w:rPr>
                <w:sz w:val="20"/>
                <w:szCs w:val="20"/>
                <w:color w:val="auto"/>
              </w:rPr>
            </w:pPr>
            <w:r>
              <w:rPr>
                <w:rFonts w:ascii="Arial" w:cs="Arial" w:eastAsia="Arial" w:hAnsi="Arial"/>
                <w:sz w:val="18"/>
                <w:szCs w:val="18"/>
                <w:color w:val="auto"/>
                <w:w w:val="95"/>
              </w:rPr>
              <w:t>We will pay interest on the Notes semi-annually in arrears on May 1 and November 1 of each</w:t>
            </w:r>
          </w:p>
        </w:tc>
      </w:tr>
      <w:tr>
        <w:trPr>
          <w:trHeight w:val="222"/>
        </w:trPr>
        <w:tc>
          <w:tcPr>
            <w:tcW w:w="3080" w:type="dxa"/>
            <w:vAlign w:val="bottom"/>
          </w:tcPr>
          <w:p>
            <w:pPr>
              <w:spacing w:after="0"/>
              <w:rPr>
                <w:sz w:val="19"/>
                <w:szCs w:val="19"/>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rPr>
              <w:t>year, beginning on May 1, 2015.</w:t>
            </w: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380" w:type="dxa"/>
            <w:vAlign w:val="bottom"/>
          </w:tcPr>
          <w:p>
            <w:pPr>
              <w:ind w:left="1320"/>
              <w:spacing w:after="0"/>
              <w:rPr>
                <w:sz w:val="20"/>
                <w:szCs w:val="20"/>
                <w:color w:val="auto"/>
              </w:rPr>
            </w:pPr>
            <w:r>
              <w:rPr>
                <w:rFonts w:ascii="Arial" w:cs="Arial" w:eastAsia="Arial" w:hAnsi="Arial"/>
                <w:sz w:val="18"/>
                <w:szCs w:val="18"/>
                <w:color w:val="auto"/>
              </w:rPr>
              <w:t>We may redeem the Notes, in whole or in part, at any time and from time to time prior to</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6"/>
              </w:rPr>
              <w:t>maturity. If we redeem the Notes before August 1, 2024 (three months prior to their maturity</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6"/>
              </w:rPr>
              <w:t>date), the Notes may be redeemed at a price equal to the greater of (i) 100% of the principal</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8"/>
              </w:rPr>
              <w:t>amount of the Notes to be redeemed or (ii) the sum of the present values of the remaining</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2"/>
              </w:rPr>
              <w:t>scheduled payments of principal of and interest on the Notes to be redeemed, discounted to the</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0"/>
              </w:rPr>
              <w:t>redemption date on a semiannual basis at the Adjusted Treasury Rate (as defined herein) plus 20</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3"/>
              </w:rPr>
              <w:t>basis points, together with accrued and unpaid interest to the date of redemption. If we redeem</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3"/>
              </w:rPr>
              <w:t>the Notes on or after August 1, 2024 (three months prior to their maturity date), the redemption</w:t>
            </w:r>
          </w:p>
        </w:tc>
      </w:tr>
      <w:tr>
        <w:trPr>
          <w:trHeight w:val="216"/>
        </w:trPr>
        <w:tc>
          <w:tcPr>
            <w:tcW w:w="3080" w:type="dxa"/>
            <w:vAlign w:val="bottom"/>
          </w:tcPr>
          <w:p>
            <w:pPr>
              <w:spacing w:after="0"/>
              <w:rPr>
                <w:sz w:val="18"/>
                <w:szCs w:val="18"/>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6"/>
              </w:rPr>
              <w:t>price will equal 100% of the principal amount of the Notes to be redeemed plus accrued and</w:t>
            </w:r>
          </w:p>
        </w:tc>
      </w:tr>
      <w:tr>
        <w:trPr>
          <w:trHeight w:val="222"/>
        </w:trPr>
        <w:tc>
          <w:tcPr>
            <w:tcW w:w="3080" w:type="dxa"/>
            <w:vAlign w:val="bottom"/>
          </w:tcPr>
          <w:p>
            <w:pPr>
              <w:spacing w:after="0"/>
              <w:rPr>
                <w:sz w:val="19"/>
                <w:szCs w:val="19"/>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w w:val="98"/>
              </w:rPr>
              <w:t>unpaid interest to the redemption date. See “Description of Notes—Optional Redemption.”</w:t>
            </w: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80" w:type="dxa"/>
            <w:vAlign w:val="bottom"/>
          </w:tcPr>
          <w:p>
            <w:pPr>
              <w:ind w:left="1320"/>
              <w:spacing w:after="0"/>
              <w:rPr>
                <w:sz w:val="20"/>
                <w:szCs w:val="20"/>
                <w:color w:val="auto"/>
              </w:rPr>
            </w:pPr>
            <w:r>
              <w:rPr>
                <w:rFonts w:ascii="Arial" w:cs="Arial" w:eastAsia="Arial" w:hAnsi="Arial"/>
                <w:sz w:val="18"/>
                <w:szCs w:val="18"/>
                <w:color w:val="auto"/>
                <w:w w:val="95"/>
              </w:rPr>
              <w:t>The Notes will be general senior unsecured obligations of the issuers and will rank equally in</w:t>
            </w:r>
          </w:p>
        </w:tc>
      </w:tr>
      <w:tr>
        <w:trPr>
          <w:trHeight w:val="222"/>
        </w:trPr>
        <w:tc>
          <w:tcPr>
            <w:tcW w:w="3080" w:type="dxa"/>
            <w:vAlign w:val="bottom"/>
          </w:tcPr>
          <w:p>
            <w:pPr>
              <w:spacing w:after="0"/>
              <w:rPr>
                <w:sz w:val="19"/>
                <w:szCs w:val="19"/>
                <w:color w:val="auto"/>
              </w:rPr>
            </w:pPr>
          </w:p>
        </w:tc>
        <w:tc>
          <w:tcPr>
            <w:tcW w:w="8380" w:type="dxa"/>
            <w:vAlign w:val="bottom"/>
          </w:tcPr>
          <w:p>
            <w:pPr>
              <w:ind w:left="1320"/>
              <w:spacing w:after="0"/>
              <w:rPr>
                <w:sz w:val="20"/>
                <w:szCs w:val="20"/>
                <w:color w:val="auto"/>
              </w:rPr>
            </w:pPr>
            <w:r>
              <w:rPr>
                <w:rFonts w:ascii="Arial" w:cs="Arial" w:eastAsia="Arial" w:hAnsi="Arial"/>
                <w:sz w:val="18"/>
                <w:szCs w:val="18"/>
                <w:color w:val="auto"/>
              </w:rPr>
              <w:t>right of payment with the existing and future senior indebtedness of the issuers.</w:t>
            </w:r>
          </w:p>
        </w:tc>
      </w:tr>
      <w:tr>
        <w:trPr>
          <w:trHeight w:val="161"/>
        </w:trPr>
        <w:tc>
          <w:tcPr>
            <w:tcW w:w="3080" w:type="dxa"/>
            <w:vAlign w:val="bottom"/>
            <w:tcBorders>
              <w:bottom w:val="single" w:sz="8" w:color="auto"/>
            </w:tcBorders>
          </w:tcPr>
          <w:p>
            <w:pPr>
              <w:spacing w:after="0"/>
              <w:rPr>
                <w:sz w:val="13"/>
                <w:szCs w:val="13"/>
                <w:color w:val="auto"/>
              </w:rPr>
            </w:pPr>
          </w:p>
        </w:tc>
        <w:tc>
          <w:tcPr>
            <w:tcW w:w="8380" w:type="dxa"/>
            <w:vAlign w:val="bottom"/>
            <w:tcBorders>
              <w:bottom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8380" w:type="dxa"/>
            <w:vAlign w:val="bottom"/>
          </w:tcPr>
          <w:p>
            <w:pPr>
              <w:ind w:left="25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10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8"/>
              </w:rPr>
              <w:t>The Notes will be issued under an indenture containing covenants for your benefit. These</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covenants restrict our ability, with certain exceptions, to:</w:t>
            </w:r>
          </w:p>
        </w:tc>
      </w:tr>
      <w:tr>
        <w:trPr>
          <w:trHeight w:val="297"/>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incur liens on principal properties to secure debt;</w:t>
            </w:r>
          </w:p>
        </w:tc>
      </w:tr>
      <w:tr>
        <w:trPr>
          <w:trHeight w:val="419"/>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engage in sale-leaseback transactions; and</w:t>
            </w:r>
          </w:p>
        </w:tc>
      </w:tr>
      <w:tr>
        <w:trPr>
          <w:trHeight w:val="412"/>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8"/>
              </w:rPr>
              <w:t>•  merge or consolidate with another entity or sell, lease or transfer substantially all of our</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properties or assets to another entity.</w:t>
            </w:r>
          </w:p>
        </w:tc>
      </w:tr>
      <w:tr>
        <w:trPr>
          <w:trHeight w:val="419"/>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See “Description of Notes—Covenants.”</w:t>
            </w: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net proceeds of this offering will be approximately $742.7 million after deducting the</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underwriting discount and our estimated offering expenses. We expect to use the net proceeds</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from this offering to repay outstanding borrowings under our commercial paper program and for</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general partnership purposes.</w:t>
            </w:r>
          </w:p>
        </w:tc>
      </w:tr>
      <w:tr>
        <w:trPr>
          <w:trHeight w:val="412"/>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Amounts repaid under our commercial paper program may be reborrowed, as necessary, to fund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ongoing expansion capital program or future acquisitions, or for general partnership</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purposes.</w:t>
            </w: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 delivery and form</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The Notes will be represented by one or more permanent global certificates in fully registered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form deposited with a custodian for, and registered in the name of, a nominee of The Depository</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Trust Company.</w:t>
            </w: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may create and issue additional Notes ranking equally and ratably with the Notes offered by</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this prospectus supplement in all respects, so that such additional Notes will be consolidated and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form a single series with such Notes and will have the same terms, as to status, redemption or</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otherwise except for the issue date, the initial interest payment date, if applicable, and the</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payment of interest accruing prior to the issue date of such additional Notes.</w:t>
            </w: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listing</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currently</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intend to apply for listing of the Notes on any securities exchange or have the Notes quoted on</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any automated quotation system. See “Risk Factors—Risks Related to the Notes—Your ability to</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transfer the Notes may be limited by the absence of an organized trading market.”</w:t>
            </w:r>
          </w:p>
        </w:tc>
      </w:tr>
      <w:tr>
        <w:trPr>
          <w:trHeight w:val="419"/>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State of New York.</w:t>
            </w:r>
          </w:p>
        </w:tc>
      </w:tr>
      <w:tr>
        <w:trPr>
          <w:trHeight w:val="43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Investing in the Notes involves risks. You should consider carefully all of the information in this</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prospectus supplement, the accompanying base prospectus, any free writing prospectus relating</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0"/>
              </w:rPr>
              <w:t>to this offering and the documents incorporated by reference herein and therein. In particular, you</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should consider carefully the specific risks set forth in “Risk Factors” beginning on page S-5 of</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this prospectus supplement.</w:t>
            </w:r>
          </w:p>
        </w:tc>
      </w:tr>
      <w:tr>
        <w:trPr>
          <w:trHeight w:val="161"/>
        </w:trPr>
        <w:tc>
          <w:tcPr>
            <w:tcW w:w="3360" w:type="dxa"/>
            <w:vAlign w:val="bottom"/>
            <w:tcBorders>
              <w:left w:val="single" w:sz="8" w:color="auto"/>
              <w:bottom w:val="single" w:sz="8" w:color="auto"/>
            </w:tcBorders>
          </w:tcPr>
          <w:p>
            <w:pPr>
              <w:spacing w:after="0"/>
              <w:rPr>
                <w:sz w:val="13"/>
                <w:szCs w:val="13"/>
                <w:color w:val="auto"/>
              </w:rPr>
            </w:pPr>
          </w:p>
        </w:tc>
        <w:tc>
          <w:tcPr>
            <w:tcW w:w="8100" w:type="dxa"/>
            <w:vAlign w:val="bottom"/>
            <w:tcBorders>
              <w:bottom w:val="single" w:sz="8" w:color="auto"/>
              <w:right w:val="single" w:sz="8" w:color="auto"/>
            </w:tcBorders>
          </w:tcPr>
          <w:p>
            <w:pPr>
              <w:spacing w:after="0"/>
              <w:rPr>
                <w:sz w:val="13"/>
                <w:szCs w:val="13"/>
                <w:color w:val="auto"/>
              </w:rPr>
            </w:pPr>
          </w:p>
        </w:tc>
      </w:tr>
      <w:tr>
        <w:trPr>
          <w:trHeight w:val="359"/>
        </w:trPr>
        <w:tc>
          <w:tcPr>
            <w:tcW w:w="3360" w:type="dxa"/>
            <w:vAlign w:val="bottom"/>
          </w:tcPr>
          <w:p>
            <w:pPr>
              <w:spacing w:after="0"/>
              <w:rPr>
                <w:sz w:val="24"/>
                <w:szCs w:val="24"/>
                <w:color w:val="auto"/>
              </w:rPr>
            </w:pPr>
          </w:p>
        </w:tc>
        <w:tc>
          <w:tcPr>
            <w:tcW w:w="8100" w:type="dxa"/>
            <w:vAlign w:val="bottom"/>
          </w:tcPr>
          <w:p>
            <w:pPr>
              <w:ind w:left="22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jc w:val="both"/>
        <w:ind w:left="240" w:right="8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June 30, 2014, on an as adjusted basis as described under “Capitalization,” the Notes would have been effectively subordinated to no secured indebtedness and structurally subordinated to all of our subsidiaries’ indebtedness, which totaled approximately $17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9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leverage is significant in relation to our partners’ capital. As of June 30, 2014, on an as adjusted basis as described under “Capitalization,” our total outstanding long-term debt was approximately $8.2 billion, and our total outstanding short-term debt was approximately $20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industry conditions by limiting our flexibility in planning for, or reacting to, changes in our business and the industry in which we operate and may place us at a competitive disadvantage as compared to our competitors that have less debt.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4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32" w:lineRule="exact"/>
        <w:rPr>
          <w:sz w:val="20"/>
          <w:szCs w:val="20"/>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net proceeds of this offering will be approximately $742.7 million after deducting the underwriting discount and our estimated offering expenses. We 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or future acquisitions, or for general partnership purposes.</w:t>
      </w:r>
    </w:p>
    <w:p>
      <w:pPr>
        <w:spacing w:after="0" w:line="143"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August 29, 2014, we had approximately $1.1 billion of borrowings outstanding under our commercial paper program with a weighted average interest rate of approximately 0.30%. The outstanding borrowings under our commercial paper program have maturity dates of approximately two weeks or less. Our commercial paper program is backstopped by our senior secured hedged inventory facility and our senior unsecured revolving credit facility.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86"/>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13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 2014</w:t>
            </w: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4.03x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59" w:lineRule="exact"/>
        <w:rPr>
          <w:sz w:val="20"/>
          <w:szCs w:val="20"/>
          <w:color w:val="auto"/>
        </w:rPr>
      </w:pPr>
    </w:p>
    <w:p>
      <w:pPr>
        <w:ind w:left="460" w:right="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$7 million for the six months ended June 30, 2014 and $30 million, $12 million, $20 million, $17 million and $11 million for the years ended December 31, 2013, 2012, 2011, 2010 and 2009,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2014:</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As of June 30, 2014</w:t>
            </w: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Historical</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54"/>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SHORT-TERM DEBT(1)(2)</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PAA senior secured hedged inventory facility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PAA senior unsecured revolving credit facility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PAA commercial paper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short-term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discounts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Notes offered hereby, net of unamortized discount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under credit facilities and 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long-term debt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7,414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Common unitholders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7,731</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partners’ capital excluding noncontrolling interests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8,053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partners’ capital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8,112</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24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classify as short-term certain borrowings under our PAA senior secured hedged inventory facility, our PAA senior unsecured revolving credit facility and our commercial paper program. These borrowings are primarily designated as working capital borrowings, must be repaid within one year and are primarily for hedged NGL and crude oil inventory and NYMEX and ICE margin deposits.</w:t>
      </w:r>
    </w:p>
    <w:p>
      <w:pPr>
        <w:ind w:left="460" w:right="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and on an as adjusted basis as of June 30, 2014, our Canadian subsidiary, Plains Midstream Canada ULC, was the obligor on approximately $148 million and $17 million, respectively, of outstanding commercial paper notes. As of August 29, 2014, we had approximately $1.1 billion of borrowings outstanding under our commercial paper program and no borrowings outstanding under our senior secured hedged inventory facility or our senior unsecured revolving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September 9, 2014 (the Base Indenture, as supplemented by such supplemental indenture, the “Indenture”). The Notes will constitute a new series of debt securities under the Indenture, and multiple other series are now outstanding under the Base Indenture, each issued under a separate supplemental indenture.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of June 30, 2014, on an as adjusted basis as described under “Capitalization,” the Notes would have been effectively subordinated to no secured indebtedness and structurally subordinated to all of our subsidiaries’ outstanding indebtedness, which totaled approximately $17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issue the Notes in an initial aggregate principal amount of $750 million. 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issue the Notes in an initial aggregate principal amount of $750 million. The Notes will mature on November 1, 2024. The Notes will bear interest at the annual rate of 3.60%. Interest on the Notes will accrue from September 9, 2014 and will be payable semi-annually in arrears on May 1 and November 1 of each year, beginning May 1, 2015. We will make each interest payment to the holders of record at the close of business on the April 15 and October 15 preceding such interest payment dates. Interest will be computed on the basis of a 360-day year consisting of twelve 30-day months. We will issue the Notes in minimum denominations of $2,000 and integral multiples of $1,000 in excess thereof.</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51" w:lineRule="exact"/>
        <w:rPr>
          <w:sz w:val="20"/>
          <w:szCs w:val="20"/>
          <w:color w:val="auto"/>
        </w:rPr>
      </w:pPr>
    </w:p>
    <w:p>
      <w:pPr>
        <w:ind w:left="900" w:right="2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any sale or other disposition of all of our direct or indirect equity interests in that subsidiary guarantor to any person that is not our affiliate; or</w:t>
      </w:r>
    </w:p>
    <w:p>
      <w:pPr>
        <w:spacing w:after="0" w:line="113"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August 1, 2024 (three months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20 basis points, together with accrued and unpaid interest to the date of redemption.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redeem the Notes on or after August 1, 2024 (three months prior to their maturity date), the redemption price will equal 100% of the principal amount of the Notes to be redeemed plus accrued and unpaid interest to the redemption date.</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J.P. Morgan Securites LLC, Barclays Capital Inc., BNP Paribas Securities Corp. and Merrill Lynch, Pierce, Fenner &amp; Smith Incorporated, or their respective successors; provided, however, if any of the foregoing ceases to be a primary U.S. Government securities dealer in the United States (a “Primary Treasury Dealer”), we shall substitute another Primary Treasury Dealer.</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25"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41"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90" w:lineRule="exact"/>
        <w:rPr>
          <w:rFonts w:ascii="Arial" w:cs="Arial" w:eastAsia="Arial" w:hAnsi="Arial"/>
          <w:sz w:val="18"/>
          <w:szCs w:val="18"/>
          <w:color w:val="auto"/>
        </w:rPr>
      </w:pPr>
    </w:p>
    <w:p>
      <w:pPr>
        <w:ind w:left="1480" w:right="20" w:hanging="446"/>
        <w:spacing w:after="0" w:line="306"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25" w:lineRule="exact"/>
        <w:rPr>
          <w:rFonts w:ascii="Arial" w:cs="Arial" w:eastAsia="Arial" w:hAnsi="Arial"/>
          <w:sz w:val="16"/>
          <w:szCs w:val="16"/>
          <w:color w:val="auto"/>
        </w:rPr>
      </w:pPr>
    </w:p>
    <w:p>
      <w:pPr>
        <w:jc w:val="both"/>
        <w:ind w:left="1480" w:right="160" w:hanging="446"/>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113"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9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25" w:lineRule="exact"/>
        <w:rPr>
          <w:rFonts w:ascii="Arial" w:cs="Arial" w:eastAsia="Arial" w:hAnsi="Arial"/>
          <w:sz w:val="16"/>
          <w:szCs w:val="16"/>
          <w:color w:val="auto"/>
        </w:rPr>
      </w:pPr>
    </w:p>
    <w:p>
      <w:pPr>
        <w:ind w:left="900" w:right="18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90" w:lineRule="exact"/>
        <w:rPr>
          <w:sz w:val="20"/>
          <w:szCs w:val="20"/>
          <w:color w:val="auto"/>
        </w:rPr>
      </w:pPr>
    </w:p>
    <w:p>
      <w:pPr>
        <w:ind w:left="900" w:right="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9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90" w:lineRule="exact"/>
        <w:rPr>
          <w:sz w:val="20"/>
          <w:szCs w:val="20"/>
          <w:color w:val="auto"/>
        </w:rPr>
      </w:pPr>
    </w:p>
    <w:p>
      <w:pPr>
        <w:ind w:left="700" w:hanging="24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90" w:lineRule="exact"/>
        <w:rPr>
          <w:rFonts w:ascii="Arial" w:cs="Arial" w:eastAsia="Arial" w:hAnsi="Arial"/>
          <w:sz w:val="18"/>
          <w:szCs w:val="18"/>
          <w:color w:val="auto"/>
        </w:rPr>
      </w:pPr>
    </w:p>
    <w:p>
      <w:pPr>
        <w:ind w:left="240" w:right="140" w:firstLine="220"/>
        <w:spacing w:after="0" w:line="306" w:lineRule="auto"/>
        <w:tabs>
          <w:tab w:leader="none" w:pos="7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25" w:lineRule="exact"/>
        <w:rPr>
          <w:rFonts w:ascii="Arial" w:cs="Arial" w:eastAsia="Arial" w:hAnsi="Arial"/>
          <w:sz w:val="16"/>
          <w:szCs w:val="16"/>
          <w:color w:val="auto"/>
        </w:rPr>
      </w:pPr>
    </w:p>
    <w:p>
      <w:pPr>
        <w:ind w:left="240" w:right="400" w:firstLine="220"/>
        <w:spacing w:after="0" w:line="268"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50" w:lineRule="exact"/>
        <w:rPr>
          <w:rFonts w:ascii="Arial" w:cs="Arial" w:eastAsia="Arial" w:hAnsi="Arial"/>
          <w:sz w:val="18"/>
          <w:szCs w:val="18"/>
          <w:color w:val="auto"/>
        </w:rPr>
      </w:pPr>
    </w:p>
    <w:p>
      <w:pPr>
        <w:ind w:left="240" w:right="20" w:firstLine="220"/>
        <w:spacing w:after="0" w:line="268"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50"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90" w:lineRule="exact"/>
        <w:rPr>
          <w:rFonts w:ascii="Arial" w:cs="Arial" w:eastAsia="Arial" w:hAnsi="Arial"/>
          <w:sz w:val="18"/>
          <w:szCs w:val="18"/>
          <w:color w:val="auto"/>
        </w:rPr>
      </w:pPr>
    </w:p>
    <w:p>
      <w:pPr>
        <w:ind w:left="240" w:right="400" w:firstLine="220"/>
        <w:spacing w:after="0" w:line="268"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50" w:lineRule="exact"/>
        <w:rPr>
          <w:rFonts w:ascii="Arial" w:cs="Arial" w:eastAsia="Arial" w:hAnsi="Arial"/>
          <w:sz w:val="18"/>
          <w:szCs w:val="18"/>
          <w:color w:val="auto"/>
        </w:rPr>
      </w:pPr>
    </w:p>
    <w:p>
      <w:pPr>
        <w:ind w:left="240" w:right="120" w:firstLine="220"/>
        <w:spacing w:after="0" w:line="268"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50" w:lineRule="exact"/>
        <w:rPr>
          <w:rFonts w:ascii="Arial" w:cs="Arial" w:eastAsia="Arial" w:hAnsi="Arial"/>
          <w:sz w:val="18"/>
          <w:szCs w:val="18"/>
          <w:color w:val="auto"/>
        </w:rPr>
      </w:pPr>
    </w:p>
    <w:p>
      <w:pPr>
        <w:ind w:left="240" w:right="160" w:firstLine="220"/>
        <w:spacing w:after="0" w:line="332" w:lineRule="auto"/>
        <w:tabs>
          <w:tab w:leader="none" w:pos="7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4" w:lineRule="exact"/>
        <w:rPr>
          <w:rFonts w:ascii="Arial" w:cs="Arial" w:eastAsia="Arial" w:hAnsi="Arial"/>
          <w:sz w:val="16"/>
          <w:szCs w:val="16"/>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90" w:lineRule="exact"/>
        <w:rPr>
          <w:rFonts w:ascii="Arial" w:cs="Arial" w:eastAsia="Arial" w:hAnsi="Arial"/>
          <w:sz w:val="18"/>
          <w:szCs w:val="18"/>
          <w:color w:val="auto"/>
        </w:rPr>
      </w:pPr>
    </w:p>
    <w:p>
      <w:pPr>
        <w:ind w:left="240" w:right="100" w:firstLine="220"/>
        <w:spacing w:after="0" w:line="25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62" w:lineRule="exact"/>
        <w:rPr>
          <w:rFonts w:ascii="Arial" w:cs="Arial" w:eastAsia="Arial" w:hAnsi="Arial"/>
          <w:sz w:val="18"/>
          <w:szCs w:val="18"/>
          <w:color w:val="auto"/>
        </w:rPr>
      </w:pPr>
    </w:p>
    <w:p>
      <w:pPr>
        <w:ind w:left="780" w:hanging="320"/>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90" w:lineRule="exact"/>
        <w:rPr>
          <w:rFonts w:ascii="Arial" w:cs="Arial" w:eastAsia="Arial" w:hAnsi="Arial"/>
          <w:sz w:val="18"/>
          <w:szCs w:val="18"/>
          <w:color w:val="auto"/>
        </w:rPr>
      </w:pPr>
    </w:p>
    <w:p>
      <w:pPr>
        <w:ind w:left="240" w:firstLine="220"/>
        <w:spacing w:after="0" w:line="25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63" w:lineRule="exact"/>
        <w:rPr>
          <w:rFonts w:ascii="Arial" w:cs="Arial" w:eastAsia="Arial" w:hAnsi="Arial"/>
          <w:sz w:val="18"/>
          <w:szCs w:val="18"/>
          <w:color w:val="auto"/>
        </w:rPr>
      </w:pPr>
    </w:p>
    <w:p>
      <w:pPr>
        <w:ind w:left="240" w:right="20" w:firstLine="220"/>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50" w:lineRule="exact"/>
        <w:rPr>
          <w:rFonts w:ascii="Arial" w:cs="Arial" w:eastAsia="Arial" w:hAnsi="Arial"/>
          <w:sz w:val="18"/>
          <w:szCs w:val="18"/>
          <w:color w:val="auto"/>
        </w:rPr>
      </w:pPr>
    </w:p>
    <w:p>
      <w:pPr>
        <w:ind w:left="800" w:hanging="34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firstLine="220"/>
        <w:spacing w:after="0" w:line="298"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31" w:lineRule="exact"/>
        <w:rPr>
          <w:rFonts w:ascii="Arial" w:cs="Arial" w:eastAsia="Arial" w:hAnsi="Arial"/>
          <w:sz w:val="16"/>
          <w:szCs w:val="16"/>
          <w:color w:val="auto"/>
        </w:rPr>
      </w:pPr>
    </w:p>
    <w:p>
      <w:pPr>
        <w:ind w:left="240" w:right="120" w:firstLine="220"/>
        <w:spacing w:after="0" w:line="25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62" w:lineRule="exact"/>
        <w:rPr>
          <w:rFonts w:ascii="Arial" w:cs="Arial" w:eastAsia="Arial" w:hAnsi="Arial"/>
          <w:sz w:val="18"/>
          <w:szCs w:val="18"/>
          <w:color w:val="auto"/>
        </w:rPr>
      </w:pPr>
    </w:p>
    <w:p>
      <w:pPr>
        <w:jc w:val="both"/>
        <w:ind w:left="240" w:right="220" w:firstLine="220"/>
        <w:spacing w:after="0" w:line="298"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31" w:lineRule="exact"/>
        <w:rPr>
          <w:rFonts w:ascii="Arial" w:cs="Arial" w:eastAsia="Arial" w:hAnsi="Arial"/>
          <w:sz w:val="16"/>
          <w:szCs w:val="16"/>
          <w:color w:val="auto"/>
        </w:rPr>
      </w:pPr>
    </w:p>
    <w:p>
      <w:pPr>
        <w:ind w:left="240" w:right="80" w:firstLine="220"/>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90" w:lineRule="exact"/>
        <w:rPr>
          <w:sz w:val="20"/>
          <w:szCs w:val="20"/>
          <w:color w:val="auto"/>
        </w:rPr>
      </w:pPr>
    </w:p>
    <w:p>
      <w:pPr>
        <w:ind w:left="240" w:firstLine="220"/>
        <w:spacing w:after="0" w:line="259" w:lineRule="auto"/>
        <w:tabs>
          <w:tab w:leader="none" w:pos="7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59" w:lineRule="exact"/>
        <w:rPr>
          <w:rFonts w:ascii="Arial" w:cs="Arial" w:eastAsia="Arial" w:hAnsi="Arial"/>
          <w:sz w:val="18"/>
          <w:szCs w:val="18"/>
          <w:color w:val="auto"/>
        </w:rPr>
      </w:pPr>
    </w:p>
    <w:p>
      <w:pPr>
        <w:ind w:left="240" w:right="60" w:firstLine="220"/>
        <w:spacing w:after="0" w:line="255" w:lineRule="auto"/>
        <w:tabs>
          <w:tab w:leader="none" w:pos="7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0" w:lineRule="exact"/>
        <w:rPr>
          <w:sz w:val="20"/>
          <w:szCs w:val="20"/>
          <w:color w:val="auto"/>
        </w:rPr>
      </w:pPr>
    </w:p>
    <w:p>
      <w:pPr>
        <w:ind w:left="240" w:right="60" w:firstLine="220"/>
        <w:spacing w:after="0" w:line="306" w:lineRule="auto"/>
        <w:tabs>
          <w:tab w:leader="none" w:pos="7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firstLine="220"/>
        <w:spacing w:after="0" w:line="332" w:lineRule="auto"/>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 ENTRY, DELIVERY AND FORM</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6"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38"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14"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2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properly certifies as to his foreign status as described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51" w:lineRule="exact"/>
        <w:rPr>
          <w:sz w:val="20"/>
          <w:szCs w:val="20"/>
          <w:color w:val="auto"/>
        </w:rPr>
      </w:pPr>
    </w:p>
    <w:p>
      <w:pPr>
        <w:ind w:left="90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IRS Form W-8BEN-E (or applicable successor form) claiming exemption under an applicable income tax treaty) to the applicable withholding agent.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24"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(pursuant to the provisions of the “Foreign Account Tax Compliance Act” or “FATCA”) impose a 30% withholding tax on any U.S.-source interest paid on debt obligations issued on or after July 1, 2014, such as the Notes, and on the gross proceeds from a disposition of such obligations occurring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w:t>
      </w:r>
    </w:p>
    <w:p>
      <w:pPr>
        <w:ind w:right="80"/>
        <w:spacing w:after="0" w:line="253" w:lineRule="auto"/>
        <w:rPr>
          <w:sz w:val="20"/>
          <w:szCs w:val="20"/>
          <w:color w:val="auto"/>
        </w:rPr>
      </w:pPr>
      <w:r>
        <w:rPr>
          <w:rFonts w:ascii="Arial" w:cs="Arial" w:eastAsia="Arial" w:hAnsi="Arial"/>
          <w:sz w:val="18"/>
          <w:szCs w:val="18"/>
          <w:color w:val="auto"/>
        </w:rPr>
        <w:t>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or (iii) the foreign financial institution or non-financial foreign entity otherwise qualifies for an exemption from these rules. Foreign financial institutions located in jurisdictions that have an intergovernmental agreement with the United States with respect to these rules may be subject to different rules. Under certain circumstances, a beneficial owner of the Notes might be eligible for refunds or credits of such taxes.</w:t>
      </w:r>
    </w:p>
    <w:p>
      <w:pPr>
        <w:spacing w:after="0" w:line="14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rules under FATCA are new and complex. You are encouraged to consult with your own tax advisor regarding the implications of FATCA on your investment in the Notes.</w:t>
      </w:r>
    </w:p>
    <w:p>
      <w:pPr>
        <w:spacing w:after="0" w:line="13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Subject to the terms and conditions set forth in an underwriting agreement, dated the date of this prospectus supplement, between us and the underwriters named below, we have agreed to sell to each of the underwriters, for whom J.P. Morgan Securities LLC, Barclays Capital Inc., BNP Paribas Securities Corp. and Merrill Lynch, Pierce, Fenner &amp; Smith Incorporated are acting as representatives, and the underwriters have agreed, severally and not jointly, to purchase the principal amount of the Notes set forth opposite their respective names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1"/>
        </w:trPr>
        <w:tc>
          <w:tcPr>
            <w:tcW w:w="10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9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60" w:type="dxa"/>
            <w:vAlign w:val="bottom"/>
            <w:gridSpan w:val="2"/>
          </w:tcPr>
          <w:p>
            <w:pPr>
              <w:ind w:left="1140"/>
              <w:spacing w:after="0"/>
              <w:rPr>
                <w:sz w:val="20"/>
                <w:szCs w:val="20"/>
                <w:color w:val="auto"/>
              </w:rPr>
            </w:pPr>
            <w:r>
              <w:rPr>
                <w:rFonts w:ascii="Arial" w:cs="Arial" w:eastAsia="Arial" w:hAnsi="Arial"/>
                <w:sz w:val="18"/>
                <w:szCs w:val="18"/>
                <w:color w:val="auto"/>
              </w:rPr>
              <w:t>Incorporated</w:t>
            </w: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CIBC World Markets Corp.</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750,000,000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0.40% of the principal amount of the Notes. The underwriters may allow a discount not in excess of 0.25% of the principal amount of the Notes, on sales to certain other brokers and dealers. After this initial public offering, the public offering price, concession and discount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Underwriting</w:t>
            </w:r>
          </w:p>
        </w:tc>
        <w:tc>
          <w:tcPr>
            <w:tcW w:w="0" w:type="dxa"/>
            <w:vAlign w:val="bottom"/>
          </w:tcPr>
          <w:p>
            <w:pPr>
              <w:spacing w:after="0"/>
              <w:rPr>
                <w:sz w:val="1"/>
                <w:szCs w:val="1"/>
                <w:color w:val="auto"/>
              </w:rPr>
            </w:pPr>
          </w:p>
        </w:tc>
      </w:tr>
      <w:tr>
        <w:trPr>
          <w:trHeight w:val="161"/>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Discount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4,875,000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$1.2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September 9, 2014,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2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900" w:right="10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4"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Affiliates of certain of the underwriters are dealers under our commercial paper program and may hold commercial paper notes thereunder. Accordingly, they may receive a portion of the net proceeds from this offering.</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4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63"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2014 and June 30, 2014; and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18, 2014 (documentation related to debt offering), April 29, 2014 (documentation related to debt offering) and August 22, 2014 (continuous equity offering program).</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546100</wp:posOffset>
            </wp:positionV>
            <wp:extent cx="169799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60"/>
        <w:spacing w:after="0"/>
        <w:rPr>
          <w:sz w:val="20"/>
          <w:szCs w:val="20"/>
          <w:color w:val="auto"/>
        </w:rPr>
      </w:pPr>
      <w:r>
        <w:rPr>
          <w:rFonts w:ascii="Arial" w:cs="Arial" w:eastAsia="Arial" w:hAnsi="Arial"/>
          <w:sz w:val="29"/>
          <w:szCs w:val="29"/>
          <w:b w:val="1"/>
          <w:bCs w:val="1"/>
          <w:color w:val="auto"/>
        </w:rPr>
        <w:t>$750,000,000 3.60%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389255</wp:posOffset>
            </wp:positionV>
            <wp:extent cx="6604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September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194945</wp:posOffset>
            </wp:positionV>
            <wp:extent cx="660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Joint Book-Running Managers</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Barclays</w:t>
      </w:r>
    </w:p>
    <w:p>
      <w:pPr>
        <w:jc w:val="center"/>
        <w:ind w:right="-1200"/>
        <w:spacing w:after="0" w:line="237" w:lineRule="auto"/>
        <w:rPr>
          <w:sz w:val="20"/>
          <w:szCs w:val="20"/>
          <w:color w:val="auto"/>
        </w:rPr>
      </w:pPr>
      <w:r>
        <w:rPr>
          <w:rFonts w:ascii="Arial" w:cs="Arial" w:eastAsia="Arial" w:hAnsi="Arial"/>
          <w:sz w:val="32"/>
          <w:szCs w:val="32"/>
          <w:b w:val="1"/>
          <w:bCs w:val="1"/>
          <w:color w:val="auto"/>
        </w:rPr>
        <w:t>BNP PARIBAS</w:t>
      </w:r>
    </w:p>
    <w:p>
      <w:pPr>
        <w:jc w:val="center"/>
        <w:ind w:right="-1200"/>
        <w:spacing w:after="0" w:line="238" w:lineRule="auto"/>
        <w:rPr>
          <w:sz w:val="20"/>
          <w:szCs w:val="20"/>
          <w:color w:val="auto"/>
        </w:rPr>
      </w:pPr>
      <w:r>
        <w:rPr>
          <w:rFonts w:ascii="Arial" w:cs="Arial" w:eastAsia="Arial" w:hAnsi="Arial"/>
          <w:sz w:val="32"/>
          <w:szCs w:val="32"/>
          <w:b w:val="1"/>
          <w:bCs w:val="1"/>
          <w:color w:val="auto"/>
        </w:rPr>
        <w:t>BofA Merrill Lynch</w:t>
      </w:r>
    </w:p>
    <w:p>
      <w:pPr>
        <w:jc w:val="center"/>
        <w:ind w:right="-1200"/>
        <w:spacing w:after="0" w:line="238" w:lineRule="auto"/>
        <w:rPr>
          <w:sz w:val="20"/>
          <w:szCs w:val="20"/>
          <w:color w:val="auto"/>
        </w:rPr>
      </w:pPr>
      <w:r>
        <w:rPr>
          <w:rFonts w:ascii="Arial" w:cs="Arial" w:eastAsia="Arial" w:hAnsi="Arial"/>
          <w:sz w:val="32"/>
          <w:szCs w:val="32"/>
          <w:b w:val="1"/>
          <w:bCs w:val="1"/>
          <w:color w:val="auto"/>
        </w:rPr>
        <w:t>DNB Markets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Mizuho Securities</w:t>
      </w:r>
    </w:p>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Co-Managers</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BBVA</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SMBC Nikko</w:t>
      </w:r>
    </w:p>
    <w:p>
      <w:pPr>
        <w:jc w:val="center"/>
        <w:ind w:right="-1200"/>
        <w:spacing w:after="0" w:line="237" w:lineRule="auto"/>
        <w:rPr>
          <w:sz w:val="20"/>
          <w:szCs w:val="20"/>
          <w:color w:val="auto"/>
        </w:rPr>
      </w:pPr>
      <w:r>
        <w:rPr>
          <w:rFonts w:ascii="Arial" w:cs="Arial" w:eastAsia="Arial" w:hAnsi="Arial"/>
          <w:sz w:val="32"/>
          <w:szCs w:val="32"/>
          <w:b w:val="1"/>
          <w:bCs w:val="1"/>
          <w:color w:val="auto"/>
        </w:rPr>
        <w:t>BMO Capital Markets</w:t>
      </w:r>
    </w:p>
    <w:p>
      <w:pPr>
        <w:jc w:val="center"/>
        <w:ind w:right="-1200"/>
        <w:spacing w:after="0" w:line="238" w:lineRule="auto"/>
        <w:rPr>
          <w:sz w:val="20"/>
          <w:szCs w:val="20"/>
          <w:color w:val="auto"/>
        </w:rPr>
      </w:pPr>
      <w:r>
        <w:rPr>
          <w:rFonts w:ascii="Arial" w:cs="Arial" w:eastAsia="Arial" w:hAnsi="Arial"/>
          <w:sz w:val="32"/>
          <w:szCs w:val="32"/>
          <w:b w:val="1"/>
          <w:bCs w:val="1"/>
          <w:color w:val="auto"/>
        </w:rPr>
        <w:t>CIBC</w:t>
      </w:r>
    </w:p>
    <w:p>
      <w:pPr>
        <w:jc w:val="center"/>
        <w:ind w:right="-1200"/>
        <w:spacing w:after="0" w:line="238" w:lineRule="auto"/>
        <w:rPr>
          <w:sz w:val="20"/>
          <w:szCs w:val="20"/>
          <w:color w:val="auto"/>
        </w:rPr>
      </w:pPr>
      <w:r>
        <w:rPr>
          <w:rFonts w:ascii="Arial" w:cs="Arial" w:eastAsia="Arial" w:hAnsi="Arial"/>
          <w:sz w:val="32"/>
          <w:szCs w:val="32"/>
          <w:b w:val="1"/>
          <w:bCs w:val="1"/>
          <w:color w:val="auto"/>
        </w:rPr>
        <w:t>Fifth Third Securities</w:t>
      </w:r>
    </w:p>
    <w:p>
      <w:pPr>
        <w:jc w:val="center"/>
        <w:ind w:right="-1200"/>
        <w:spacing w:after="0" w:line="238" w:lineRule="auto"/>
        <w:rPr>
          <w:sz w:val="20"/>
          <w:szCs w:val="20"/>
          <w:color w:val="auto"/>
        </w:rPr>
      </w:pPr>
      <w:r>
        <w:rPr>
          <w:rFonts w:ascii="Arial" w:cs="Arial" w:eastAsia="Arial" w:hAnsi="Arial"/>
          <w:sz w:val="32"/>
          <w:szCs w:val="32"/>
          <w:b w:val="1"/>
          <w:bCs w:val="1"/>
          <w:color w:val="auto"/>
        </w:rPr>
        <w:t>ING</w:t>
      </w:r>
    </w:p>
    <w:p>
      <w:pPr>
        <w:jc w:val="center"/>
        <w:ind w:right="-1200"/>
        <w:spacing w:after="0" w:line="238" w:lineRule="auto"/>
        <w:rPr>
          <w:sz w:val="20"/>
          <w:szCs w:val="20"/>
          <w:color w:val="auto"/>
        </w:rPr>
      </w:pPr>
      <w:r>
        <w:rPr>
          <w:rFonts w:ascii="Arial" w:cs="Arial" w:eastAsia="Arial" w:hAnsi="Arial"/>
          <w:sz w:val="32"/>
          <w:szCs w:val="32"/>
          <w:b w:val="1"/>
          <w:bCs w:val="1"/>
          <w:color w:val="auto"/>
        </w:rPr>
        <w:t>Regions Securities LLC</w:t>
      </w:r>
    </w:p>
    <w:p>
      <w:pPr>
        <w:jc w:val="center"/>
        <w:ind w:right="-1200"/>
        <w:spacing w:after="0" w:line="237" w:lineRule="auto"/>
        <w:rPr>
          <w:sz w:val="20"/>
          <w:szCs w:val="20"/>
          <w:color w:val="auto"/>
        </w:rPr>
      </w:pPr>
      <w:r>
        <w:rPr>
          <w:rFonts w:ascii="Arial" w:cs="Arial" w:eastAsia="Arial" w:hAnsi="Arial"/>
          <w:sz w:val="32"/>
          <w:szCs w:val="32"/>
          <w:b w:val="1"/>
          <w:bCs w:val="1"/>
          <w:color w:val="auto"/>
        </w:rPr>
        <w:t>SOCIETE GENERALE</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lvl w:ilvl="1">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lvl w:ilvl="1">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lvl w:ilvl="1">
      <w:lvlJc w:val="left"/>
      <w:lvlText w:val="(%2)"/>
      <w:numFmt w:val="lowerLetter"/>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5"/>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2"/>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lowerLetter"/>
      <w:start w:val="1"/>
    </w:lvl>
    <w:lvl w:ilvl="1">
      <w:lvlJc w:val="left"/>
      <w:lvlText w:val="(%2)"/>
      <w:numFmt w:val="decimal"/>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1)"/>
      <w:numFmt w:val="decimal"/>
      <w:start w:val="2"/>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lowerRoman"/>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1"/>
    </w:lvl>
    <w:lvl w:ilvl="1">
      <w:lvlJc w:val="left"/>
      <w:lvlText w:val="(%2)"/>
      <w:numFmt w:val="lowerLetter"/>
      <w:start w:val="1"/>
    </w:lvl>
  </w:abstractNum>
  <w:abstractNum w:abstractNumId="73">
    <w:nsid w:val="613EFDC5"/>
    <w:multiLevelType w:val="hybridMultilevel"/>
    <w:lvl w:ilvl="0">
      <w:lvlJc w:val="left"/>
      <w:lvlText w:val="%1"/>
      <w:numFmt w:val="decimal"/>
      <w:start w:val="1"/>
    </w:lvl>
    <w:lvl w:ilvl="1">
      <w:lvlJc w:val="left"/>
      <w:lvlText w:val="(%2)"/>
      <w:numFmt w:val="lowerLetter"/>
      <w:start w:val="3"/>
    </w:lvl>
  </w:abstractNum>
  <w:abstractNum w:abstractNumId="74">
    <w:nsid w:val="BF72B14"/>
    <w:multiLevelType w:val="hybridMultilevel"/>
    <w:lvl w:ilvl="0">
      <w:lvlJc w:val="left"/>
      <w:lvlText w:val="(%1)"/>
      <w:numFmt w:val="decimal"/>
      <w:start w:val="3"/>
    </w:lvl>
    <w:lvl w:ilvl="1">
      <w:lvlJc w:val="left"/>
      <w:lvlText w:val="%2"/>
      <w:numFmt w:val="lowerLetter"/>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2020-01-28T15:01:54Z</dcterms:created>
  <dcterms:modified xsi:type="dcterms:W3CDTF">2020-01-28T15:01:54Z</dcterms:modified>
</cp:coreProperties>
</file>