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31, 2006</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585" w:right="279" w:bottom="0" w:gutter="0" w:footer="0" w:header="0"/>
        </w:sectPr>
      </w:pPr>
    </w:p>
    <w:p>
      <w:pPr>
        <w:spacing w:after="0" w:line="205"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80" w:space="720"/>
            <w:col w:w="2960" w:space="720"/>
            <w:col w:w="3000"/>
          </w:cols>
          <w:pgMar w:left="240" w:top="585" w:right="279" w:bottom="0" w:gutter="0" w:footer="0" w:header="0"/>
          <w:type w:val="continuous"/>
        </w:sectPr>
      </w:pPr>
    </w:p>
    <w:p>
      <w:pPr>
        <w:ind w:left="128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380"/>
          </w:cols>
          <w:pgMar w:left="240" w:top="585" w:right="279" w:bottom="0"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right="4620" w:firstLine="8"/>
        <w:spacing w:after="0" w:line="563" w:lineRule="auto"/>
        <w:tabs>
          <w:tab w:leader="none" w:pos="225"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 o Soliciting material pursuant to Rule 14a-12 under the Exchange Act (17 CFR 240.14a-12)</w:t>
      </w:r>
    </w:p>
    <w:p>
      <w:pPr>
        <w:spacing w:after="0" w:line="1" w:lineRule="exact"/>
        <w:rPr>
          <w:rFonts w:ascii="Arial" w:cs="Arial" w:eastAsia="Arial" w:hAnsi="Arial"/>
          <w:sz w:val="16"/>
          <w:szCs w:val="16"/>
          <w:color w:val="auto"/>
        </w:rPr>
      </w:pPr>
    </w:p>
    <w:p>
      <w:pPr>
        <w:jc w:val="both"/>
        <w:ind w:right="3020"/>
        <w:spacing w:after="0" w:line="624" w:lineRule="auto"/>
        <w:rPr>
          <w:rFonts w:ascii="Arial" w:cs="Arial" w:eastAsia="Arial" w:hAnsi="Arial"/>
          <w:sz w:val="16"/>
          <w:szCs w:val="16"/>
          <w:color w:val="auto"/>
        </w:rPr>
      </w:pPr>
      <w:r>
        <w:rPr>
          <w:rFonts w:ascii="Arial" w:cs="Arial" w:eastAsia="Arial" w:hAnsi="Arial"/>
          <w:sz w:val="16"/>
          <w:szCs w:val="16"/>
          <w:color w:val="auto"/>
        </w:rPr>
        <w:t>o Pre-commencement communications pursuant to Rule 14d-2(b) under the Exchange Act (17 CFR 240.14d-2(b)) 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222885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Second Amended and Restated Credit Agreement</w:t>
      </w:r>
    </w:p>
    <w:p>
      <w:pPr>
        <w:spacing w:after="0" w:line="229" w:lineRule="exact"/>
        <w:rPr>
          <w:sz w:val="24"/>
          <w:szCs w:val="24"/>
          <w:color w:val="auto"/>
        </w:rPr>
      </w:pPr>
    </w:p>
    <w:p>
      <w:pPr>
        <w:ind w:right="140" w:firstLine="648"/>
        <w:spacing w:after="0" w:line="291" w:lineRule="auto"/>
        <w:rPr>
          <w:sz w:val="20"/>
          <w:szCs w:val="20"/>
          <w:color w:val="auto"/>
        </w:rPr>
      </w:pPr>
      <w:r>
        <w:rPr>
          <w:rFonts w:ascii="Arial" w:cs="Arial" w:eastAsia="Arial" w:hAnsi="Arial"/>
          <w:sz w:val="16"/>
          <w:szCs w:val="16"/>
          <w:color w:val="auto"/>
        </w:rPr>
        <w:t>On July 31, 2006, Plains All American Pipeline, L.P. (the “Partnership”) entered into a Second Amended and Restated Credit Agreement (the “Restated Credit Agreement”), among the Partnership, as US Borrower; PMC (Nova Scotia) Company and Plains Marketing Canada, L.P., as Canadian Borrowers; Bank of America, N.A., as Administrative Agent and, acting through its Canada Branch, as Canadian Administrative Agent; Wachovia Bank, National Association and JPMorgan Chase Bank, N.A., as Co-Syndication Agents; Fortis Capital Corp., Citibank, N.A., BNP Paribas, UBS Securities LLC, SunTrust Bank, and The Bank of Nova Scotia as Co-Documentation Agents; the Lenders party thereto; and Banc of America Securities LLC and Wachovia Capital Markets, LLC as Joint Lead Arrangers and Joint Book Managers (terms used but not defined herein have the meanings assigned to them in the Restated Credit Agreement). The Restated Credit Agreement amended and restated the Partnership’s existing senior unsecured credit facility.</w:t>
      </w:r>
    </w:p>
    <w:p>
      <w:pPr>
        <w:spacing w:after="0" w:line="167" w:lineRule="exact"/>
        <w:rPr>
          <w:sz w:val="24"/>
          <w:szCs w:val="24"/>
          <w:color w:val="auto"/>
        </w:rPr>
      </w:pPr>
    </w:p>
    <w:p>
      <w:pPr>
        <w:ind w:firstLine="648"/>
        <w:spacing w:after="0" w:line="255" w:lineRule="auto"/>
        <w:rPr>
          <w:sz w:val="20"/>
          <w:szCs w:val="20"/>
          <w:color w:val="auto"/>
        </w:rPr>
      </w:pPr>
      <w:r>
        <w:rPr>
          <w:rFonts w:ascii="Arial" w:cs="Arial" w:eastAsia="Arial" w:hAnsi="Arial"/>
          <w:sz w:val="18"/>
          <w:szCs w:val="18"/>
          <w:color w:val="auto"/>
        </w:rPr>
        <w:t>The Restated Credit Agreement increased the committed borrowing capacity on the Partnership’s principal revolving credit facility (the “Credit Facility”) from $1.0 billion to $1.6 billion. The Credit Facility includes a sub-facility for Canadian borrowings (the “Canadian Sub-Facility”), that was increased from $400 million to $600 million. The Restated Credit Agreement also increased the aggregate capacity of the Credit Facility to $2.0 billion at the option of the Partnership, subject to obtaining additional commitments from lenders. Further, the Restated Credit Agreement provides for the issuances of Letters of Credit for the account of the respective borrowers. The Restated Credit Agreement extends the maturity date of the Credit Facility and the Canadian Sub-Facility to July 2011. Loans to the Partnership under the Credit Facility are guaranteed by the Partnership’s significant subsidiaries. The Partnership guarantees any loans under the Canadian Sub-Facility.</w:t>
      </w:r>
    </w:p>
    <w:p>
      <w:pPr>
        <w:spacing w:after="0" w:line="189" w:lineRule="exact"/>
        <w:rPr>
          <w:sz w:val="24"/>
          <w:szCs w:val="24"/>
          <w:color w:val="auto"/>
        </w:rPr>
      </w:pPr>
    </w:p>
    <w:p>
      <w:pPr>
        <w:ind w:right="20" w:firstLine="648"/>
        <w:spacing w:after="0" w:line="259" w:lineRule="auto"/>
        <w:rPr>
          <w:sz w:val="20"/>
          <w:szCs w:val="20"/>
          <w:color w:val="auto"/>
        </w:rPr>
      </w:pPr>
      <w:r>
        <w:rPr>
          <w:rFonts w:ascii="Arial" w:cs="Arial" w:eastAsia="Arial" w:hAnsi="Arial"/>
          <w:sz w:val="18"/>
          <w:szCs w:val="18"/>
          <w:color w:val="auto"/>
        </w:rPr>
        <w:t>Substantially all of the covenants (including financial covenants) and events of default remain unchanged in the Restated Credit Agreement. The Restated Credit Agreement contains cross default provisions and prohibits distributions on, or purchases or redemptions of, the Partnership’s common units if any Default or Event of Default is continuing. In addition, the Restated Credit Agreement contains various covenants limiting the Partnership’s and its subsidiaries’ ability to, among other things:</w:t>
      </w:r>
    </w:p>
    <w:p>
      <w:pPr>
        <w:spacing w:after="0" w:line="191" w:lineRule="exact"/>
        <w:rPr>
          <w:sz w:val="24"/>
          <w:szCs w:val="24"/>
          <w:color w:val="auto"/>
        </w:rPr>
      </w:pPr>
    </w:p>
    <w:p>
      <w:pPr>
        <w:ind w:left="1000" w:hanging="344"/>
        <w:spacing w:after="0"/>
        <w:tabs>
          <w:tab w:leader="none" w:pos="1000" w:val="left"/>
        </w:tabs>
        <w:numPr>
          <w:ilvl w:val="0"/>
          <w:numId w:val="2"/>
        </w:numPr>
        <w:rPr>
          <w:rFonts w:ascii="Arial" w:cs="Arial" w:eastAsia="Arial" w:hAnsi="Arial"/>
          <w:sz w:val="22"/>
          <w:szCs w:val="22"/>
          <w:color w:val="auto"/>
        </w:rPr>
      </w:pPr>
      <w:r>
        <w:rPr>
          <w:rFonts w:ascii="Arial" w:cs="Arial" w:eastAsia="Arial" w:hAnsi="Arial"/>
          <w:sz w:val="18"/>
          <w:szCs w:val="18"/>
          <w:color w:val="auto"/>
        </w:rPr>
        <w:t>incur indebtedness, including capital leases;</w:t>
      </w:r>
    </w:p>
    <w:p>
      <w:pPr>
        <w:spacing w:after="0" w:line="206" w:lineRule="exact"/>
        <w:rPr>
          <w:rFonts w:ascii="Arial" w:cs="Arial" w:eastAsia="Arial" w:hAnsi="Arial"/>
          <w:sz w:val="22"/>
          <w:szCs w:val="22"/>
          <w:color w:val="auto"/>
        </w:rPr>
      </w:pPr>
    </w:p>
    <w:p>
      <w:pPr>
        <w:ind w:left="1000" w:hanging="344"/>
        <w:spacing w:after="0"/>
        <w:tabs>
          <w:tab w:leader="none" w:pos="1000" w:val="left"/>
        </w:tabs>
        <w:numPr>
          <w:ilvl w:val="0"/>
          <w:numId w:val="2"/>
        </w:numPr>
        <w:rPr>
          <w:rFonts w:ascii="Arial" w:cs="Arial" w:eastAsia="Arial" w:hAnsi="Arial"/>
          <w:sz w:val="22"/>
          <w:szCs w:val="22"/>
          <w:color w:val="auto"/>
        </w:rPr>
      </w:pPr>
      <w:r>
        <w:rPr>
          <w:rFonts w:ascii="Arial" w:cs="Arial" w:eastAsia="Arial" w:hAnsi="Arial"/>
          <w:sz w:val="18"/>
          <w:szCs w:val="18"/>
          <w:color w:val="auto"/>
        </w:rPr>
        <w:t>grant liens;</w:t>
      </w:r>
    </w:p>
    <w:p>
      <w:pPr>
        <w:sectPr>
          <w:pgSz w:w="11900" w:h="16838" w:orient="portrait"/>
          <w:cols w:equalWidth="0" w:num="1">
            <w:col w:w="11380"/>
          </w:cols>
          <w:pgMar w:left="240" w:top="585" w:right="279" w:bottom="0" w:gutter="0" w:footer="0" w:header="0"/>
          <w:type w:val="continuous"/>
        </w:sectPr>
      </w:pPr>
    </w:p>
    <w:bookmarkStart w:id="1" w:name="page2"/>
    <w:bookmarkEnd w:id="1"/>
    <w:p>
      <w:pPr>
        <w:ind w:left="1000" w:hanging="344"/>
        <w:spacing w:after="0"/>
        <w:tabs>
          <w:tab w:leader="none" w:pos="1000" w:val="left"/>
        </w:tabs>
        <w:numPr>
          <w:ilvl w:val="0"/>
          <w:numId w:val="3"/>
        </w:numPr>
        <w:rPr>
          <w:rFonts w:ascii="Arial" w:cs="Arial" w:eastAsia="Arial" w:hAnsi="Arial"/>
          <w:sz w:val="22"/>
          <w:szCs w:val="22"/>
          <w:color w:val="auto"/>
        </w:rPr>
      </w:pPr>
      <w:r>
        <w:rPr>
          <w:rFonts w:ascii="Arial" w:cs="Arial" w:eastAsia="Arial" w:hAnsi="Arial"/>
          <w:sz w:val="18"/>
          <w:szCs w:val="18"/>
          <w:color w:val="auto"/>
        </w:rPr>
        <w:t>engage in transactions with affiliates;</w:t>
      </w:r>
    </w:p>
    <w:p>
      <w:pPr>
        <w:spacing w:after="0" w:line="206" w:lineRule="exact"/>
        <w:rPr>
          <w:rFonts w:ascii="Arial" w:cs="Arial" w:eastAsia="Arial" w:hAnsi="Arial"/>
          <w:sz w:val="22"/>
          <w:szCs w:val="22"/>
          <w:color w:val="auto"/>
        </w:rPr>
      </w:pPr>
    </w:p>
    <w:p>
      <w:pPr>
        <w:ind w:left="1000" w:hanging="344"/>
        <w:spacing w:after="0"/>
        <w:tabs>
          <w:tab w:leader="none" w:pos="1000" w:val="left"/>
        </w:tabs>
        <w:numPr>
          <w:ilvl w:val="0"/>
          <w:numId w:val="3"/>
        </w:numPr>
        <w:rPr>
          <w:rFonts w:ascii="Arial" w:cs="Arial" w:eastAsia="Arial" w:hAnsi="Arial"/>
          <w:sz w:val="22"/>
          <w:szCs w:val="22"/>
          <w:color w:val="auto"/>
        </w:rPr>
      </w:pPr>
      <w:r>
        <w:rPr>
          <w:rFonts w:ascii="Arial" w:cs="Arial" w:eastAsia="Arial" w:hAnsi="Arial"/>
          <w:sz w:val="18"/>
          <w:szCs w:val="18"/>
          <w:color w:val="auto"/>
        </w:rPr>
        <w:t>engage in substantially unrelated businesses; and</w:t>
      </w:r>
    </w:p>
    <w:p>
      <w:pPr>
        <w:spacing w:after="0" w:line="206" w:lineRule="exact"/>
        <w:rPr>
          <w:rFonts w:ascii="Arial" w:cs="Arial" w:eastAsia="Arial" w:hAnsi="Arial"/>
          <w:sz w:val="22"/>
          <w:szCs w:val="22"/>
          <w:color w:val="auto"/>
        </w:rPr>
      </w:pPr>
    </w:p>
    <w:p>
      <w:pPr>
        <w:ind w:left="1000" w:hanging="344"/>
        <w:spacing w:after="0"/>
        <w:tabs>
          <w:tab w:leader="none" w:pos="1000" w:val="left"/>
        </w:tabs>
        <w:numPr>
          <w:ilvl w:val="0"/>
          <w:numId w:val="3"/>
        </w:numPr>
        <w:rPr>
          <w:rFonts w:ascii="Arial" w:cs="Arial" w:eastAsia="Arial" w:hAnsi="Arial"/>
          <w:sz w:val="22"/>
          <w:szCs w:val="22"/>
          <w:color w:val="auto"/>
        </w:rPr>
      </w:pPr>
      <w:r>
        <w:rPr>
          <w:rFonts w:ascii="Arial" w:cs="Arial" w:eastAsia="Arial" w:hAnsi="Arial"/>
          <w:sz w:val="18"/>
          <w:szCs w:val="18"/>
          <w:color w:val="auto"/>
        </w:rPr>
        <w:t>sell substantially all of our assets or enter into a merger or consolidation.</w:t>
      </w:r>
    </w:p>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In addition, the financial covenant of the </w:t>
      </w:r>
      <w:r>
        <w:rPr>
          <w:rFonts w:ascii="Arial" w:cs="Arial" w:eastAsia="Arial" w:hAnsi="Arial"/>
          <w:sz w:val="17"/>
          <w:szCs w:val="17"/>
          <w:color w:val="auto"/>
        </w:rPr>
        <w:t>Restated</w:t>
      </w:r>
      <w:r>
        <w:rPr>
          <w:rFonts w:ascii="Arial" w:cs="Arial" w:eastAsia="Arial" w:hAnsi="Arial"/>
          <w:sz w:val="18"/>
          <w:szCs w:val="18"/>
          <w:color w:val="auto"/>
        </w:rPr>
        <w:t xml:space="preserve"> Credit Agreement limits Consolidated Funded Indebtedness to Adjusted Consolidated EBITDA to a maximum ratio of 4.75x with an increased maximum ratio during an Acquisition Period.</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A default under the </w:t>
      </w:r>
      <w:r>
        <w:rPr>
          <w:rFonts w:ascii="Arial" w:cs="Arial" w:eastAsia="Arial" w:hAnsi="Arial"/>
          <w:sz w:val="17"/>
          <w:szCs w:val="17"/>
          <w:color w:val="auto"/>
        </w:rPr>
        <w:t>Restated</w:t>
      </w:r>
      <w:r>
        <w:rPr>
          <w:rFonts w:ascii="Arial" w:cs="Arial" w:eastAsia="Arial" w:hAnsi="Arial"/>
          <w:sz w:val="18"/>
          <w:szCs w:val="18"/>
          <w:color w:val="auto"/>
        </w:rPr>
        <w:t xml:space="preserve"> Credit Agreement would permit the lenders to terminate their commitments and to accelerate the maturity of the outstanding debt.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The above description of the </w:t>
      </w:r>
      <w:r>
        <w:rPr>
          <w:rFonts w:ascii="Arial" w:cs="Arial" w:eastAsia="Arial" w:hAnsi="Arial"/>
          <w:sz w:val="17"/>
          <w:szCs w:val="17"/>
          <w:color w:val="auto"/>
        </w:rPr>
        <w:t>Restated</w:t>
      </w:r>
      <w:r>
        <w:rPr>
          <w:rFonts w:ascii="Arial" w:cs="Arial" w:eastAsia="Arial" w:hAnsi="Arial"/>
          <w:sz w:val="18"/>
          <w:szCs w:val="18"/>
          <w:color w:val="auto"/>
        </w:rPr>
        <w:t xml:space="preserve"> Credit Agreement is qualified in its entirety by the terms of the Restated Credit Agreement, which is attached hereto as Exhibit 10.1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Loan Facility</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On July 31, 2006, the Partnership entered into an Interim 364-Day Credit Agreement (the “Bridge Agreement”), among the Partnership, as Borrower; JPMorgan Chase Bank, N.A., as Administrative Agent; Bank of America, N.A. and Citibank, N.A., as Co-Syndication Agents; Wachovia Bank, National Association and UBS Securities LLC, as Co-Documentation Agents; the Lenders party thereto; and JPMorgan Securities Inc. and Citigroup Global Markets Inc.</w:t>
      </w:r>
      <w:r>
        <w:rPr>
          <w:rFonts w:ascii="Arial" w:cs="Arial" w:eastAsia="Arial" w:hAnsi="Arial"/>
          <w:sz w:val="16"/>
          <w:szCs w:val="16"/>
          <w:b w:val="1"/>
          <w:bCs w:val="1"/>
          <w:color w:val="auto"/>
        </w:rPr>
        <w:t>,</w:t>
      </w:r>
      <w:r>
        <w:rPr>
          <w:rFonts w:ascii="Arial" w:cs="Arial" w:eastAsia="Arial" w:hAnsi="Arial"/>
          <w:sz w:val="16"/>
          <w:szCs w:val="16"/>
          <w:color w:val="auto"/>
        </w:rPr>
        <w:t xml:space="preserve"> as Joint Bookrunners and Co-Lead Arrangers (terms used but not defined herein have the meanings assigned to them in the Bridge Agreement).</w:t>
      </w:r>
    </w:p>
    <w:p>
      <w:pPr>
        <w:spacing w:after="0" w:line="15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Bridge Agreement provides for a maximum of two term loan borrowings of up to an aggregate amount of $1.0 billion (the “Bridge Facility”) to finance the cash portion of the Pacific Energy Partners, L.P. acquisition. The Bridge Facility is a 364-day facility with a one-year term-out provision, with funding to occur substantially contemporaneously with the closing of the acquisition. Amounts not funded under the Bridge Facility on such closing are available to the Partnership in a subsequent single term loan borrowing made prior to the end of the 364-day period. Amounts borrowed under this facility may not be re-borrowed following any prepayments.</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Borrowings under the Bridge Agreement will bear interest at either a Base Rate or a Eurodollar Rate. A Base Rate loan bears interest at a floating rate per annum equal to the higher of (a) the federal funds rate plus 1/2 of 1% and (b) the rate of interest in effect for such day as publicly announced from time to time by the Administrative Agent as its “prime rate.” The “prime rate” is a rate set by the Administrative Agent based upon various factors including its costs and desired return, general economic conditions and other factors. A Eurodollar loan bears interest at a rate per annum equal to the British Bankers Association LIBOR Rate, as published by Reuters, plus a margin, which margin ranges from 20 basis points to 57.5 basis points based upon any variances in the Partnership’s debt ratings. The Partnership may voluntarily prepay the bridge loans, in whole or in part (subject to certain minimum prepayment amounts) without penalty or premium. The bridge loans will be guaranteed by the Partnership’s significant subsidiaries.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covenants (including financial covenants), restrictions and events of default in the Bridge Agreement are the same as in the Credit Agreement.</w:t>
      </w:r>
    </w:p>
    <w:p>
      <w:pPr>
        <w:spacing w:after="0" w:line="24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above description of the Bridge Agreement is qualified in its entirety by the terms of the Bridge Agreement, which is attached hereto as Exhibit 10.2 and incorporated herein by reference.</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disclosure set forth above in Item 1.01 is incorporated by reference herein.</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60" w:hanging="704"/>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40" w:right="60" w:hanging="674"/>
        <w:spacing w:after="0" w:line="255" w:lineRule="auto"/>
        <w:tabs>
          <w:tab w:leader="none" w:pos="22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Second Amended and Restated Credit Agreement dated as of July 31, 2006 by and among Plains All American Pipeline, L.P., as US Borrower; PMC (Nova Scotia) Company and Plains Marketing Canada, L.P., as Canadian Borrowers; Bank of America, N.A., as Administrative Agent; Bank of America, N.A., acting through its Canada Branch, as Canadian Administrative Agent; Wachovia Bank, National Association and JPMorgan Chase Bank, N.A., as Co-Syndication Agents; Fortis Capital Corp., Citibank, N.A., BNP Paribas, UBS Securities LLC, SunTrust Bank, and The Bank of Nova Scotia, as Co-Documentation Agents; the Lenders party thereto; and Banc of America Securities LLC and Wachovia Capital Markets, LLC</w:t>
      </w:r>
      <w:r>
        <w:rPr>
          <w:rFonts w:ascii="Arial" w:cs="Arial" w:eastAsia="Arial" w:hAnsi="Arial"/>
          <w:sz w:val="18"/>
          <w:szCs w:val="18"/>
          <w:b w:val="1"/>
          <w:bCs w:val="1"/>
          <w:color w:val="auto"/>
        </w:rPr>
        <w:t>,</w:t>
      </w:r>
      <w:r>
        <w:rPr>
          <w:rFonts w:ascii="Arial" w:cs="Arial" w:eastAsia="Arial" w:hAnsi="Arial"/>
          <w:sz w:val="18"/>
          <w:szCs w:val="18"/>
          <w:color w:val="auto"/>
        </w:rPr>
        <w:t xml:space="preserve"> as Joint Lead Arrangers and Joint Book Managers.</w:t>
      </w:r>
    </w:p>
    <w:p>
      <w:pPr>
        <w:spacing w:after="0" w:line="189" w:lineRule="exact"/>
        <w:rPr>
          <w:sz w:val="20"/>
          <w:szCs w:val="20"/>
          <w:color w:val="auto"/>
        </w:rPr>
      </w:pPr>
    </w:p>
    <w:p>
      <w:pPr>
        <w:ind w:left="2240" w:right="40" w:hanging="674"/>
        <w:spacing w:after="0" w:line="302" w:lineRule="auto"/>
        <w:tabs>
          <w:tab w:leader="none" w:pos="22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Interim 364-Day Credit Agreement dated as of July 31, 2006 by and among Plains All American Pipeline, L.P., as Borrower; JPMorgan Chase Bank, N.A., as Administrative Agent; Bank of America, N.A. and Citibank, N.A., as Co-Syndication Agents; Wachovia Bank, National Association and UBS Securities LLC, as Co-Documentation Agents; the Lenders party thereto; and JPMorgan Securities Inc. and Citigroup Global Markets Inc.</w:t>
      </w:r>
      <w:r>
        <w:rPr>
          <w:rFonts w:ascii="Arial" w:cs="Arial" w:eastAsia="Arial" w:hAnsi="Arial"/>
          <w:sz w:val="16"/>
          <w:szCs w:val="16"/>
          <w:b w:val="1"/>
          <w:bCs w:val="1"/>
          <w:color w:val="auto"/>
        </w:rPr>
        <w:t>,</w:t>
      </w:r>
      <w:r>
        <w:rPr>
          <w:rFonts w:ascii="Arial" w:cs="Arial" w:eastAsia="Arial" w:hAnsi="Arial"/>
          <w:sz w:val="16"/>
          <w:szCs w:val="16"/>
          <w:color w:val="auto"/>
        </w:rPr>
        <w:t xml:space="preserve"> as Joint Bookrunners and Co-Lead Arrangers.</w:t>
      </w:r>
    </w:p>
    <w:p>
      <w:pPr>
        <w:sectPr>
          <w:pgSz w:w="11900" w:h="16838" w:orient="portrait"/>
          <w:cols w:equalWidth="0" w:num="1">
            <w:col w:w="11420"/>
          </w:cols>
          <w:pgMar w:left="240" w:top="130" w:right="239" w:bottom="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420"/>
          </w:cols>
          <w:pgMar w:left="240" w:top="130" w:right="239" w:bottom="0" w:gutter="0" w:footer="0" w:header="0"/>
          <w:type w:val="continuous"/>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4, 2006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ind w:left="5520"/>
              <w:spacing w:after="0"/>
              <w:rPr>
                <w:sz w:val="20"/>
                <w:szCs w:val="20"/>
                <w:color w:val="auto"/>
              </w:rPr>
            </w:pPr>
            <w:r>
              <w:rPr>
                <w:rFonts w:ascii="Arial" w:cs="Arial" w:eastAsia="Arial" w:hAnsi="Arial"/>
                <w:sz w:val="18"/>
                <w:szCs w:val="18"/>
                <w:color w:val="auto"/>
              </w:rPr>
              <w:t>By:</w:t>
            </w:r>
          </w:p>
        </w:tc>
        <w:tc>
          <w:tcPr>
            <w:tcW w:w="5260" w:type="dxa"/>
            <w:vAlign w:val="bottom"/>
          </w:tcPr>
          <w:p>
            <w:pPr>
              <w:spacing w:after="0"/>
              <w:rPr>
                <w:sz w:val="20"/>
                <w:szCs w:val="20"/>
                <w:color w:val="auto"/>
              </w:rPr>
            </w:pPr>
            <w:r>
              <w:rPr>
                <w:rFonts w:ascii="Arial" w:cs="Arial" w:eastAsia="Arial" w:hAnsi="Arial"/>
                <w:sz w:val="18"/>
                <w:szCs w:val="18"/>
                <w:color w:val="auto"/>
              </w:rPr>
              <w:t>Plains AAP, L.P., its general partner</w:t>
            </w:r>
          </w:p>
        </w:tc>
        <w:tc>
          <w:tcPr>
            <w:tcW w:w="40" w:type="dxa"/>
            <w:vAlign w:val="bottom"/>
          </w:tcPr>
          <w:p>
            <w:pPr>
              <w:spacing w:after="0"/>
              <w:rPr>
                <w:sz w:val="20"/>
                <w:szCs w:val="20"/>
                <w:color w:val="auto"/>
              </w:rPr>
            </w:pPr>
          </w:p>
        </w:tc>
      </w:tr>
      <w:tr>
        <w:trPr>
          <w:trHeight w:val="432"/>
        </w:trPr>
        <w:tc>
          <w:tcPr>
            <w:tcW w:w="6160" w:type="dxa"/>
            <w:vAlign w:val="bottom"/>
          </w:tcPr>
          <w:p>
            <w:pPr>
              <w:ind w:left="5520"/>
              <w:spacing w:after="0"/>
              <w:rPr>
                <w:sz w:val="20"/>
                <w:szCs w:val="20"/>
                <w:color w:val="auto"/>
              </w:rPr>
            </w:pPr>
            <w:r>
              <w:rPr>
                <w:rFonts w:ascii="Arial" w:cs="Arial" w:eastAsia="Arial" w:hAnsi="Arial"/>
                <w:sz w:val="18"/>
                <w:szCs w:val="18"/>
                <w:color w:val="auto"/>
              </w:rPr>
              <w:t>By:</w:t>
            </w:r>
          </w:p>
        </w:tc>
        <w:tc>
          <w:tcPr>
            <w:tcW w:w="526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648"/>
        </w:trPr>
        <w:tc>
          <w:tcPr>
            <w:tcW w:w="6160" w:type="dxa"/>
            <w:vAlign w:val="bottom"/>
          </w:tcPr>
          <w:p>
            <w:pPr>
              <w:ind w:left="552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 Moore</w:t>
            </w:r>
          </w:p>
        </w:tc>
        <w:tc>
          <w:tcPr>
            <w:tcW w:w="40" w:type="dxa"/>
            <w:vAlign w:val="bottom"/>
          </w:tcPr>
          <w:p>
            <w:pPr>
              <w:spacing w:after="0"/>
              <w:rPr>
                <w:sz w:val="24"/>
                <w:szCs w:val="24"/>
                <w:color w:val="auto"/>
              </w:rPr>
            </w:pPr>
          </w:p>
        </w:tc>
      </w:tr>
      <w:tr>
        <w:trPr>
          <w:trHeight w:val="195"/>
        </w:trPr>
        <w:tc>
          <w:tcPr>
            <w:tcW w:w="616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Name: Tim Moore</w:t>
            </w:r>
          </w:p>
        </w:tc>
        <w:tc>
          <w:tcPr>
            <w:tcW w:w="40" w:type="dxa"/>
            <w:vAlign w:val="bottom"/>
          </w:tcPr>
          <w:p>
            <w:pPr>
              <w:spacing w:after="0"/>
              <w:rPr>
                <w:sz w:val="16"/>
                <w:szCs w:val="16"/>
                <w:color w:val="auto"/>
              </w:rPr>
            </w:pPr>
          </w:p>
        </w:tc>
      </w:tr>
      <w:tr>
        <w:trPr>
          <w:trHeight w:val="230"/>
        </w:trPr>
        <w:tc>
          <w:tcPr>
            <w:tcW w:w="61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Vice President</w:t>
            </w:r>
          </w:p>
        </w:tc>
        <w:tc>
          <w:tcPr>
            <w:tcW w:w="40" w:type="dxa"/>
            <w:vAlign w:val="bottom"/>
          </w:tcPr>
          <w:p>
            <w:pPr>
              <w:spacing w:after="0"/>
              <w:rPr>
                <w:sz w:val="20"/>
                <w:szCs w:val="20"/>
                <w:color w:val="auto"/>
              </w:rPr>
            </w:pPr>
          </w:p>
        </w:tc>
      </w:tr>
      <w:tr>
        <w:trPr>
          <w:trHeight w:val="432"/>
        </w:trPr>
        <w:tc>
          <w:tcPr>
            <w:tcW w:w="616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160" w:type="dxa"/>
            <w:vAlign w:val="bottom"/>
            <w:tcBorders>
              <w:bottom w:val="single" w:sz="8" w:color="010101"/>
            </w:tcBorders>
          </w:tcPr>
          <w:p>
            <w:pPr>
              <w:spacing w:after="0"/>
              <w:rPr>
                <w:sz w:val="11"/>
                <w:szCs w:val="11"/>
                <w:color w:val="auto"/>
              </w:rPr>
            </w:pPr>
          </w:p>
        </w:tc>
        <w:tc>
          <w:tcPr>
            <w:tcW w:w="5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80"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CREDIT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[US/Canada Facilities]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PLAINS ALL AMERICAN PIPELINE, L.P., as US Borrower,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PMC (NOVA SCOTIA) COMPANY and PLAINS MARKETING CANADA,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Canadian Borrowers,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 OF AMERICA, N.A.,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 OF AMERICA, N.A., acting through its Canada Branch,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Canadian Administrative Agent,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WACHOVIA BANK, NATIONAL ASSOCIATION and JPMORGAN CHASE BANK,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Co-Syndication Agents,</w:t>
      </w:r>
    </w:p>
    <w:p>
      <w:pPr>
        <w:spacing w:after="0" w:line="200" w:lineRule="exact"/>
        <w:rPr>
          <w:sz w:val="20"/>
          <w:szCs w:val="20"/>
          <w:color w:val="auto"/>
        </w:rPr>
      </w:pPr>
    </w:p>
    <w:p>
      <w:pPr>
        <w:spacing w:after="0" w:line="227"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FORTIS CAPITAL CORP., CITIBANK, N.A., BNP PARIBAS, UBS SECURITIES LLC, SUNTRUST BANK and THE BANK OF NOVA SCOTIA as Co-Documentation Agents,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CERTAIN FINANCIAL INSTITUTIONS, as Lenders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$1,600,000,000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BANC OF AMERICA SECURITIES LLC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WACHOVIA CAPITAL MARKETS,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Joint Lead Arrangers and Joint Book Managers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392430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r>
      <w:tr>
        <w:trPr>
          <w:trHeight w:val="344"/>
        </w:trPr>
        <w:tc>
          <w:tcPr>
            <w:tcW w:w="10780" w:type="dxa"/>
            <w:vAlign w:val="bottom"/>
            <w:gridSpan w:val="2"/>
          </w:tcPr>
          <w:p>
            <w:pPr>
              <w:spacing w:after="0"/>
              <w:rPr>
                <w:sz w:val="20"/>
                <w:szCs w:val="20"/>
                <w:color w:val="auto"/>
              </w:rPr>
            </w:pPr>
            <w:r>
              <w:rPr>
                <w:rFonts w:ascii="Arial" w:cs="Arial" w:eastAsia="Arial" w:hAnsi="Arial"/>
                <w:sz w:val="18"/>
                <w:szCs w:val="18"/>
                <w:color w:val="auto"/>
              </w:rPr>
              <w:t>ARTICLE I. - Definitions and References</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9120" w:type="dxa"/>
            <w:vAlign w:val="bottom"/>
          </w:tcPr>
          <w:p>
            <w:pPr>
              <w:ind w:left="220"/>
              <w:spacing w:after="0"/>
              <w:rPr>
                <w:sz w:val="20"/>
                <w:szCs w:val="20"/>
                <w:color w:val="auto"/>
              </w:rPr>
            </w:pPr>
            <w:r>
              <w:rPr>
                <w:rFonts w:ascii="Arial" w:cs="Arial" w:eastAsia="Arial" w:hAnsi="Arial"/>
                <w:sz w:val="18"/>
                <w:szCs w:val="18"/>
                <w:color w:val="auto"/>
              </w:rPr>
              <w:t>Defined Terms</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9120" w:type="dxa"/>
            <w:vAlign w:val="bottom"/>
          </w:tcPr>
          <w:p>
            <w:pPr>
              <w:ind w:left="220"/>
              <w:spacing w:after="0"/>
              <w:rPr>
                <w:sz w:val="20"/>
                <w:szCs w:val="20"/>
                <w:color w:val="auto"/>
              </w:rPr>
            </w:pPr>
            <w:r>
              <w:rPr>
                <w:rFonts w:ascii="Arial" w:cs="Arial" w:eastAsia="Arial" w:hAnsi="Arial"/>
                <w:sz w:val="18"/>
                <w:szCs w:val="18"/>
                <w:color w:val="auto"/>
              </w:rPr>
              <w:t>Exhibits and Schedules; Additional Definitions</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9120" w:type="dxa"/>
            <w:vAlign w:val="bottom"/>
          </w:tcPr>
          <w:p>
            <w:pPr>
              <w:ind w:left="220"/>
              <w:spacing w:after="0"/>
              <w:rPr>
                <w:sz w:val="20"/>
                <w:szCs w:val="20"/>
                <w:color w:val="auto"/>
              </w:rPr>
            </w:pPr>
            <w:r>
              <w:rPr>
                <w:rFonts w:ascii="Arial" w:cs="Arial" w:eastAsia="Arial" w:hAnsi="Arial"/>
                <w:sz w:val="18"/>
                <w:szCs w:val="18"/>
                <w:color w:val="auto"/>
              </w:rPr>
              <w:t>Amendment of Defined Instruments</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9120" w:type="dxa"/>
            <w:vAlign w:val="bottom"/>
          </w:tcPr>
          <w:p>
            <w:pPr>
              <w:ind w:left="220"/>
              <w:spacing w:after="0"/>
              <w:rPr>
                <w:sz w:val="20"/>
                <w:szCs w:val="20"/>
                <w:color w:val="auto"/>
              </w:rPr>
            </w:pPr>
            <w:r>
              <w:rPr>
                <w:rFonts w:ascii="Arial" w:cs="Arial" w:eastAsia="Arial" w:hAnsi="Arial"/>
                <w:sz w:val="18"/>
                <w:szCs w:val="18"/>
                <w:color w:val="auto"/>
              </w:rPr>
              <w:t>References and Titles</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9120" w:type="dxa"/>
            <w:vAlign w:val="bottom"/>
          </w:tcPr>
          <w:p>
            <w:pPr>
              <w:ind w:left="220"/>
              <w:spacing w:after="0"/>
              <w:rPr>
                <w:sz w:val="20"/>
                <w:szCs w:val="20"/>
                <w:color w:val="auto"/>
              </w:rPr>
            </w:pPr>
            <w:r>
              <w:rPr>
                <w:rFonts w:ascii="Arial" w:cs="Arial" w:eastAsia="Arial" w:hAnsi="Arial"/>
                <w:sz w:val="18"/>
                <w:szCs w:val="18"/>
                <w:color w:val="auto"/>
              </w:rPr>
              <w:t>Calculations and Determinations</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1660" w:type="dxa"/>
            <w:vAlign w:val="bottom"/>
          </w:tcPr>
          <w:p>
            <w:pPr>
              <w:ind w:left="360"/>
              <w:spacing w:after="0"/>
              <w:rPr>
                <w:sz w:val="20"/>
                <w:szCs w:val="20"/>
                <w:color w:val="auto"/>
              </w:rPr>
            </w:pPr>
            <w:r>
              <w:rPr>
                <w:rFonts w:ascii="Arial" w:cs="Arial" w:eastAsia="Arial" w:hAnsi="Arial"/>
                <w:sz w:val="18"/>
                <w:szCs w:val="18"/>
                <w:color w:val="auto"/>
              </w:rPr>
              <w:t>Section 1.6.</w:t>
            </w:r>
          </w:p>
        </w:tc>
        <w:tc>
          <w:tcPr>
            <w:tcW w:w="9120" w:type="dxa"/>
            <w:vAlign w:val="bottom"/>
          </w:tcPr>
          <w:p>
            <w:pPr>
              <w:ind w:left="220"/>
              <w:spacing w:after="0"/>
              <w:rPr>
                <w:sz w:val="20"/>
                <w:szCs w:val="20"/>
                <w:color w:val="auto"/>
              </w:rPr>
            </w:pPr>
            <w:r>
              <w:rPr>
                <w:rFonts w:ascii="Arial" w:cs="Arial" w:eastAsia="Arial" w:hAnsi="Arial"/>
                <w:sz w:val="18"/>
                <w:szCs w:val="18"/>
                <w:color w:val="auto"/>
              </w:rPr>
              <w:t>Letter of Credit Amounts</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8"/>
        </w:trPr>
        <w:tc>
          <w:tcPr>
            <w:tcW w:w="10780" w:type="dxa"/>
            <w:vAlign w:val="bottom"/>
            <w:gridSpan w:val="2"/>
          </w:tcPr>
          <w:p>
            <w:pPr>
              <w:spacing w:after="0"/>
              <w:rPr>
                <w:sz w:val="20"/>
                <w:szCs w:val="20"/>
                <w:color w:val="auto"/>
              </w:rPr>
            </w:pPr>
            <w:r>
              <w:rPr>
                <w:rFonts w:ascii="Arial" w:cs="Arial" w:eastAsia="Arial" w:hAnsi="Arial"/>
                <w:sz w:val="18"/>
                <w:szCs w:val="18"/>
                <w:color w:val="auto"/>
              </w:rPr>
              <w:t>ARTICLE II. - The Loans and Letters of Credit</w:t>
            </w:r>
          </w:p>
        </w:tc>
        <w:tc>
          <w:tcPr>
            <w:tcW w:w="640" w:type="dxa"/>
            <w:vAlign w:val="bottom"/>
          </w:tcPr>
          <w:p>
            <w:pPr>
              <w:spacing w:after="0"/>
              <w:rPr>
                <w:sz w:val="24"/>
                <w:szCs w:val="24"/>
                <w:color w:val="auto"/>
              </w:rPr>
            </w:pP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9120" w:type="dxa"/>
            <w:vAlign w:val="bottom"/>
          </w:tcPr>
          <w:p>
            <w:pPr>
              <w:ind w:left="220"/>
              <w:spacing w:after="0"/>
              <w:rPr>
                <w:sz w:val="20"/>
                <w:szCs w:val="20"/>
                <w:color w:val="auto"/>
              </w:rPr>
            </w:pPr>
            <w:r>
              <w:rPr>
                <w:rFonts w:ascii="Arial" w:cs="Arial" w:eastAsia="Arial" w:hAnsi="Arial"/>
                <w:sz w:val="18"/>
                <w:szCs w:val="18"/>
                <w:color w:val="auto"/>
              </w:rPr>
              <w:t>Commitments to Lend; Notes</w:t>
            </w: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9120" w:type="dxa"/>
            <w:vAlign w:val="bottom"/>
          </w:tcPr>
          <w:p>
            <w:pPr>
              <w:ind w:left="220"/>
              <w:spacing w:after="0"/>
              <w:rPr>
                <w:sz w:val="20"/>
                <w:szCs w:val="20"/>
                <w:color w:val="auto"/>
              </w:rPr>
            </w:pPr>
            <w:r>
              <w:rPr>
                <w:rFonts w:ascii="Arial" w:cs="Arial" w:eastAsia="Arial" w:hAnsi="Arial"/>
                <w:sz w:val="18"/>
                <w:szCs w:val="18"/>
                <w:color w:val="auto"/>
              </w:rPr>
              <w:t>Requests for Loans</w:t>
            </w: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9120" w:type="dxa"/>
            <w:vAlign w:val="bottom"/>
          </w:tcPr>
          <w:p>
            <w:pPr>
              <w:ind w:left="220"/>
              <w:spacing w:after="0"/>
              <w:rPr>
                <w:sz w:val="20"/>
                <w:szCs w:val="20"/>
                <w:color w:val="auto"/>
              </w:rPr>
            </w:pPr>
            <w:r>
              <w:rPr>
                <w:rFonts w:ascii="Arial" w:cs="Arial" w:eastAsia="Arial" w:hAnsi="Arial"/>
                <w:sz w:val="18"/>
                <w:szCs w:val="18"/>
                <w:color w:val="auto"/>
              </w:rPr>
              <w:t>Continuations and Conversions of Existing Loans</w:t>
            </w: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9120" w:type="dxa"/>
            <w:vAlign w:val="bottom"/>
          </w:tcPr>
          <w:p>
            <w:pPr>
              <w:ind w:left="220"/>
              <w:spacing w:after="0"/>
              <w:rPr>
                <w:sz w:val="20"/>
                <w:szCs w:val="20"/>
                <w:color w:val="auto"/>
              </w:rPr>
            </w:pPr>
            <w:r>
              <w:rPr>
                <w:rFonts w:ascii="Arial" w:cs="Arial" w:eastAsia="Arial" w:hAnsi="Arial"/>
                <w:sz w:val="18"/>
                <w:szCs w:val="18"/>
                <w:color w:val="auto"/>
              </w:rPr>
              <w:t>Use of Proceeds</w:t>
            </w: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9120" w:type="dxa"/>
            <w:vAlign w:val="bottom"/>
          </w:tcPr>
          <w:p>
            <w:pPr>
              <w:ind w:left="220"/>
              <w:spacing w:after="0"/>
              <w:rPr>
                <w:sz w:val="20"/>
                <w:szCs w:val="20"/>
                <w:color w:val="auto"/>
              </w:rPr>
            </w:pPr>
            <w:r>
              <w:rPr>
                <w:rFonts w:ascii="Arial" w:cs="Arial" w:eastAsia="Arial" w:hAnsi="Arial"/>
                <w:sz w:val="18"/>
                <w:szCs w:val="18"/>
                <w:color w:val="auto"/>
              </w:rPr>
              <w:t>Interest Rates and Fees</w:t>
            </w: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9120" w:type="dxa"/>
            <w:vAlign w:val="bottom"/>
          </w:tcPr>
          <w:p>
            <w:pPr>
              <w:ind w:left="220"/>
              <w:spacing w:after="0"/>
              <w:rPr>
                <w:sz w:val="20"/>
                <w:szCs w:val="20"/>
                <w:color w:val="auto"/>
              </w:rPr>
            </w:pPr>
            <w:r>
              <w:rPr>
                <w:rFonts w:ascii="Arial" w:cs="Arial" w:eastAsia="Arial" w:hAnsi="Arial"/>
                <w:sz w:val="18"/>
                <w:szCs w:val="18"/>
                <w:color w:val="auto"/>
              </w:rPr>
              <w:t>[Intentionally deleted]</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9120" w:type="dxa"/>
            <w:vAlign w:val="bottom"/>
          </w:tcPr>
          <w:p>
            <w:pPr>
              <w:ind w:left="220"/>
              <w:spacing w:after="0"/>
              <w:rPr>
                <w:sz w:val="20"/>
                <w:szCs w:val="20"/>
                <w:color w:val="auto"/>
              </w:rPr>
            </w:pPr>
            <w:r>
              <w:rPr>
                <w:rFonts w:ascii="Arial" w:cs="Arial" w:eastAsia="Arial" w:hAnsi="Arial"/>
                <w:sz w:val="18"/>
                <w:szCs w:val="18"/>
                <w:color w:val="auto"/>
              </w:rPr>
              <w:t>[Intentionally deleted]</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9120" w:type="dxa"/>
            <w:vAlign w:val="bottom"/>
          </w:tcPr>
          <w:p>
            <w:pPr>
              <w:ind w:left="220"/>
              <w:spacing w:after="0"/>
              <w:rPr>
                <w:sz w:val="20"/>
                <w:szCs w:val="20"/>
                <w:color w:val="auto"/>
              </w:rPr>
            </w:pPr>
            <w:r>
              <w:rPr>
                <w:rFonts w:ascii="Arial" w:cs="Arial" w:eastAsia="Arial" w:hAnsi="Arial"/>
                <w:sz w:val="18"/>
                <w:szCs w:val="18"/>
                <w:color w:val="auto"/>
              </w:rPr>
              <w:t>Optional Prepayments</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2.9.</w:t>
            </w:r>
          </w:p>
        </w:tc>
        <w:tc>
          <w:tcPr>
            <w:tcW w:w="9120" w:type="dxa"/>
            <w:vAlign w:val="bottom"/>
          </w:tcPr>
          <w:p>
            <w:pPr>
              <w:ind w:left="220"/>
              <w:spacing w:after="0"/>
              <w:rPr>
                <w:sz w:val="20"/>
                <w:szCs w:val="20"/>
                <w:color w:val="auto"/>
              </w:rPr>
            </w:pPr>
            <w:r>
              <w:rPr>
                <w:rFonts w:ascii="Arial" w:cs="Arial" w:eastAsia="Arial" w:hAnsi="Arial"/>
                <w:sz w:val="18"/>
                <w:szCs w:val="18"/>
                <w:color w:val="auto"/>
              </w:rPr>
              <w:t>Mandatory Prepayments</w:t>
            </w: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9120" w:type="dxa"/>
            <w:vAlign w:val="bottom"/>
          </w:tcPr>
          <w:p>
            <w:pPr>
              <w:ind w:left="220"/>
              <w:spacing w:after="0"/>
              <w:rPr>
                <w:sz w:val="20"/>
                <w:szCs w:val="20"/>
                <w:color w:val="auto"/>
              </w:rPr>
            </w:pPr>
            <w:r>
              <w:rPr>
                <w:rFonts w:ascii="Arial" w:cs="Arial" w:eastAsia="Arial" w:hAnsi="Arial"/>
                <w:sz w:val="18"/>
                <w:szCs w:val="18"/>
                <w:color w:val="auto"/>
              </w:rPr>
              <w:t>Letters of Credit</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2.10A.</w:t>
            </w:r>
          </w:p>
        </w:tc>
        <w:tc>
          <w:tcPr>
            <w:tcW w:w="9120" w:type="dxa"/>
            <w:vAlign w:val="bottom"/>
          </w:tcPr>
          <w:p>
            <w:pPr>
              <w:ind w:left="220"/>
              <w:spacing w:after="0"/>
              <w:rPr>
                <w:sz w:val="20"/>
                <w:szCs w:val="20"/>
                <w:color w:val="auto"/>
              </w:rPr>
            </w:pPr>
            <w:r>
              <w:rPr>
                <w:rFonts w:ascii="Arial" w:cs="Arial" w:eastAsia="Arial" w:hAnsi="Arial"/>
                <w:sz w:val="18"/>
                <w:szCs w:val="18"/>
                <w:color w:val="auto"/>
              </w:rPr>
              <w:t>Swing Line Loans</w:t>
            </w:r>
          </w:p>
        </w:tc>
        <w:tc>
          <w:tcPr>
            <w:tcW w:w="640" w:type="dxa"/>
            <w:vAlign w:val="bottom"/>
          </w:tcPr>
          <w:p>
            <w:pPr>
              <w:spacing w:after="0"/>
              <w:rPr>
                <w:sz w:val="18"/>
                <w:szCs w:val="18"/>
                <w:color w:val="auto"/>
              </w:rPr>
            </w:pP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2.11.</w:t>
            </w:r>
          </w:p>
        </w:tc>
        <w:tc>
          <w:tcPr>
            <w:tcW w:w="9120" w:type="dxa"/>
            <w:vAlign w:val="bottom"/>
          </w:tcPr>
          <w:p>
            <w:pPr>
              <w:ind w:left="220"/>
              <w:spacing w:after="0"/>
              <w:rPr>
                <w:sz w:val="20"/>
                <w:szCs w:val="20"/>
                <w:color w:val="auto"/>
              </w:rPr>
            </w:pPr>
            <w:r>
              <w:rPr>
                <w:rFonts w:ascii="Arial" w:cs="Arial" w:eastAsia="Arial" w:hAnsi="Arial"/>
                <w:sz w:val="18"/>
                <w:szCs w:val="18"/>
                <w:color w:val="auto"/>
              </w:rPr>
              <w:t>Creation of Bankers’ Acceptances</w:t>
            </w: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2.12.</w:t>
            </w:r>
          </w:p>
        </w:tc>
        <w:tc>
          <w:tcPr>
            <w:tcW w:w="9120" w:type="dxa"/>
            <w:vAlign w:val="bottom"/>
          </w:tcPr>
          <w:p>
            <w:pPr>
              <w:ind w:left="220"/>
              <w:spacing w:after="0"/>
              <w:rPr>
                <w:sz w:val="20"/>
                <w:szCs w:val="20"/>
                <w:color w:val="auto"/>
              </w:rPr>
            </w:pPr>
            <w:r>
              <w:rPr>
                <w:rFonts w:ascii="Arial" w:cs="Arial" w:eastAsia="Arial" w:hAnsi="Arial"/>
                <w:sz w:val="18"/>
                <w:szCs w:val="18"/>
                <w:color w:val="auto"/>
              </w:rPr>
              <w:t>Terms of Acceptance by Canadian Lenders</w:t>
            </w: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660" w:type="dxa"/>
            <w:vAlign w:val="bottom"/>
          </w:tcPr>
          <w:p>
            <w:pPr>
              <w:ind w:left="360"/>
              <w:spacing w:after="0"/>
              <w:rPr>
                <w:sz w:val="20"/>
                <w:szCs w:val="20"/>
                <w:color w:val="auto"/>
              </w:rPr>
            </w:pPr>
            <w:r>
              <w:rPr>
                <w:rFonts w:ascii="Arial" w:cs="Arial" w:eastAsia="Arial" w:hAnsi="Arial"/>
                <w:sz w:val="18"/>
                <w:szCs w:val="18"/>
                <w:color w:val="auto"/>
              </w:rPr>
              <w:t>Section 2.13.</w:t>
            </w:r>
          </w:p>
        </w:tc>
        <w:tc>
          <w:tcPr>
            <w:tcW w:w="9120" w:type="dxa"/>
            <w:vAlign w:val="bottom"/>
          </w:tcPr>
          <w:p>
            <w:pPr>
              <w:ind w:left="220"/>
              <w:spacing w:after="0"/>
              <w:rPr>
                <w:sz w:val="20"/>
                <w:szCs w:val="20"/>
                <w:color w:val="auto"/>
              </w:rPr>
            </w:pPr>
            <w:r>
              <w:rPr>
                <w:rFonts w:ascii="Arial" w:cs="Arial" w:eastAsia="Arial" w:hAnsi="Arial"/>
                <w:sz w:val="18"/>
                <w:szCs w:val="18"/>
                <w:color w:val="auto"/>
              </w:rPr>
              <w:t>General Procedures for Bankers’ Acceptances</w:t>
            </w: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r>
    </w:tbl>
    <w:p>
      <w:pPr>
        <w:sectPr>
          <w:pgSz w:w="11900" w:h="16838" w:orient="portrait"/>
          <w:cols w:equalWidth="0" w:num="1">
            <w:col w:w="11420"/>
          </w:cols>
          <w:pgMar w:left="240" w:top="121"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2.14.</w:t>
            </w:r>
          </w:p>
        </w:tc>
        <w:tc>
          <w:tcPr>
            <w:tcW w:w="6780" w:type="dxa"/>
            <w:vAlign w:val="bottom"/>
          </w:tcPr>
          <w:p>
            <w:pPr>
              <w:ind w:left="100"/>
              <w:spacing w:after="0"/>
              <w:rPr>
                <w:sz w:val="20"/>
                <w:szCs w:val="20"/>
                <w:color w:val="auto"/>
              </w:rPr>
            </w:pPr>
            <w:r>
              <w:rPr>
                <w:rFonts w:ascii="Arial" w:cs="Arial" w:eastAsia="Arial" w:hAnsi="Arial"/>
                <w:sz w:val="18"/>
                <w:szCs w:val="18"/>
                <w:color w:val="auto"/>
              </w:rPr>
              <w:t>Execution of Bankers’ Acceptances</w:t>
            </w:r>
          </w:p>
        </w:tc>
        <w:tc>
          <w:tcPr>
            <w:tcW w:w="29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2.15.</w:t>
            </w:r>
          </w:p>
        </w:tc>
        <w:tc>
          <w:tcPr>
            <w:tcW w:w="6780" w:type="dxa"/>
            <w:vAlign w:val="bottom"/>
          </w:tcPr>
          <w:p>
            <w:pPr>
              <w:ind w:left="100"/>
              <w:spacing w:after="0"/>
              <w:rPr>
                <w:sz w:val="20"/>
                <w:szCs w:val="20"/>
                <w:color w:val="auto"/>
              </w:rPr>
            </w:pPr>
            <w:r>
              <w:rPr>
                <w:rFonts w:ascii="Arial" w:cs="Arial" w:eastAsia="Arial" w:hAnsi="Arial"/>
                <w:sz w:val="18"/>
                <w:szCs w:val="18"/>
                <w:color w:val="auto"/>
              </w:rPr>
              <w:t>Prepayment of Bankers’ Acceptances</w:t>
            </w:r>
          </w:p>
        </w:tc>
        <w:tc>
          <w:tcPr>
            <w:tcW w:w="29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ARTICLE III. - Payments to Lenders</w:t>
            </w:r>
          </w:p>
        </w:tc>
        <w:tc>
          <w:tcPr>
            <w:tcW w:w="29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6780" w:type="dxa"/>
            <w:vAlign w:val="bottom"/>
          </w:tcPr>
          <w:p>
            <w:pPr>
              <w:ind w:left="100"/>
              <w:spacing w:after="0"/>
              <w:rPr>
                <w:sz w:val="20"/>
                <w:szCs w:val="20"/>
                <w:color w:val="auto"/>
              </w:rPr>
            </w:pPr>
            <w:r>
              <w:rPr>
                <w:rFonts w:ascii="Arial" w:cs="Arial" w:eastAsia="Arial" w:hAnsi="Arial"/>
                <w:sz w:val="18"/>
                <w:szCs w:val="18"/>
                <w:color w:val="auto"/>
              </w:rPr>
              <w:t>General Procedures.</w:t>
            </w:r>
          </w:p>
        </w:tc>
        <w:tc>
          <w:tcPr>
            <w:tcW w:w="29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6780" w:type="dxa"/>
            <w:vAlign w:val="bottom"/>
          </w:tcPr>
          <w:p>
            <w:pPr>
              <w:ind w:left="100"/>
              <w:spacing w:after="0"/>
              <w:rPr>
                <w:sz w:val="20"/>
                <w:szCs w:val="20"/>
                <w:color w:val="auto"/>
              </w:rPr>
            </w:pPr>
            <w:r>
              <w:rPr>
                <w:rFonts w:ascii="Arial" w:cs="Arial" w:eastAsia="Arial" w:hAnsi="Arial"/>
                <w:sz w:val="18"/>
                <w:szCs w:val="18"/>
                <w:color w:val="auto"/>
              </w:rPr>
              <w:t>Capital Reimbursement</w:t>
            </w:r>
          </w:p>
        </w:tc>
        <w:tc>
          <w:tcPr>
            <w:tcW w:w="29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6780" w:type="dxa"/>
            <w:vAlign w:val="bottom"/>
          </w:tcPr>
          <w:p>
            <w:pPr>
              <w:ind w:left="100"/>
              <w:spacing w:after="0"/>
              <w:rPr>
                <w:sz w:val="20"/>
                <w:szCs w:val="20"/>
                <w:color w:val="auto"/>
              </w:rPr>
            </w:pPr>
            <w:r>
              <w:rPr>
                <w:rFonts w:ascii="Arial" w:cs="Arial" w:eastAsia="Arial" w:hAnsi="Arial"/>
                <w:sz w:val="18"/>
                <w:szCs w:val="18"/>
                <w:color w:val="auto"/>
              </w:rPr>
              <w:t>Increased Cost of Eurodollar Loans or Letters of Credit</w:t>
            </w:r>
          </w:p>
        </w:tc>
        <w:tc>
          <w:tcPr>
            <w:tcW w:w="29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6780" w:type="dxa"/>
            <w:vAlign w:val="bottom"/>
          </w:tcPr>
          <w:p>
            <w:pPr>
              <w:ind w:left="100"/>
              <w:spacing w:after="0"/>
              <w:rPr>
                <w:sz w:val="20"/>
                <w:szCs w:val="20"/>
                <w:color w:val="auto"/>
              </w:rPr>
            </w:pPr>
            <w:r>
              <w:rPr>
                <w:rFonts w:ascii="Arial" w:cs="Arial" w:eastAsia="Arial" w:hAnsi="Arial"/>
                <w:sz w:val="18"/>
                <w:szCs w:val="18"/>
                <w:color w:val="auto"/>
              </w:rPr>
              <w:t>Notice; Change of Applicable Lending Office</w:t>
            </w:r>
          </w:p>
        </w:tc>
        <w:tc>
          <w:tcPr>
            <w:tcW w:w="29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6780" w:type="dxa"/>
            <w:vAlign w:val="bottom"/>
          </w:tcPr>
          <w:p>
            <w:pPr>
              <w:ind w:left="100"/>
              <w:spacing w:after="0"/>
              <w:rPr>
                <w:sz w:val="20"/>
                <w:szCs w:val="20"/>
                <w:color w:val="auto"/>
              </w:rPr>
            </w:pPr>
            <w:r>
              <w:rPr>
                <w:rFonts w:ascii="Arial" w:cs="Arial" w:eastAsia="Arial" w:hAnsi="Arial"/>
                <w:sz w:val="18"/>
                <w:szCs w:val="18"/>
                <w:color w:val="auto"/>
              </w:rPr>
              <w:t>Availability</w:t>
            </w:r>
          </w:p>
        </w:tc>
        <w:tc>
          <w:tcPr>
            <w:tcW w:w="29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6780" w:type="dxa"/>
            <w:vAlign w:val="bottom"/>
          </w:tcPr>
          <w:p>
            <w:pPr>
              <w:ind w:left="100"/>
              <w:spacing w:after="0"/>
              <w:rPr>
                <w:sz w:val="20"/>
                <w:szCs w:val="20"/>
                <w:color w:val="auto"/>
              </w:rPr>
            </w:pPr>
            <w:r>
              <w:rPr>
                <w:rFonts w:ascii="Arial" w:cs="Arial" w:eastAsia="Arial" w:hAnsi="Arial"/>
                <w:sz w:val="18"/>
                <w:szCs w:val="18"/>
                <w:color w:val="auto"/>
              </w:rPr>
              <w:t>Funding Losses</w:t>
            </w:r>
          </w:p>
        </w:tc>
        <w:tc>
          <w:tcPr>
            <w:tcW w:w="29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3.7.</w:t>
            </w:r>
          </w:p>
        </w:tc>
        <w:tc>
          <w:tcPr>
            <w:tcW w:w="6780" w:type="dxa"/>
            <w:vAlign w:val="bottom"/>
          </w:tcPr>
          <w:p>
            <w:pPr>
              <w:ind w:left="100"/>
              <w:spacing w:after="0"/>
              <w:rPr>
                <w:sz w:val="20"/>
                <w:szCs w:val="20"/>
                <w:color w:val="auto"/>
              </w:rPr>
            </w:pPr>
            <w:r>
              <w:rPr>
                <w:rFonts w:ascii="Arial" w:cs="Arial" w:eastAsia="Arial" w:hAnsi="Arial"/>
                <w:sz w:val="18"/>
                <w:szCs w:val="18"/>
                <w:color w:val="auto"/>
              </w:rPr>
              <w:t>Reimbursable Taxes</w:t>
            </w:r>
          </w:p>
        </w:tc>
        <w:tc>
          <w:tcPr>
            <w:tcW w:w="29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3.8.</w:t>
            </w:r>
          </w:p>
        </w:tc>
        <w:tc>
          <w:tcPr>
            <w:tcW w:w="6780" w:type="dxa"/>
            <w:vAlign w:val="bottom"/>
          </w:tcPr>
          <w:p>
            <w:pPr>
              <w:ind w:left="100"/>
              <w:spacing w:after="0"/>
              <w:rPr>
                <w:sz w:val="20"/>
                <w:szCs w:val="20"/>
                <w:color w:val="auto"/>
              </w:rPr>
            </w:pPr>
            <w:r>
              <w:rPr>
                <w:rFonts w:ascii="Arial" w:cs="Arial" w:eastAsia="Arial" w:hAnsi="Arial"/>
                <w:sz w:val="18"/>
                <w:szCs w:val="18"/>
                <w:color w:val="auto"/>
              </w:rPr>
              <w:t>Replacement of Lenders</w:t>
            </w:r>
          </w:p>
        </w:tc>
        <w:tc>
          <w:tcPr>
            <w:tcW w:w="29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3.9.</w:t>
            </w:r>
          </w:p>
        </w:tc>
        <w:tc>
          <w:tcPr>
            <w:tcW w:w="6780" w:type="dxa"/>
            <w:vAlign w:val="bottom"/>
          </w:tcPr>
          <w:p>
            <w:pPr>
              <w:ind w:left="100"/>
              <w:spacing w:after="0"/>
              <w:rPr>
                <w:sz w:val="20"/>
                <w:szCs w:val="20"/>
                <w:color w:val="auto"/>
              </w:rPr>
            </w:pPr>
            <w:r>
              <w:rPr>
                <w:rFonts w:ascii="Arial" w:cs="Arial" w:eastAsia="Arial" w:hAnsi="Arial"/>
                <w:sz w:val="18"/>
                <w:szCs w:val="18"/>
                <w:color w:val="auto"/>
              </w:rPr>
              <w:t>Currency Conversion and Indemnity</w:t>
            </w:r>
          </w:p>
        </w:tc>
        <w:tc>
          <w:tcPr>
            <w:tcW w:w="29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ARTICLE IV. - Conditions Precedent to Lending</w:t>
            </w:r>
          </w:p>
        </w:tc>
        <w:tc>
          <w:tcPr>
            <w:tcW w:w="2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6780" w:type="dxa"/>
            <w:vAlign w:val="bottom"/>
          </w:tcPr>
          <w:p>
            <w:pPr>
              <w:ind w:left="100"/>
              <w:spacing w:after="0"/>
              <w:rPr>
                <w:sz w:val="20"/>
                <w:szCs w:val="20"/>
                <w:color w:val="auto"/>
              </w:rPr>
            </w:pPr>
            <w:r>
              <w:rPr>
                <w:rFonts w:ascii="Arial" w:cs="Arial" w:eastAsia="Arial" w:hAnsi="Arial"/>
                <w:sz w:val="18"/>
                <w:szCs w:val="18"/>
                <w:color w:val="auto"/>
              </w:rPr>
              <w:t>Documents to be Delivered</w:t>
            </w:r>
          </w:p>
        </w:tc>
        <w:tc>
          <w:tcPr>
            <w:tcW w:w="2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6780" w:type="dxa"/>
            <w:vAlign w:val="bottom"/>
          </w:tcPr>
          <w:p>
            <w:pPr>
              <w:ind w:left="100"/>
              <w:spacing w:after="0"/>
              <w:rPr>
                <w:sz w:val="20"/>
                <w:szCs w:val="20"/>
                <w:color w:val="auto"/>
              </w:rPr>
            </w:pPr>
            <w:r>
              <w:rPr>
                <w:rFonts w:ascii="Arial" w:cs="Arial" w:eastAsia="Arial" w:hAnsi="Arial"/>
                <w:sz w:val="18"/>
                <w:szCs w:val="18"/>
                <w:color w:val="auto"/>
              </w:rPr>
              <w:t>Additional Conditions Precedent</w:t>
            </w:r>
          </w:p>
        </w:tc>
        <w:tc>
          <w:tcPr>
            <w:tcW w:w="2900" w:type="dxa"/>
            <w:vAlign w:val="bottom"/>
          </w:tcPr>
          <w:p>
            <w:pPr>
              <w:spacing w:after="0"/>
              <w:rPr>
                <w:sz w:val="20"/>
                <w:szCs w:val="20"/>
                <w:color w:val="auto"/>
              </w:rPr>
            </w:pPr>
          </w:p>
        </w:tc>
      </w:tr>
      <w:tr>
        <w:trPr>
          <w:trHeight w:val="432"/>
        </w:trPr>
        <w:tc>
          <w:tcPr>
            <w:tcW w:w="8560" w:type="dxa"/>
            <w:vAlign w:val="bottom"/>
            <w:gridSpan w:val="2"/>
          </w:tcPr>
          <w:p>
            <w:pPr>
              <w:spacing w:after="0"/>
              <w:rPr>
                <w:sz w:val="20"/>
                <w:szCs w:val="20"/>
                <w:color w:val="auto"/>
              </w:rPr>
            </w:pPr>
            <w:r>
              <w:rPr>
                <w:rFonts w:ascii="Arial" w:cs="Arial" w:eastAsia="Arial" w:hAnsi="Arial"/>
                <w:sz w:val="18"/>
                <w:szCs w:val="18"/>
                <w:color w:val="auto"/>
              </w:rPr>
              <w:t>ARTICLE V. - Representations and Warranties</w:t>
            </w:r>
          </w:p>
        </w:tc>
        <w:tc>
          <w:tcPr>
            <w:tcW w:w="29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1780" w:type="dxa"/>
            <w:vAlign w:val="bottom"/>
          </w:tcPr>
          <w:p>
            <w:pPr>
              <w:spacing w:after="0"/>
              <w:rPr>
                <w:sz w:val="24"/>
                <w:szCs w:val="24"/>
                <w:color w:val="auto"/>
              </w:rPr>
            </w:pPr>
          </w:p>
        </w:tc>
        <w:tc>
          <w:tcPr>
            <w:tcW w:w="6780" w:type="dxa"/>
            <w:vAlign w:val="bottom"/>
          </w:tcPr>
          <w:p>
            <w:pPr>
              <w:ind w:left="3900"/>
              <w:spacing w:after="0"/>
              <w:rPr>
                <w:sz w:val="20"/>
                <w:szCs w:val="20"/>
                <w:color w:val="auto"/>
              </w:rPr>
            </w:pPr>
            <w:r>
              <w:rPr>
                <w:rFonts w:ascii="Arial" w:cs="Arial" w:eastAsia="Arial" w:hAnsi="Arial"/>
                <w:sz w:val="18"/>
                <w:szCs w:val="18"/>
                <w:color w:val="auto"/>
              </w:rPr>
              <w:t>i</w:t>
            </w:r>
          </w:p>
        </w:tc>
        <w:tc>
          <w:tcPr>
            <w:tcW w:w="2900" w:type="dxa"/>
            <w:vAlign w:val="bottom"/>
          </w:tcPr>
          <w:p>
            <w:pPr>
              <w:spacing w:after="0"/>
              <w:rPr>
                <w:sz w:val="24"/>
                <w:szCs w:val="24"/>
                <w:color w:val="auto"/>
              </w:rPr>
            </w:pPr>
          </w:p>
        </w:tc>
      </w:tr>
      <w:tr>
        <w:trPr>
          <w:trHeight w:val="132"/>
        </w:trPr>
        <w:tc>
          <w:tcPr>
            <w:tcW w:w="1780" w:type="dxa"/>
            <w:vAlign w:val="bottom"/>
            <w:tcBorders>
              <w:bottom w:val="single" w:sz="8" w:color="010101"/>
            </w:tcBorders>
          </w:tcPr>
          <w:p>
            <w:pPr>
              <w:spacing w:after="0"/>
              <w:rPr>
                <w:sz w:val="11"/>
                <w:szCs w:val="11"/>
                <w:color w:val="auto"/>
              </w:rPr>
            </w:pPr>
          </w:p>
        </w:tc>
        <w:tc>
          <w:tcPr>
            <w:tcW w:w="6780" w:type="dxa"/>
            <w:vAlign w:val="bottom"/>
            <w:tcBorders>
              <w:bottom w:val="single" w:sz="8" w:color="010101"/>
            </w:tcBorders>
          </w:tcPr>
          <w:p>
            <w:pPr>
              <w:spacing w:after="0"/>
              <w:rPr>
                <w:sz w:val="11"/>
                <w:szCs w:val="11"/>
                <w:color w:val="auto"/>
              </w:rPr>
            </w:pPr>
          </w:p>
        </w:tc>
        <w:tc>
          <w:tcPr>
            <w:tcW w:w="2900" w:type="dxa"/>
            <w:vAlign w:val="bottom"/>
            <w:tcBorders>
              <w:bottom w:val="single" w:sz="8" w:color="010101"/>
            </w:tcBorders>
          </w:tcPr>
          <w:p>
            <w:pPr>
              <w:spacing w:after="0"/>
              <w:rPr>
                <w:sz w:val="11"/>
                <w:szCs w:val="11"/>
                <w:color w:val="auto"/>
              </w:rPr>
            </w:pPr>
          </w:p>
        </w:tc>
      </w:tr>
      <w:tr>
        <w:trPr>
          <w:trHeight w:val="766"/>
        </w:trPr>
        <w:tc>
          <w:tcPr>
            <w:tcW w:w="178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6780" w:type="dxa"/>
            <w:vAlign w:val="bottom"/>
          </w:tcPr>
          <w:p>
            <w:pPr>
              <w:ind w:left="60"/>
              <w:spacing w:after="0"/>
              <w:rPr>
                <w:sz w:val="20"/>
                <w:szCs w:val="20"/>
                <w:color w:val="auto"/>
              </w:rPr>
            </w:pPr>
            <w:r>
              <w:rPr>
                <w:rFonts w:ascii="Arial" w:cs="Arial" w:eastAsia="Arial" w:hAnsi="Arial"/>
                <w:sz w:val="18"/>
                <w:szCs w:val="18"/>
                <w:color w:val="auto"/>
              </w:rPr>
              <w:t>No Default</w:t>
            </w:r>
          </w:p>
        </w:tc>
        <w:tc>
          <w:tcPr>
            <w:tcW w:w="29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6780" w:type="dxa"/>
            <w:vAlign w:val="bottom"/>
          </w:tcPr>
          <w:p>
            <w:pPr>
              <w:ind w:left="60"/>
              <w:spacing w:after="0"/>
              <w:rPr>
                <w:sz w:val="20"/>
                <w:szCs w:val="20"/>
                <w:color w:val="auto"/>
              </w:rPr>
            </w:pPr>
            <w:r>
              <w:rPr>
                <w:rFonts w:ascii="Arial" w:cs="Arial" w:eastAsia="Arial" w:hAnsi="Arial"/>
                <w:sz w:val="18"/>
                <w:szCs w:val="18"/>
                <w:color w:val="auto"/>
              </w:rPr>
              <w:t>Organization and Good Standing</w:t>
            </w:r>
          </w:p>
        </w:tc>
        <w:tc>
          <w:tcPr>
            <w:tcW w:w="29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6780" w:type="dxa"/>
            <w:vAlign w:val="bottom"/>
          </w:tcPr>
          <w:p>
            <w:pPr>
              <w:ind w:left="60"/>
              <w:spacing w:after="0"/>
              <w:rPr>
                <w:sz w:val="20"/>
                <w:szCs w:val="20"/>
                <w:color w:val="auto"/>
              </w:rPr>
            </w:pPr>
            <w:r>
              <w:rPr>
                <w:rFonts w:ascii="Arial" w:cs="Arial" w:eastAsia="Arial" w:hAnsi="Arial"/>
                <w:sz w:val="18"/>
                <w:szCs w:val="18"/>
                <w:color w:val="auto"/>
              </w:rPr>
              <w:t>Authorization</w:t>
            </w:r>
          </w:p>
        </w:tc>
        <w:tc>
          <w:tcPr>
            <w:tcW w:w="29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6780" w:type="dxa"/>
            <w:vAlign w:val="bottom"/>
          </w:tcPr>
          <w:p>
            <w:pPr>
              <w:ind w:left="60"/>
              <w:spacing w:after="0"/>
              <w:rPr>
                <w:sz w:val="20"/>
                <w:szCs w:val="20"/>
                <w:color w:val="auto"/>
              </w:rPr>
            </w:pPr>
            <w:r>
              <w:rPr>
                <w:rFonts w:ascii="Arial" w:cs="Arial" w:eastAsia="Arial" w:hAnsi="Arial"/>
                <w:sz w:val="18"/>
                <w:szCs w:val="18"/>
                <w:color w:val="auto"/>
              </w:rPr>
              <w:t>No Conflicts or Consents</w:t>
            </w:r>
          </w:p>
        </w:tc>
        <w:tc>
          <w:tcPr>
            <w:tcW w:w="29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6780" w:type="dxa"/>
            <w:vAlign w:val="bottom"/>
          </w:tcPr>
          <w:p>
            <w:pPr>
              <w:ind w:left="60"/>
              <w:spacing w:after="0"/>
              <w:rPr>
                <w:sz w:val="20"/>
                <w:szCs w:val="20"/>
                <w:color w:val="auto"/>
              </w:rPr>
            </w:pPr>
            <w:r>
              <w:rPr>
                <w:rFonts w:ascii="Arial" w:cs="Arial" w:eastAsia="Arial" w:hAnsi="Arial"/>
                <w:sz w:val="18"/>
                <w:szCs w:val="18"/>
                <w:color w:val="auto"/>
              </w:rPr>
              <w:t>Enforceable Obligations</w:t>
            </w:r>
          </w:p>
        </w:tc>
        <w:tc>
          <w:tcPr>
            <w:tcW w:w="29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5.6.</w:t>
            </w:r>
          </w:p>
        </w:tc>
        <w:tc>
          <w:tcPr>
            <w:tcW w:w="6780" w:type="dxa"/>
            <w:vAlign w:val="bottom"/>
          </w:tcPr>
          <w:p>
            <w:pPr>
              <w:ind w:left="60"/>
              <w:spacing w:after="0"/>
              <w:rPr>
                <w:sz w:val="20"/>
                <w:szCs w:val="20"/>
                <w:color w:val="auto"/>
              </w:rPr>
            </w:pPr>
            <w:r>
              <w:rPr>
                <w:rFonts w:ascii="Arial" w:cs="Arial" w:eastAsia="Arial" w:hAnsi="Arial"/>
                <w:sz w:val="18"/>
                <w:szCs w:val="18"/>
                <w:color w:val="auto"/>
              </w:rPr>
              <w:t>Initial Financial Statements</w:t>
            </w:r>
          </w:p>
        </w:tc>
        <w:tc>
          <w:tcPr>
            <w:tcW w:w="29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5.7.</w:t>
            </w:r>
          </w:p>
        </w:tc>
        <w:tc>
          <w:tcPr>
            <w:tcW w:w="6780" w:type="dxa"/>
            <w:vAlign w:val="bottom"/>
          </w:tcPr>
          <w:p>
            <w:pPr>
              <w:ind w:left="60"/>
              <w:spacing w:after="0"/>
              <w:rPr>
                <w:sz w:val="20"/>
                <w:szCs w:val="20"/>
                <w:color w:val="auto"/>
              </w:rPr>
            </w:pPr>
            <w:r>
              <w:rPr>
                <w:rFonts w:ascii="Arial" w:cs="Arial" w:eastAsia="Arial" w:hAnsi="Arial"/>
                <w:sz w:val="18"/>
                <w:szCs w:val="18"/>
                <w:color w:val="auto"/>
              </w:rPr>
              <w:t>Other Obligations and Restrictions</w:t>
            </w:r>
          </w:p>
        </w:tc>
        <w:tc>
          <w:tcPr>
            <w:tcW w:w="29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5.8.</w:t>
            </w:r>
          </w:p>
        </w:tc>
        <w:tc>
          <w:tcPr>
            <w:tcW w:w="6780" w:type="dxa"/>
            <w:vAlign w:val="bottom"/>
          </w:tcPr>
          <w:p>
            <w:pPr>
              <w:ind w:left="60"/>
              <w:spacing w:after="0"/>
              <w:rPr>
                <w:sz w:val="20"/>
                <w:szCs w:val="20"/>
                <w:color w:val="auto"/>
              </w:rPr>
            </w:pPr>
            <w:r>
              <w:rPr>
                <w:rFonts w:ascii="Arial" w:cs="Arial" w:eastAsia="Arial" w:hAnsi="Arial"/>
                <w:sz w:val="18"/>
                <w:szCs w:val="18"/>
                <w:color w:val="auto"/>
              </w:rPr>
              <w:t>Full Disclosure</w:t>
            </w:r>
          </w:p>
        </w:tc>
        <w:tc>
          <w:tcPr>
            <w:tcW w:w="29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5.9.</w:t>
            </w:r>
          </w:p>
        </w:tc>
        <w:tc>
          <w:tcPr>
            <w:tcW w:w="6780" w:type="dxa"/>
            <w:vAlign w:val="bottom"/>
          </w:tcPr>
          <w:p>
            <w:pPr>
              <w:ind w:left="60"/>
              <w:spacing w:after="0"/>
              <w:rPr>
                <w:sz w:val="20"/>
                <w:szCs w:val="20"/>
                <w:color w:val="auto"/>
              </w:rPr>
            </w:pPr>
            <w:r>
              <w:rPr>
                <w:rFonts w:ascii="Arial" w:cs="Arial" w:eastAsia="Arial" w:hAnsi="Arial"/>
                <w:sz w:val="18"/>
                <w:szCs w:val="18"/>
                <w:color w:val="auto"/>
              </w:rPr>
              <w:t>Litigation</w:t>
            </w:r>
          </w:p>
        </w:tc>
        <w:tc>
          <w:tcPr>
            <w:tcW w:w="29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6780" w:type="dxa"/>
            <w:vAlign w:val="bottom"/>
          </w:tcPr>
          <w:p>
            <w:pPr>
              <w:ind w:left="60"/>
              <w:spacing w:after="0"/>
              <w:rPr>
                <w:sz w:val="20"/>
                <w:szCs w:val="20"/>
                <w:color w:val="auto"/>
              </w:rPr>
            </w:pPr>
            <w:r>
              <w:rPr>
                <w:rFonts w:ascii="Arial" w:cs="Arial" w:eastAsia="Arial" w:hAnsi="Arial"/>
                <w:sz w:val="18"/>
                <w:szCs w:val="18"/>
                <w:color w:val="auto"/>
              </w:rPr>
              <w:t>ERISA Plans and Liabilities</w:t>
            </w:r>
          </w:p>
        </w:tc>
        <w:tc>
          <w:tcPr>
            <w:tcW w:w="29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6780" w:type="dxa"/>
            <w:vAlign w:val="bottom"/>
          </w:tcPr>
          <w:p>
            <w:pPr>
              <w:ind w:left="60"/>
              <w:spacing w:after="0"/>
              <w:rPr>
                <w:sz w:val="20"/>
                <w:szCs w:val="20"/>
                <w:color w:val="auto"/>
              </w:rPr>
            </w:pPr>
            <w:r>
              <w:rPr>
                <w:rFonts w:ascii="Arial" w:cs="Arial" w:eastAsia="Arial" w:hAnsi="Arial"/>
                <w:sz w:val="18"/>
                <w:szCs w:val="18"/>
                <w:color w:val="auto"/>
              </w:rPr>
              <w:t>Compliance with Permits, Consents and Law</w:t>
            </w:r>
          </w:p>
        </w:tc>
        <w:tc>
          <w:tcPr>
            <w:tcW w:w="29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6780" w:type="dxa"/>
            <w:vAlign w:val="bottom"/>
          </w:tcPr>
          <w:p>
            <w:pPr>
              <w:ind w:left="60"/>
              <w:spacing w:after="0"/>
              <w:rPr>
                <w:sz w:val="20"/>
                <w:szCs w:val="20"/>
                <w:color w:val="auto"/>
              </w:rPr>
            </w:pPr>
            <w:r>
              <w:rPr>
                <w:rFonts w:ascii="Arial" w:cs="Arial" w:eastAsia="Arial" w:hAnsi="Arial"/>
                <w:sz w:val="18"/>
                <w:szCs w:val="18"/>
                <w:color w:val="auto"/>
              </w:rPr>
              <w:t>Environmental Laws</w:t>
            </w:r>
          </w:p>
        </w:tc>
        <w:tc>
          <w:tcPr>
            <w:tcW w:w="29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6780" w:type="dxa"/>
            <w:vAlign w:val="bottom"/>
          </w:tcPr>
          <w:p>
            <w:pPr>
              <w:ind w:left="60"/>
              <w:spacing w:after="0"/>
              <w:rPr>
                <w:sz w:val="20"/>
                <w:szCs w:val="20"/>
                <w:color w:val="auto"/>
              </w:rPr>
            </w:pPr>
            <w:r>
              <w:rPr>
                <w:rFonts w:ascii="Arial" w:cs="Arial" w:eastAsia="Arial" w:hAnsi="Arial"/>
                <w:sz w:val="18"/>
                <w:szCs w:val="18"/>
                <w:color w:val="auto"/>
              </w:rPr>
              <w:t>US Borrower’s Subsidiaries</w:t>
            </w:r>
          </w:p>
        </w:tc>
        <w:tc>
          <w:tcPr>
            <w:tcW w:w="29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6780" w:type="dxa"/>
            <w:vAlign w:val="bottom"/>
          </w:tcPr>
          <w:p>
            <w:pPr>
              <w:ind w:left="60"/>
              <w:spacing w:after="0"/>
              <w:rPr>
                <w:sz w:val="20"/>
                <w:szCs w:val="20"/>
                <w:color w:val="auto"/>
              </w:rPr>
            </w:pPr>
            <w:r>
              <w:rPr>
                <w:rFonts w:ascii="Arial" w:cs="Arial" w:eastAsia="Arial" w:hAnsi="Arial"/>
                <w:sz w:val="18"/>
                <w:szCs w:val="18"/>
                <w:color w:val="auto"/>
              </w:rPr>
              <w:t>Title to Properties</w:t>
            </w:r>
          </w:p>
        </w:tc>
        <w:tc>
          <w:tcPr>
            <w:tcW w:w="29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5.15.</w:t>
            </w:r>
          </w:p>
        </w:tc>
        <w:tc>
          <w:tcPr>
            <w:tcW w:w="6780" w:type="dxa"/>
            <w:vAlign w:val="bottom"/>
          </w:tcPr>
          <w:p>
            <w:pPr>
              <w:ind w:left="60"/>
              <w:spacing w:after="0"/>
              <w:rPr>
                <w:sz w:val="20"/>
                <w:szCs w:val="20"/>
                <w:color w:val="auto"/>
              </w:rPr>
            </w:pPr>
            <w:r>
              <w:rPr>
                <w:rFonts w:ascii="Arial" w:cs="Arial" w:eastAsia="Arial" w:hAnsi="Arial"/>
                <w:sz w:val="18"/>
                <w:szCs w:val="18"/>
                <w:color w:val="auto"/>
              </w:rPr>
              <w:t>Government Regulation</w:t>
            </w:r>
          </w:p>
        </w:tc>
        <w:tc>
          <w:tcPr>
            <w:tcW w:w="29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5.16.</w:t>
            </w:r>
          </w:p>
        </w:tc>
        <w:tc>
          <w:tcPr>
            <w:tcW w:w="6780" w:type="dxa"/>
            <w:vAlign w:val="bottom"/>
          </w:tcPr>
          <w:p>
            <w:pPr>
              <w:ind w:left="60"/>
              <w:spacing w:after="0"/>
              <w:rPr>
                <w:sz w:val="20"/>
                <w:szCs w:val="20"/>
                <w:color w:val="auto"/>
              </w:rPr>
            </w:pPr>
            <w:r>
              <w:rPr>
                <w:rFonts w:ascii="Arial" w:cs="Arial" w:eastAsia="Arial" w:hAnsi="Arial"/>
                <w:sz w:val="18"/>
                <w:szCs w:val="18"/>
                <w:color w:val="auto"/>
              </w:rPr>
              <w:t>Insider</w:t>
            </w:r>
          </w:p>
        </w:tc>
        <w:tc>
          <w:tcPr>
            <w:tcW w:w="29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5.17.</w:t>
            </w:r>
          </w:p>
        </w:tc>
        <w:tc>
          <w:tcPr>
            <w:tcW w:w="6780" w:type="dxa"/>
            <w:vAlign w:val="bottom"/>
          </w:tcPr>
          <w:p>
            <w:pPr>
              <w:ind w:left="60"/>
              <w:spacing w:after="0"/>
              <w:rPr>
                <w:sz w:val="20"/>
                <w:szCs w:val="20"/>
                <w:color w:val="auto"/>
              </w:rPr>
            </w:pPr>
            <w:r>
              <w:rPr>
                <w:rFonts w:ascii="Arial" w:cs="Arial" w:eastAsia="Arial" w:hAnsi="Arial"/>
                <w:sz w:val="18"/>
                <w:szCs w:val="18"/>
                <w:color w:val="auto"/>
              </w:rPr>
              <w:t>Solvency</w:t>
            </w:r>
          </w:p>
        </w:tc>
        <w:tc>
          <w:tcPr>
            <w:tcW w:w="29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ARTICLE VI. - Affirmative Covenants</w:t>
            </w:r>
          </w:p>
        </w:tc>
        <w:tc>
          <w:tcPr>
            <w:tcW w:w="29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6780" w:type="dxa"/>
            <w:vAlign w:val="bottom"/>
          </w:tcPr>
          <w:p>
            <w:pPr>
              <w:ind w:left="60"/>
              <w:spacing w:after="0"/>
              <w:rPr>
                <w:sz w:val="20"/>
                <w:szCs w:val="20"/>
                <w:color w:val="auto"/>
              </w:rPr>
            </w:pPr>
            <w:r>
              <w:rPr>
                <w:rFonts w:ascii="Arial" w:cs="Arial" w:eastAsia="Arial" w:hAnsi="Arial"/>
                <w:sz w:val="18"/>
                <w:szCs w:val="18"/>
                <w:color w:val="auto"/>
              </w:rPr>
              <w:t>Payment and Performance</w:t>
            </w:r>
          </w:p>
        </w:tc>
        <w:tc>
          <w:tcPr>
            <w:tcW w:w="29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6780" w:type="dxa"/>
            <w:vAlign w:val="bottom"/>
          </w:tcPr>
          <w:p>
            <w:pPr>
              <w:ind w:left="60"/>
              <w:spacing w:after="0"/>
              <w:rPr>
                <w:sz w:val="20"/>
                <w:szCs w:val="20"/>
                <w:color w:val="auto"/>
              </w:rPr>
            </w:pPr>
            <w:r>
              <w:rPr>
                <w:rFonts w:ascii="Arial" w:cs="Arial" w:eastAsia="Arial" w:hAnsi="Arial"/>
                <w:sz w:val="18"/>
                <w:szCs w:val="18"/>
                <w:color w:val="auto"/>
              </w:rPr>
              <w:t>Books, Financial Statements and Reports</w:t>
            </w:r>
          </w:p>
        </w:tc>
        <w:tc>
          <w:tcPr>
            <w:tcW w:w="29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6780" w:type="dxa"/>
            <w:vAlign w:val="bottom"/>
          </w:tcPr>
          <w:p>
            <w:pPr>
              <w:ind w:left="60"/>
              <w:spacing w:after="0"/>
              <w:rPr>
                <w:sz w:val="20"/>
                <w:szCs w:val="20"/>
                <w:color w:val="auto"/>
              </w:rPr>
            </w:pPr>
            <w:r>
              <w:rPr>
                <w:rFonts w:ascii="Arial" w:cs="Arial" w:eastAsia="Arial" w:hAnsi="Arial"/>
                <w:sz w:val="18"/>
                <w:szCs w:val="18"/>
                <w:color w:val="auto"/>
              </w:rPr>
              <w:t>Other Information and Inspections</w:t>
            </w:r>
          </w:p>
        </w:tc>
        <w:tc>
          <w:tcPr>
            <w:tcW w:w="29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6780" w:type="dxa"/>
            <w:vAlign w:val="bottom"/>
          </w:tcPr>
          <w:p>
            <w:pPr>
              <w:ind w:left="60"/>
              <w:spacing w:after="0"/>
              <w:rPr>
                <w:sz w:val="20"/>
                <w:szCs w:val="20"/>
                <w:color w:val="auto"/>
              </w:rPr>
            </w:pPr>
            <w:r>
              <w:rPr>
                <w:rFonts w:ascii="Arial" w:cs="Arial" w:eastAsia="Arial" w:hAnsi="Arial"/>
                <w:sz w:val="18"/>
                <w:szCs w:val="18"/>
                <w:color w:val="auto"/>
              </w:rPr>
              <w:t>Notice of Material Events</w:t>
            </w:r>
          </w:p>
        </w:tc>
        <w:tc>
          <w:tcPr>
            <w:tcW w:w="29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6780" w:type="dxa"/>
            <w:vAlign w:val="bottom"/>
          </w:tcPr>
          <w:p>
            <w:pPr>
              <w:ind w:left="60"/>
              <w:spacing w:after="0"/>
              <w:rPr>
                <w:sz w:val="20"/>
                <w:szCs w:val="20"/>
                <w:color w:val="auto"/>
              </w:rPr>
            </w:pPr>
            <w:r>
              <w:rPr>
                <w:rFonts w:ascii="Arial" w:cs="Arial" w:eastAsia="Arial" w:hAnsi="Arial"/>
                <w:sz w:val="18"/>
                <w:szCs w:val="18"/>
                <w:color w:val="auto"/>
              </w:rPr>
              <w:t>Maintenance of Existence, Qualifications and Assets</w:t>
            </w:r>
          </w:p>
        </w:tc>
        <w:tc>
          <w:tcPr>
            <w:tcW w:w="29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6780" w:type="dxa"/>
            <w:vAlign w:val="bottom"/>
          </w:tcPr>
          <w:p>
            <w:pPr>
              <w:ind w:left="60"/>
              <w:spacing w:after="0"/>
              <w:rPr>
                <w:sz w:val="20"/>
                <w:szCs w:val="20"/>
                <w:color w:val="auto"/>
              </w:rPr>
            </w:pPr>
            <w:r>
              <w:rPr>
                <w:rFonts w:ascii="Arial" w:cs="Arial" w:eastAsia="Arial" w:hAnsi="Arial"/>
                <w:sz w:val="18"/>
                <w:szCs w:val="18"/>
                <w:color w:val="auto"/>
              </w:rPr>
              <w:t>Payment of Taxes, etc</w:t>
            </w:r>
          </w:p>
        </w:tc>
        <w:tc>
          <w:tcPr>
            <w:tcW w:w="29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6.7.</w:t>
            </w:r>
          </w:p>
        </w:tc>
        <w:tc>
          <w:tcPr>
            <w:tcW w:w="6780" w:type="dxa"/>
            <w:vAlign w:val="bottom"/>
          </w:tcPr>
          <w:p>
            <w:pPr>
              <w:ind w:left="60"/>
              <w:spacing w:after="0"/>
              <w:rPr>
                <w:sz w:val="20"/>
                <w:szCs w:val="20"/>
                <w:color w:val="auto"/>
              </w:rPr>
            </w:pPr>
            <w:r>
              <w:rPr>
                <w:rFonts w:ascii="Arial" w:cs="Arial" w:eastAsia="Arial" w:hAnsi="Arial"/>
                <w:sz w:val="18"/>
                <w:szCs w:val="18"/>
                <w:color w:val="auto"/>
              </w:rPr>
              <w:t>Insurance</w:t>
            </w:r>
          </w:p>
        </w:tc>
        <w:tc>
          <w:tcPr>
            <w:tcW w:w="29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6.8.</w:t>
            </w:r>
          </w:p>
        </w:tc>
        <w:tc>
          <w:tcPr>
            <w:tcW w:w="6780" w:type="dxa"/>
            <w:vAlign w:val="bottom"/>
          </w:tcPr>
          <w:p>
            <w:pPr>
              <w:ind w:left="60"/>
              <w:spacing w:after="0"/>
              <w:rPr>
                <w:sz w:val="20"/>
                <w:szCs w:val="20"/>
                <w:color w:val="auto"/>
              </w:rPr>
            </w:pPr>
            <w:r>
              <w:rPr>
                <w:rFonts w:ascii="Arial" w:cs="Arial" w:eastAsia="Arial" w:hAnsi="Arial"/>
                <w:sz w:val="18"/>
                <w:szCs w:val="18"/>
                <w:color w:val="auto"/>
              </w:rPr>
              <w:t>Compliance with Agreements and Law</w:t>
            </w:r>
          </w:p>
        </w:tc>
        <w:tc>
          <w:tcPr>
            <w:tcW w:w="29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6.9.</w:t>
            </w:r>
          </w:p>
        </w:tc>
        <w:tc>
          <w:tcPr>
            <w:tcW w:w="6780" w:type="dxa"/>
            <w:vAlign w:val="bottom"/>
          </w:tcPr>
          <w:p>
            <w:pPr>
              <w:ind w:left="60"/>
              <w:spacing w:after="0"/>
              <w:rPr>
                <w:sz w:val="20"/>
                <w:szCs w:val="20"/>
                <w:color w:val="auto"/>
              </w:rPr>
            </w:pPr>
            <w:r>
              <w:rPr>
                <w:rFonts w:ascii="Arial" w:cs="Arial" w:eastAsia="Arial" w:hAnsi="Arial"/>
                <w:sz w:val="18"/>
                <w:szCs w:val="18"/>
                <w:color w:val="auto"/>
              </w:rPr>
              <w:t>Guaranties of Subsidiaries</w:t>
            </w:r>
          </w:p>
        </w:tc>
        <w:tc>
          <w:tcPr>
            <w:tcW w:w="29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ARTICLE VII. - Negative Covenants</w:t>
            </w:r>
          </w:p>
        </w:tc>
        <w:tc>
          <w:tcPr>
            <w:tcW w:w="29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6780" w:type="dxa"/>
            <w:vAlign w:val="bottom"/>
          </w:tcPr>
          <w:p>
            <w:pPr>
              <w:ind w:left="60"/>
              <w:spacing w:after="0"/>
              <w:rPr>
                <w:sz w:val="20"/>
                <w:szCs w:val="20"/>
                <w:color w:val="auto"/>
              </w:rPr>
            </w:pPr>
            <w:r>
              <w:rPr>
                <w:rFonts w:ascii="Arial" w:cs="Arial" w:eastAsia="Arial" w:hAnsi="Arial"/>
                <w:sz w:val="18"/>
                <w:szCs w:val="18"/>
                <w:color w:val="auto"/>
              </w:rPr>
              <w:t>Subsidiary Indebtedness</w:t>
            </w:r>
          </w:p>
        </w:tc>
        <w:tc>
          <w:tcPr>
            <w:tcW w:w="29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6780" w:type="dxa"/>
            <w:vAlign w:val="bottom"/>
          </w:tcPr>
          <w:p>
            <w:pPr>
              <w:ind w:left="60"/>
              <w:spacing w:after="0"/>
              <w:rPr>
                <w:sz w:val="20"/>
                <w:szCs w:val="20"/>
                <w:color w:val="auto"/>
              </w:rPr>
            </w:pPr>
            <w:r>
              <w:rPr>
                <w:rFonts w:ascii="Arial" w:cs="Arial" w:eastAsia="Arial" w:hAnsi="Arial"/>
                <w:sz w:val="18"/>
                <w:szCs w:val="18"/>
                <w:color w:val="auto"/>
              </w:rPr>
              <w:t>Limitation on Liens</w:t>
            </w:r>
          </w:p>
        </w:tc>
        <w:tc>
          <w:tcPr>
            <w:tcW w:w="29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6780" w:type="dxa"/>
            <w:vAlign w:val="bottom"/>
          </w:tcPr>
          <w:p>
            <w:pPr>
              <w:ind w:left="60"/>
              <w:spacing w:after="0"/>
              <w:rPr>
                <w:sz w:val="20"/>
                <w:szCs w:val="20"/>
                <w:color w:val="auto"/>
              </w:rPr>
            </w:pPr>
            <w:r>
              <w:rPr>
                <w:rFonts w:ascii="Arial" w:cs="Arial" w:eastAsia="Arial" w:hAnsi="Arial"/>
                <w:sz w:val="18"/>
                <w:szCs w:val="18"/>
                <w:color w:val="auto"/>
              </w:rPr>
              <w:t>Limitation on Mergers</w:t>
            </w:r>
          </w:p>
        </w:tc>
        <w:tc>
          <w:tcPr>
            <w:tcW w:w="29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6780" w:type="dxa"/>
            <w:vAlign w:val="bottom"/>
          </w:tcPr>
          <w:p>
            <w:pPr>
              <w:ind w:left="60"/>
              <w:spacing w:after="0"/>
              <w:rPr>
                <w:sz w:val="20"/>
                <w:szCs w:val="20"/>
                <w:color w:val="auto"/>
              </w:rPr>
            </w:pPr>
            <w:r>
              <w:rPr>
                <w:rFonts w:ascii="Arial" w:cs="Arial" w:eastAsia="Arial" w:hAnsi="Arial"/>
                <w:sz w:val="18"/>
                <w:szCs w:val="18"/>
                <w:color w:val="auto"/>
              </w:rPr>
              <w:t>Limitation on New Businesses</w:t>
            </w:r>
          </w:p>
        </w:tc>
        <w:tc>
          <w:tcPr>
            <w:tcW w:w="29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7.5.</w:t>
            </w:r>
          </w:p>
        </w:tc>
        <w:tc>
          <w:tcPr>
            <w:tcW w:w="6780" w:type="dxa"/>
            <w:vAlign w:val="bottom"/>
          </w:tcPr>
          <w:p>
            <w:pPr>
              <w:ind w:left="60"/>
              <w:spacing w:after="0"/>
              <w:rPr>
                <w:sz w:val="20"/>
                <w:szCs w:val="20"/>
                <w:color w:val="auto"/>
              </w:rPr>
            </w:pPr>
            <w:r>
              <w:rPr>
                <w:rFonts w:ascii="Arial" w:cs="Arial" w:eastAsia="Arial" w:hAnsi="Arial"/>
                <w:sz w:val="18"/>
                <w:szCs w:val="18"/>
                <w:color w:val="auto"/>
              </w:rPr>
              <w:t>Transactions with Affiliates</w:t>
            </w:r>
          </w:p>
        </w:tc>
        <w:tc>
          <w:tcPr>
            <w:tcW w:w="29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7.6.</w:t>
            </w:r>
          </w:p>
        </w:tc>
        <w:tc>
          <w:tcPr>
            <w:tcW w:w="6780" w:type="dxa"/>
            <w:vAlign w:val="bottom"/>
          </w:tcPr>
          <w:p>
            <w:pPr>
              <w:ind w:left="60"/>
              <w:spacing w:after="0"/>
              <w:rPr>
                <w:sz w:val="20"/>
                <w:szCs w:val="20"/>
                <w:color w:val="auto"/>
              </w:rPr>
            </w:pPr>
            <w:r>
              <w:rPr>
                <w:rFonts w:ascii="Arial" w:cs="Arial" w:eastAsia="Arial" w:hAnsi="Arial"/>
                <w:sz w:val="18"/>
                <w:szCs w:val="18"/>
                <w:color w:val="auto"/>
              </w:rPr>
              <w:t>Limitation on Distributions</w:t>
            </w:r>
          </w:p>
        </w:tc>
        <w:tc>
          <w:tcPr>
            <w:tcW w:w="29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7.7.</w:t>
            </w:r>
          </w:p>
        </w:tc>
        <w:tc>
          <w:tcPr>
            <w:tcW w:w="6780" w:type="dxa"/>
            <w:vAlign w:val="bottom"/>
          </w:tcPr>
          <w:p>
            <w:pPr>
              <w:ind w:left="60"/>
              <w:spacing w:after="0"/>
              <w:rPr>
                <w:sz w:val="20"/>
                <w:szCs w:val="20"/>
                <w:color w:val="auto"/>
              </w:rPr>
            </w:pPr>
            <w:r>
              <w:rPr>
                <w:rFonts w:ascii="Arial" w:cs="Arial" w:eastAsia="Arial" w:hAnsi="Arial"/>
                <w:sz w:val="18"/>
                <w:szCs w:val="18"/>
                <w:color w:val="auto"/>
              </w:rPr>
              <w:t>Restricted Contracts</w:t>
            </w:r>
          </w:p>
        </w:tc>
        <w:tc>
          <w:tcPr>
            <w:tcW w:w="29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7.8.</w:t>
            </w:r>
          </w:p>
        </w:tc>
        <w:tc>
          <w:tcPr>
            <w:tcW w:w="6780" w:type="dxa"/>
            <w:vAlign w:val="bottom"/>
          </w:tcPr>
          <w:p>
            <w:pPr>
              <w:ind w:left="60"/>
              <w:spacing w:after="0"/>
              <w:rPr>
                <w:sz w:val="20"/>
                <w:szCs w:val="20"/>
                <w:color w:val="auto"/>
              </w:rPr>
            </w:pPr>
            <w:r>
              <w:rPr>
                <w:rFonts w:ascii="Arial" w:cs="Arial" w:eastAsia="Arial" w:hAnsi="Arial"/>
                <w:sz w:val="18"/>
                <w:szCs w:val="18"/>
                <w:color w:val="auto"/>
              </w:rPr>
              <w:t>Debt Coverage Ratio</w:t>
            </w:r>
          </w:p>
        </w:tc>
        <w:tc>
          <w:tcPr>
            <w:tcW w:w="29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7.9.</w:t>
            </w:r>
          </w:p>
        </w:tc>
        <w:tc>
          <w:tcPr>
            <w:tcW w:w="6780" w:type="dxa"/>
            <w:vAlign w:val="bottom"/>
          </w:tcPr>
          <w:p>
            <w:pPr>
              <w:ind w:left="60"/>
              <w:spacing w:after="0"/>
              <w:rPr>
                <w:sz w:val="20"/>
                <w:szCs w:val="20"/>
                <w:color w:val="auto"/>
              </w:rPr>
            </w:pPr>
            <w:r>
              <w:rPr>
                <w:rFonts w:ascii="Arial" w:cs="Arial" w:eastAsia="Arial" w:hAnsi="Arial"/>
                <w:sz w:val="18"/>
                <w:szCs w:val="18"/>
                <w:color w:val="auto"/>
              </w:rPr>
              <w:t>[Intentionally Deleted]</w:t>
            </w:r>
          </w:p>
        </w:tc>
        <w:tc>
          <w:tcPr>
            <w:tcW w:w="29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6780" w:type="dxa"/>
            <w:vAlign w:val="bottom"/>
          </w:tcPr>
          <w:p>
            <w:pPr>
              <w:ind w:left="60"/>
              <w:spacing w:after="0"/>
              <w:rPr>
                <w:sz w:val="20"/>
                <w:szCs w:val="20"/>
                <w:color w:val="auto"/>
              </w:rPr>
            </w:pPr>
            <w:r>
              <w:rPr>
                <w:rFonts w:ascii="Arial" w:cs="Arial" w:eastAsia="Arial" w:hAnsi="Arial"/>
                <w:sz w:val="18"/>
                <w:szCs w:val="18"/>
                <w:color w:val="auto"/>
              </w:rPr>
              <w:t>Unrestricted Subsidiaries</w:t>
            </w:r>
          </w:p>
        </w:tc>
        <w:tc>
          <w:tcPr>
            <w:tcW w:w="29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7.11.</w:t>
            </w:r>
          </w:p>
        </w:tc>
        <w:tc>
          <w:tcPr>
            <w:tcW w:w="6780" w:type="dxa"/>
            <w:vAlign w:val="bottom"/>
          </w:tcPr>
          <w:p>
            <w:pPr>
              <w:ind w:left="60"/>
              <w:spacing w:after="0"/>
              <w:rPr>
                <w:sz w:val="20"/>
                <w:szCs w:val="20"/>
                <w:color w:val="auto"/>
              </w:rPr>
            </w:pPr>
            <w:r>
              <w:rPr>
                <w:rFonts w:ascii="Arial" w:cs="Arial" w:eastAsia="Arial" w:hAnsi="Arial"/>
                <w:sz w:val="18"/>
                <w:szCs w:val="18"/>
                <w:color w:val="auto"/>
              </w:rPr>
              <w:t>No Negative Pledges</w:t>
            </w:r>
          </w:p>
        </w:tc>
        <w:tc>
          <w:tcPr>
            <w:tcW w:w="29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ARTICLE VIII. - Events of Default and Remedies</w:t>
            </w:r>
          </w:p>
        </w:tc>
        <w:tc>
          <w:tcPr>
            <w:tcW w:w="29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6780" w:type="dxa"/>
            <w:vAlign w:val="bottom"/>
          </w:tcPr>
          <w:p>
            <w:pPr>
              <w:ind w:left="60"/>
              <w:spacing w:after="0"/>
              <w:rPr>
                <w:sz w:val="20"/>
                <w:szCs w:val="20"/>
                <w:color w:val="auto"/>
              </w:rPr>
            </w:pPr>
            <w:r>
              <w:rPr>
                <w:rFonts w:ascii="Arial" w:cs="Arial" w:eastAsia="Arial" w:hAnsi="Arial"/>
                <w:sz w:val="18"/>
                <w:szCs w:val="18"/>
                <w:color w:val="auto"/>
              </w:rPr>
              <w:t>Events of Default</w:t>
            </w:r>
          </w:p>
        </w:tc>
        <w:tc>
          <w:tcPr>
            <w:tcW w:w="29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6780" w:type="dxa"/>
            <w:vAlign w:val="bottom"/>
          </w:tcPr>
          <w:p>
            <w:pPr>
              <w:ind w:left="60"/>
              <w:spacing w:after="0"/>
              <w:rPr>
                <w:sz w:val="20"/>
                <w:szCs w:val="20"/>
                <w:color w:val="auto"/>
              </w:rPr>
            </w:pPr>
            <w:r>
              <w:rPr>
                <w:rFonts w:ascii="Arial" w:cs="Arial" w:eastAsia="Arial" w:hAnsi="Arial"/>
                <w:sz w:val="18"/>
                <w:szCs w:val="18"/>
                <w:color w:val="auto"/>
              </w:rPr>
              <w:t>Remedies</w:t>
            </w:r>
          </w:p>
        </w:tc>
        <w:tc>
          <w:tcPr>
            <w:tcW w:w="29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2"/>
        </w:trPr>
        <w:tc>
          <w:tcPr>
            <w:tcW w:w="1780" w:type="dxa"/>
            <w:vAlign w:val="bottom"/>
          </w:tcPr>
          <w:p>
            <w:pPr>
              <w:spacing w:after="0"/>
              <w:rPr>
                <w:sz w:val="20"/>
                <w:szCs w:val="20"/>
                <w:color w:val="auto"/>
              </w:rPr>
            </w:pPr>
            <w:r>
              <w:rPr>
                <w:rFonts w:ascii="Arial" w:cs="Arial" w:eastAsia="Arial" w:hAnsi="Arial"/>
                <w:sz w:val="18"/>
                <w:szCs w:val="18"/>
                <w:color w:val="auto"/>
                <w:w w:val="98"/>
              </w:rPr>
              <w:t>ARTICLE IX. – Agents</w:t>
            </w:r>
          </w:p>
        </w:tc>
        <w:tc>
          <w:tcPr>
            <w:tcW w:w="678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2"/>
        </w:trPr>
        <w:tc>
          <w:tcPr>
            <w:tcW w:w="1780" w:type="dxa"/>
            <w:vAlign w:val="bottom"/>
          </w:tcPr>
          <w:p>
            <w:pPr>
              <w:spacing w:after="0"/>
              <w:rPr>
                <w:sz w:val="24"/>
                <w:szCs w:val="24"/>
                <w:color w:val="auto"/>
              </w:rPr>
            </w:pPr>
          </w:p>
        </w:tc>
        <w:tc>
          <w:tcPr>
            <w:tcW w:w="6780" w:type="dxa"/>
            <w:vAlign w:val="bottom"/>
          </w:tcPr>
          <w:p>
            <w:pPr>
              <w:ind w:left="3880"/>
              <w:spacing w:after="0"/>
              <w:rPr>
                <w:sz w:val="20"/>
                <w:szCs w:val="20"/>
                <w:color w:val="auto"/>
              </w:rPr>
            </w:pPr>
            <w:r>
              <w:rPr>
                <w:rFonts w:ascii="Arial" w:cs="Arial" w:eastAsia="Arial" w:hAnsi="Arial"/>
                <w:sz w:val="18"/>
                <w:szCs w:val="18"/>
                <w:color w:val="auto"/>
              </w:rPr>
              <w:t>ii</w:t>
            </w:r>
          </w:p>
        </w:tc>
        <w:tc>
          <w:tcPr>
            <w:tcW w:w="2900" w:type="dxa"/>
            <w:vAlign w:val="bottom"/>
          </w:tcPr>
          <w:p>
            <w:pPr>
              <w:spacing w:after="0"/>
              <w:rPr>
                <w:sz w:val="24"/>
                <w:szCs w:val="24"/>
                <w:color w:val="auto"/>
              </w:rPr>
            </w:pPr>
          </w:p>
        </w:tc>
      </w:tr>
      <w:tr>
        <w:trPr>
          <w:trHeight w:val="132"/>
        </w:trPr>
        <w:tc>
          <w:tcPr>
            <w:tcW w:w="1780" w:type="dxa"/>
            <w:vAlign w:val="bottom"/>
            <w:tcBorders>
              <w:bottom w:val="single" w:sz="8" w:color="010101"/>
            </w:tcBorders>
          </w:tcPr>
          <w:p>
            <w:pPr>
              <w:spacing w:after="0"/>
              <w:rPr>
                <w:sz w:val="11"/>
                <w:szCs w:val="11"/>
                <w:color w:val="auto"/>
              </w:rPr>
            </w:pPr>
          </w:p>
        </w:tc>
        <w:tc>
          <w:tcPr>
            <w:tcW w:w="6780" w:type="dxa"/>
            <w:vAlign w:val="bottom"/>
            <w:tcBorders>
              <w:bottom w:val="single" w:sz="8" w:color="010101"/>
            </w:tcBorders>
          </w:tcPr>
          <w:p>
            <w:pPr>
              <w:spacing w:after="0"/>
              <w:rPr>
                <w:sz w:val="11"/>
                <w:szCs w:val="11"/>
                <w:color w:val="auto"/>
              </w:rPr>
            </w:pPr>
          </w:p>
        </w:tc>
        <w:tc>
          <w:tcPr>
            <w:tcW w:w="29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-7207250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-7207250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0" w:gutter="0" w:footer="0" w:header="0"/>
        </w:sectPr>
      </w:pPr>
    </w:p>
    <w:bookmarkStart w:id="5" w:name="page6"/>
    <w:bookmarkEnd w:id="5"/>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7640" w:type="dxa"/>
            <w:vAlign w:val="bottom"/>
          </w:tcPr>
          <w:p>
            <w:pPr>
              <w:ind w:left="220"/>
              <w:spacing w:after="0"/>
              <w:rPr>
                <w:sz w:val="20"/>
                <w:szCs w:val="20"/>
                <w:color w:val="auto"/>
              </w:rPr>
            </w:pPr>
            <w:r>
              <w:rPr>
                <w:rFonts w:ascii="Arial" w:cs="Arial" w:eastAsia="Arial" w:hAnsi="Arial"/>
                <w:sz w:val="18"/>
                <w:szCs w:val="18"/>
                <w:color w:val="auto"/>
              </w:rPr>
              <w:t>Appointment and Authority</w:t>
            </w:r>
          </w:p>
        </w:tc>
        <w:tc>
          <w:tcPr>
            <w:tcW w:w="21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9.2.</w:t>
            </w:r>
          </w:p>
        </w:tc>
        <w:tc>
          <w:tcPr>
            <w:tcW w:w="7640" w:type="dxa"/>
            <w:vAlign w:val="bottom"/>
          </w:tcPr>
          <w:p>
            <w:pPr>
              <w:ind w:left="220"/>
              <w:spacing w:after="0"/>
              <w:rPr>
                <w:sz w:val="20"/>
                <w:szCs w:val="20"/>
                <w:color w:val="auto"/>
              </w:rPr>
            </w:pPr>
            <w:r>
              <w:rPr>
                <w:rFonts w:ascii="Arial" w:cs="Arial" w:eastAsia="Arial" w:hAnsi="Arial"/>
                <w:sz w:val="18"/>
                <w:szCs w:val="18"/>
                <w:color w:val="auto"/>
              </w:rPr>
              <w:t>Rights as a Lender</w:t>
            </w:r>
          </w:p>
        </w:tc>
        <w:tc>
          <w:tcPr>
            <w:tcW w:w="21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9.3.</w:t>
            </w:r>
          </w:p>
        </w:tc>
        <w:tc>
          <w:tcPr>
            <w:tcW w:w="7640" w:type="dxa"/>
            <w:vAlign w:val="bottom"/>
          </w:tcPr>
          <w:p>
            <w:pPr>
              <w:ind w:left="220"/>
              <w:spacing w:after="0"/>
              <w:rPr>
                <w:sz w:val="20"/>
                <w:szCs w:val="20"/>
                <w:color w:val="auto"/>
              </w:rPr>
            </w:pPr>
            <w:r>
              <w:rPr>
                <w:rFonts w:ascii="Arial" w:cs="Arial" w:eastAsia="Arial" w:hAnsi="Arial"/>
                <w:sz w:val="18"/>
                <w:szCs w:val="18"/>
                <w:color w:val="auto"/>
              </w:rPr>
              <w:t>Exculpatory Provisions</w:t>
            </w:r>
          </w:p>
        </w:tc>
        <w:tc>
          <w:tcPr>
            <w:tcW w:w="21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9.4.</w:t>
            </w:r>
          </w:p>
        </w:tc>
        <w:tc>
          <w:tcPr>
            <w:tcW w:w="7640" w:type="dxa"/>
            <w:vAlign w:val="bottom"/>
          </w:tcPr>
          <w:p>
            <w:pPr>
              <w:ind w:left="220"/>
              <w:spacing w:after="0"/>
              <w:rPr>
                <w:sz w:val="20"/>
                <w:szCs w:val="20"/>
                <w:color w:val="auto"/>
              </w:rPr>
            </w:pPr>
            <w:r>
              <w:rPr>
                <w:rFonts w:ascii="Arial" w:cs="Arial" w:eastAsia="Arial" w:hAnsi="Arial"/>
                <w:sz w:val="18"/>
                <w:szCs w:val="18"/>
                <w:color w:val="auto"/>
              </w:rPr>
              <w:t>Reliance by Agents</w:t>
            </w:r>
          </w:p>
        </w:tc>
        <w:tc>
          <w:tcPr>
            <w:tcW w:w="21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9.5.</w:t>
            </w:r>
          </w:p>
        </w:tc>
        <w:tc>
          <w:tcPr>
            <w:tcW w:w="7640" w:type="dxa"/>
            <w:vAlign w:val="bottom"/>
          </w:tcPr>
          <w:p>
            <w:pPr>
              <w:ind w:left="220"/>
              <w:spacing w:after="0"/>
              <w:rPr>
                <w:sz w:val="20"/>
                <w:szCs w:val="20"/>
                <w:color w:val="auto"/>
              </w:rPr>
            </w:pPr>
            <w:r>
              <w:rPr>
                <w:rFonts w:ascii="Arial" w:cs="Arial" w:eastAsia="Arial" w:hAnsi="Arial"/>
                <w:sz w:val="18"/>
                <w:szCs w:val="18"/>
                <w:color w:val="auto"/>
              </w:rPr>
              <w:t>Delegation of Duties</w:t>
            </w:r>
          </w:p>
        </w:tc>
        <w:tc>
          <w:tcPr>
            <w:tcW w:w="21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9.6.</w:t>
            </w:r>
          </w:p>
        </w:tc>
        <w:tc>
          <w:tcPr>
            <w:tcW w:w="7640" w:type="dxa"/>
            <w:vAlign w:val="bottom"/>
          </w:tcPr>
          <w:p>
            <w:pPr>
              <w:ind w:left="220"/>
              <w:spacing w:after="0"/>
              <w:rPr>
                <w:sz w:val="20"/>
                <w:szCs w:val="20"/>
                <w:color w:val="auto"/>
              </w:rPr>
            </w:pPr>
            <w:r>
              <w:rPr>
                <w:rFonts w:ascii="Arial" w:cs="Arial" w:eastAsia="Arial" w:hAnsi="Arial"/>
                <w:sz w:val="18"/>
                <w:szCs w:val="18"/>
                <w:color w:val="auto"/>
              </w:rPr>
              <w:t>Resignation of Agent</w:t>
            </w:r>
          </w:p>
        </w:tc>
        <w:tc>
          <w:tcPr>
            <w:tcW w:w="21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9.7.</w:t>
            </w:r>
          </w:p>
        </w:tc>
        <w:tc>
          <w:tcPr>
            <w:tcW w:w="7640" w:type="dxa"/>
            <w:vAlign w:val="bottom"/>
          </w:tcPr>
          <w:p>
            <w:pPr>
              <w:ind w:left="220"/>
              <w:spacing w:after="0"/>
              <w:rPr>
                <w:sz w:val="20"/>
                <w:szCs w:val="20"/>
                <w:color w:val="auto"/>
              </w:rPr>
            </w:pPr>
            <w:r>
              <w:rPr>
                <w:rFonts w:ascii="Arial" w:cs="Arial" w:eastAsia="Arial" w:hAnsi="Arial"/>
                <w:sz w:val="18"/>
                <w:szCs w:val="18"/>
                <w:color w:val="auto"/>
              </w:rPr>
              <w:t>Non-Reliance on Agents and Other Lenders</w:t>
            </w:r>
          </w:p>
        </w:tc>
        <w:tc>
          <w:tcPr>
            <w:tcW w:w="21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9.8.</w:t>
            </w:r>
          </w:p>
        </w:tc>
        <w:tc>
          <w:tcPr>
            <w:tcW w:w="7640" w:type="dxa"/>
            <w:vAlign w:val="bottom"/>
          </w:tcPr>
          <w:p>
            <w:pPr>
              <w:ind w:left="220"/>
              <w:spacing w:after="0"/>
              <w:rPr>
                <w:sz w:val="20"/>
                <w:szCs w:val="20"/>
                <w:color w:val="auto"/>
              </w:rPr>
            </w:pPr>
            <w:r>
              <w:rPr>
                <w:rFonts w:ascii="Arial" w:cs="Arial" w:eastAsia="Arial" w:hAnsi="Arial"/>
                <w:sz w:val="18"/>
                <w:szCs w:val="18"/>
                <w:color w:val="auto"/>
              </w:rPr>
              <w:t>No Other Duties, Etc</w:t>
            </w:r>
          </w:p>
        </w:tc>
        <w:tc>
          <w:tcPr>
            <w:tcW w:w="21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9.9.</w:t>
            </w:r>
          </w:p>
        </w:tc>
        <w:tc>
          <w:tcPr>
            <w:tcW w:w="7640" w:type="dxa"/>
            <w:vAlign w:val="bottom"/>
          </w:tcPr>
          <w:p>
            <w:pPr>
              <w:ind w:left="220"/>
              <w:spacing w:after="0"/>
              <w:rPr>
                <w:sz w:val="20"/>
                <w:szCs w:val="20"/>
                <w:color w:val="auto"/>
              </w:rPr>
            </w:pPr>
            <w:r>
              <w:rPr>
                <w:rFonts w:ascii="Arial" w:cs="Arial" w:eastAsia="Arial" w:hAnsi="Arial"/>
                <w:sz w:val="18"/>
                <w:szCs w:val="18"/>
                <w:color w:val="auto"/>
              </w:rPr>
              <w:t>Guaranty Matters</w:t>
            </w:r>
          </w:p>
        </w:tc>
        <w:tc>
          <w:tcPr>
            <w:tcW w:w="21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9.10.</w:t>
            </w:r>
          </w:p>
        </w:tc>
        <w:tc>
          <w:tcPr>
            <w:tcW w:w="7640" w:type="dxa"/>
            <w:vAlign w:val="bottom"/>
          </w:tcPr>
          <w:p>
            <w:pPr>
              <w:ind w:left="220"/>
              <w:spacing w:after="0"/>
              <w:rPr>
                <w:sz w:val="20"/>
                <w:szCs w:val="20"/>
                <w:color w:val="auto"/>
              </w:rPr>
            </w:pPr>
            <w:r>
              <w:rPr>
                <w:rFonts w:ascii="Arial" w:cs="Arial" w:eastAsia="Arial" w:hAnsi="Arial"/>
                <w:sz w:val="18"/>
                <w:szCs w:val="18"/>
                <w:color w:val="auto"/>
              </w:rPr>
              <w:t>Indemnification</w:t>
            </w:r>
          </w:p>
        </w:tc>
        <w:tc>
          <w:tcPr>
            <w:tcW w:w="21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9.11.</w:t>
            </w:r>
          </w:p>
        </w:tc>
        <w:tc>
          <w:tcPr>
            <w:tcW w:w="7640" w:type="dxa"/>
            <w:vAlign w:val="bottom"/>
          </w:tcPr>
          <w:p>
            <w:pPr>
              <w:ind w:left="220"/>
              <w:spacing w:after="0"/>
              <w:rPr>
                <w:sz w:val="20"/>
                <w:szCs w:val="20"/>
                <w:color w:val="auto"/>
              </w:rPr>
            </w:pPr>
            <w:r>
              <w:rPr>
                <w:rFonts w:ascii="Arial" w:cs="Arial" w:eastAsia="Arial" w:hAnsi="Arial"/>
                <w:sz w:val="18"/>
                <w:szCs w:val="18"/>
                <w:color w:val="auto"/>
              </w:rPr>
              <w:t>Sharing of Set-Offs and Other Payments</w:t>
            </w:r>
          </w:p>
        </w:tc>
        <w:tc>
          <w:tcPr>
            <w:tcW w:w="21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rPr>
              <w:t>Section 9.12.</w:t>
            </w:r>
          </w:p>
        </w:tc>
        <w:tc>
          <w:tcPr>
            <w:tcW w:w="764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21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18"/>
        </w:trPr>
        <w:tc>
          <w:tcPr>
            <w:tcW w:w="9260" w:type="dxa"/>
            <w:vAlign w:val="bottom"/>
            <w:gridSpan w:val="2"/>
          </w:tcPr>
          <w:p>
            <w:pPr>
              <w:spacing w:after="0"/>
              <w:rPr>
                <w:sz w:val="20"/>
                <w:szCs w:val="20"/>
                <w:color w:val="auto"/>
              </w:rPr>
            </w:pPr>
            <w:r>
              <w:rPr>
                <w:rFonts w:ascii="Arial" w:cs="Arial" w:eastAsia="Arial" w:hAnsi="Arial"/>
                <w:sz w:val="18"/>
                <w:szCs w:val="18"/>
                <w:color w:val="auto"/>
              </w:rPr>
              <w:t>ARTICLE X. – Miscellaneous</w:t>
            </w:r>
          </w:p>
        </w:tc>
        <w:tc>
          <w:tcPr>
            <w:tcW w:w="21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7640" w:type="dxa"/>
            <w:vAlign w:val="bottom"/>
          </w:tcPr>
          <w:p>
            <w:pPr>
              <w:ind w:left="220"/>
              <w:spacing w:after="0"/>
              <w:rPr>
                <w:sz w:val="20"/>
                <w:szCs w:val="20"/>
                <w:color w:val="auto"/>
              </w:rPr>
            </w:pPr>
            <w:r>
              <w:rPr>
                <w:rFonts w:ascii="Arial" w:cs="Arial" w:eastAsia="Arial" w:hAnsi="Arial"/>
                <w:sz w:val="18"/>
                <w:szCs w:val="18"/>
                <w:color w:val="auto"/>
              </w:rPr>
              <w:t>Waivers and Amendments; Acknowledgments</w:t>
            </w:r>
          </w:p>
        </w:tc>
        <w:tc>
          <w:tcPr>
            <w:tcW w:w="21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7640" w:type="dxa"/>
            <w:vAlign w:val="bottom"/>
          </w:tcPr>
          <w:p>
            <w:pPr>
              <w:ind w:left="220"/>
              <w:spacing w:after="0"/>
              <w:rPr>
                <w:sz w:val="20"/>
                <w:szCs w:val="20"/>
                <w:color w:val="auto"/>
              </w:rPr>
            </w:pPr>
            <w:r>
              <w:rPr>
                <w:rFonts w:ascii="Arial" w:cs="Arial" w:eastAsia="Arial" w:hAnsi="Arial"/>
                <w:sz w:val="18"/>
                <w:szCs w:val="18"/>
                <w:color w:val="auto"/>
              </w:rPr>
              <w:t>Survival of Representations, Warranties and Agreements; Cumulative Nature</w:t>
            </w:r>
          </w:p>
        </w:tc>
        <w:tc>
          <w:tcPr>
            <w:tcW w:w="21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7640" w:type="dxa"/>
            <w:vAlign w:val="bottom"/>
          </w:tcPr>
          <w:p>
            <w:pPr>
              <w:ind w:left="220"/>
              <w:spacing w:after="0"/>
              <w:rPr>
                <w:sz w:val="20"/>
                <w:szCs w:val="20"/>
                <w:color w:val="auto"/>
              </w:rPr>
            </w:pPr>
            <w:r>
              <w:rPr>
                <w:rFonts w:ascii="Arial" w:cs="Arial" w:eastAsia="Arial" w:hAnsi="Arial"/>
                <w:sz w:val="18"/>
                <w:szCs w:val="18"/>
                <w:color w:val="auto"/>
              </w:rPr>
              <w:t>Notices; Effectiveness; Electronic Communication</w:t>
            </w:r>
          </w:p>
        </w:tc>
        <w:tc>
          <w:tcPr>
            <w:tcW w:w="21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7640" w:type="dxa"/>
            <w:vAlign w:val="bottom"/>
          </w:tcPr>
          <w:p>
            <w:pPr>
              <w:ind w:left="220"/>
              <w:spacing w:after="0"/>
              <w:rPr>
                <w:sz w:val="20"/>
                <w:szCs w:val="20"/>
                <w:color w:val="auto"/>
              </w:rPr>
            </w:pPr>
            <w:r>
              <w:rPr>
                <w:rFonts w:ascii="Arial" w:cs="Arial" w:eastAsia="Arial" w:hAnsi="Arial"/>
                <w:sz w:val="18"/>
                <w:szCs w:val="18"/>
                <w:color w:val="auto"/>
              </w:rPr>
              <w:t>Expenses; Indemnity; Damage Waiver</w:t>
            </w:r>
          </w:p>
        </w:tc>
        <w:tc>
          <w:tcPr>
            <w:tcW w:w="21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7640" w:type="dxa"/>
            <w:vAlign w:val="bottom"/>
          </w:tcPr>
          <w:p>
            <w:pPr>
              <w:ind w:left="220"/>
              <w:spacing w:after="0"/>
              <w:rPr>
                <w:sz w:val="20"/>
                <w:szCs w:val="20"/>
                <w:color w:val="auto"/>
              </w:rPr>
            </w:pPr>
            <w:r>
              <w:rPr>
                <w:rFonts w:ascii="Arial" w:cs="Arial" w:eastAsia="Arial" w:hAnsi="Arial"/>
                <w:sz w:val="18"/>
                <w:szCs w:val="18"/>
                <w:color w:val="auto"/>
              </w:rPr>
              <w:t>Successors and Assigns</w:t>
            </w:r>
          </w:p>
        </w:tc>
        <w:tc>
          <w:tcPr>
            <w:tcW w:w="21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7640" w:type="dxa"/>
            <w:vAlign w:val="bottom"/>
          </w:tcPr>
          <w:p>
            <w:pPr>
              <w:ind w:left="220"/>
              <w:spacing w:after="0"/>
              <w:rPr>
                <w:sz w:val="20"/>
                <w:szCs w:val="20"/>
                <w:color w:val="auto"/>
              </w:rPr>
            </w:pPr>
            <w:r>
              <w:rPr>
                <w:rFonts w:ascii="Arial" w:cs="Arial" w:eastAsia="Arial" w:hAnsi="Arial"/>
                <w:sz w:val="18"/>
                <w:szCs w:val="18"/>
                <w:color w:val="auto"/>
              </w:rPr>
              <w:t>Treatment of Certain Information; Confidentiality</w:t>
            </w:r>
          </w:p>
        </w:tc>
        <w:tc>
          <w:tcPr>
            <w:tcW w:w="21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7640" w:type="dxa"/>
            <w:vAlign w:val="bottom"/>
          </w:tcPr>
          <w:p>
            <w:pPr>
              <w:ind w:left="220"/>
              <w:spacing w:after="0"/>
              <w:rPr>
                <w:sz w:val="20"/>
                <w:szCs w:val="20"/>
                <w:color w:val="auto"/>
              </w:rPr>
            </w:pPr>
            <w:r>
              <w:rPr>
                <w:rFonts w:ascii="Arial" w:cs="Arial" w:eastAsia="Arial" w:hAnsi="Arial"/>
                <w:sz w:val="18"/>
                <w:szCs w:val="18"/>
                <w:color w:val="auto"/>
              </w:rPr>
              <w:t>Governing Law; Submission to Process</w:t>
            </w:r>
          </w:p>
        </w:tc>
        <w:tc>
          <w:tcPr>
            <w:tcW w:w="21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10.8.</w:t>
            </w:r>
          </w:p>
        </w:tc>
        <w:tc>
          <w:tcPr>
            <w:tcW w:w="7640" w:type="dxa"/>
            <w:vAlign w:val="bottom"/>
          </w:tcPr>
          <w:p>
            <w:pPr>
              <w:ind w:left="220"/>
              <w:spacing w:after="0"/>
              <w:rPr>
                <w:sz w:val="20"/>
                <w:szCs w:val="20"/>
                <w:color w:val="auto"/>
              </w:rPr>
            </w:pPr>
            <w:r>
              <w:rPr>
                <w:rFonts w:ascii="Arial" w:cs="Arial" w:eastAsia="Arial" w:hAnsi="Arial"/>
                <w:sz w:val="18"/>
                <w:szCs w:val="18"/>
                <w:color w:val="auto"/>
              </w:rPr>
              <w:t>Waiver of Judgment Interest Act (Alberta)</w:t>
            </w:r>
          </w:p>
        </w:tc>
        <w:tc>
          <w:tcPr>
            <w:tcW w:w="21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10.9.</w:t>
            </w:r>
          </w:p>
        </w:tc>
        <w:tc>
          <w:tcPr>
            <w:tcW w:w="7640" w:type="dxa"/>
            <w:vAlign w:val="bottom"/>
          </w:tcPr>
          <w:p>
            <w:pPr>
              <w:ind w:left="220"/>
              <w:spacing w:after="0"/>
              <w:rPr>
                <w:sz w:val="20"/>
                <w:szCs w:val="20"/>
                <w:color w:val="auto"/>
              </w:rPr>
            </w:pPr>
            <w:r>
              <w:rPr>
                <w:rFonts w:ascii="Arial" w:cs="Arial" w:eastAsia="Arial" w:hAnsi="Arial"/>
                <w:sz w:val="18"/>
                <w:szCs w:val="18"/>
                <w:color w:val="auto"/>
              </w:rPr>
              <w:t>Deemed Reinvestment Not Applicable</w:t>
            </w:r>
          </w:p>
        </w:tc>
        <w:tc>
          <w:tcPr>
            <w:tcW w:w="21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10.10.</w:t>
            </w:r>
          </w:p>
        </w:tc>
        <w:tc>
          <w:tcPr>
            <w:tcW w:w="7640" w:type="dxa"/>
            <w:vAlign w:val="bottom"/>
          </w:tcPr>
          <w:p>
            <w:pPr>
              <w:ind w:left="220"/>
              <w:spacing w:after="0"/>
              <w:rPr>
                <w:sz w:val="20"/>
                <w:szCs w:val="20"/>
                <w:color w:val="auto"/>
              </w:rPr>
            </w:pPr>
            <w:r>
              <w:rPr>
                <w:rFonts w:ascii="Arial" w:cs="Arial" w:eastAsia="Arial" w:hAnsi="Arial"/>
                <w:sz w:val="18"/>
                <w:szCs w:val="18"/>
                <w:color w:val="auto"/>
              </w:rPr>
              <w:t>Limitation on Interest</w:t>
            </w:r>
          </w:p>
        </w:tc>
        <w:tc>
          <w:tcPr>
            <w:tcW w:w="21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10.11.</w:t>
            </w:r>
          </w:p>
        </w:tc>
        <w:tc>
          <w:tcPr>
            <w:tcW w:w="7640" w:type="dxa"/>
            <w:vAlign w:val="bottom"/>
          </w:tcPr>
          <w:p>
            <w:pPr>
              <w:ind w:left="220"/>
              <w:spacing w:after="0"/>
              <w:rPr>
                <w:sz w:val="20"/>
                <w:szCs w:val="20"/>
                <w:color w:val="auto"/>
              </w:rPr>
            </w:pPr>
            <w:r>
              <w:rPr>
                <w:rFonts w:ascii="Arial" w:cs="Arial" w:eastAsia="Arial" w:hAnsi="Arial"/>
                <w:sz w:val="18"/>
                <w:szCs w:val="18"/>
                <w:color w:val="auto"/>
              </w:rPr>
              <w:t>Right of Offset</w:t>
            </w:r>
          </w:p>
        </w:tc>
        <w:tc>
          <w:tcPr>
            <w:tcW w:w="21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10.12.</w:t>
            </w:r>
          </w:p>
        </w:tc>
        <w:tc>
          <w:tcPr>
            <w:tcW w:w="7640" w:type="dxa"/>
            <w:vAlign w:val="bottom"/>
          </w:tcPr>
          <w:p>
            <w:pPr>
              <w:ind w:left="220"/>
              <w:spacing w:after="0"/>
              <w:rPr>
                <w:sz w:val="20"/>
                <w:szCs w:val="20"/>
                <w:color w:val="auto"/>
              </w:rPr>
            </w:pPr>
            <w:r>
              <w:rPr>
                <w:rFonts w:ascii="Arial" w:cs="Arial" w:eastAsia="Arial" w:hAnsi="Arial"/>
                <w:sz w:val="18"/>
                <w:szCs w:val="18"/>
                <w:color w:val="auto"/>
              </w:rPr>
              <w:t>Termination; Limited Survival; Payments Set Aside</w:t>
            </w:r>
          </w:p>
        </w:tc>
        <w:tc>
          <w:tcPr>
            <w:tcW w:w="21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10.13.</w:t>
            </w:r>
          </w:p>
        </w:tc>
        <w:tc>
          <w:tcPr>
            <w:tcW w:w="764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21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10.14.</w:t>
            </w:r>
          </w:p>
        </w:tc>
        <w:tc>
          <w:tcPr>
            <w:tcW w:w="7640" w:type="dxa"/>
            <w:vAlign w:val="bottom"/>
          </w:tcPr>
          <w:p>
            <w:pPr>
              <w:ind w:left="220"/>
              <w:spacing w:after="0"/>
              <w:rPr>
                <w:sz w:val="20"/>
                <w:szCs w:val="20"/>
                <w:color w:val="auto"/>
              </w:rPr>
            </w:pPr>
            <w:r>
              <w:rPr>
                <w:rFonts w:ascii="Arial" w:cs="Arial" w:eastAsia="Arial" w:hAnsi="Arial"/>
                <w:sz w:val="18"/>
                <w:szCs w:val="18"/>
                <w:color w:val="auto"/>
              </w:rPr>
              <w:t>Counterparts</w:t>
            </w:r>
          </w:p>
        </w:tc>
        <w:tc>
          <w:tcPr>
            <w:tcW w:w="21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10.15.</w:t>
            </w:r>
          </w:p>
        </w:tc>
        <w:tc>
          <w:tcPr>
            <w:tcW w:w="7640" w:type="dxa"/>
            <w:vAlign w:val="bottom"/>
          </w:tcPr>
          <w:p>
            <w:pPr>
              <w:ind w:left="220"/>
              <w:spacing w:after="0"/>
              <w:rPr>
                <w:sz w:val="20"/>
                <w:szCs w:val="20"/>
                <w:color w:val="auto"/>
              </w:rPr>
            </w:pPr>
            <w:r>
              <w:rPr>
                <w:rFonts w:ascii="Arial" w:cs="Arial" w:eastAsia="Arial" w:hAnsi="Arial"/>
                <w:sz w:val="18"/>
                <w:szCs w:val="18"/>
                <w:color w:val="auto"/>
              </w:rPr>
              <w:t>Waiver of Jury Trial.</w:t>
            </w:r>
          </w:p>
        </w:tc>
        <w:tc>
          <w:tcPr>
            <w:tcW w:w="21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10.16.</w:t>
            </w:r>
          </w:p>
        </w:tc>
        <w:tc>
          <w:tcPr>
            <w:tcW w:w="7640" w:type="dxa"/>
            <w:vAlign w:val="bottom"/>
          </w:tcPr>
          <w:p>
            <w:pPr>
              <w:ind w:left="220"/>
              <w:spacing w:after="0"/>
              <w:rPr>
                <w:sz w:val="20"/>
                <w:szCs w:val="20"/>
                <w:color w:val="auto"/>
              </w:rPr>
            </w:pPr>
            <w:r>
              <w:rPr>
                <w:rFonts w:ascii="Arial" w:cs="Arial" w:eastAsia="Arial" w:hAnsi="Arial"/>
                <w:sz w:val="18"/>
                <w:szCs w:val="18"/>
                <w:color w:val="auto"/>
              </w:rPr>
              <w:t>USA PATRIOT Act Notice</w:t>
            </w:r>
          </w:p>
        </w:tc>
        <w:tc>
          <w:tcPr>
            <w:tcW w:w="21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rPr>
              <w:t>Section 10.17.</w:t>
            </w:r>
          </w:p>
        </w:tc>
        <w:tc>
          <w:tcPr>
            <w:tcW w:w="7640" w:type="dxa"/>
            <w:vAlign w:val="bottom"/>
          </w:tcPr>
          <w:p>
            <w:pPr>
              <w:ind w:left="220"/>
              <w:spacing w:after="0"/>
              <w:rPr>
                <w:sz w:val="20"/>
                <w:szCs w:val="20"/>
                <w:color w:val="auto"/>
              </w:rPr>
            </w:pPr>
            <w:r>
              <w:rPr>
                <w:rFonts w:ascii="Arial" w:cs="Arial" w:eastAsia="Arial" w:hAnsi="Arial"/>
                <w:sz w:val="18"/>
                <w:szCs w:val="18"/>
                <w:color w:val="auto"/>
              </w:rPr>
              <w:t>Reallocation of Commitments under Existing Agreement</w:t>
            </w:r>
          </w:p>
        </w:tc>
        <w:tc>
          <w:tcPr>
            <w:tcW w:w="2160" w:type="dxa"/>
            <w:vAlign w:val="bottom"/>
          </w:tcPr>
          <w:p>
            <w:pPr>
              <w:jc w:val="right"/>
              <w:spacing w:after="0"/>
              <w:rPr>
                <w:sz w:val="20"/>
                <w:szCs w:val="20"/>
                <w:color w:val="auto"/>
              </w:rPr>
            </w:pPr>
            <w:r>
              <w:rPr>
                <w:rFonts w:ascii="Arial" w:cs="Arial" w:eastAsia="Arial" w:hAnsi="Arial"/>
                <w:sz w:val="18"/>
                <w:szCs w:val="18"/>
                <w:color w:val="auto"/>
              </w:rPr>
              <w:t>107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I – Facility Fees and Applicable Margin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II – Commitments and Pro Rata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III – Disclosure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10.3 - Administrative Agent’s Office; Certain Addresses for Notices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Exhibit A-1 - US Note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A-2 - Canadian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A-3 – Swing Line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B-1 - US Borrowing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B-2 - Canadian Borrowing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B-3 – Swing Line Loan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C-1 - US Continuation/Conversion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C-2 - Canadian Continuation/Conversion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 - Certificate Accompanying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E-1 - Opinion of In-House Counsel for Restricted Persons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E-2 - Opinion of Fulbright &amp; Jaworski L.L.P., Counsel for Restricted Persons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E-3 - Opinion of Bennett Jones, Canadian Counsel for Restricted Persons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 - Assignment and Assumption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SECOND AMENDED AND RESTATED CREDIT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[US/Canada Facilities]</w:t>
      </w:r>
    </w:p>
    <w:p>
      <w:pPr>
        <w:spacing w:after="0" w:line="21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THIS SECOND AMENDED AND RESTATED CREDIT AGREEMENT [US/Canada Facilities] is made as of July 31, 2006, by and among PLAINS ALL AMERICAN PIPELINE, L.P., a Delaware limited partnership (“</w:t>
      </w:r>
      <w:r>
        <w:rPr>
          <w:rFonts w:ascii="Arial" w:cs="Arial" w:eastAsia="Arial" w:hAnsi="Arial"/>
          <w:sz w:val="17"/>
          <w:szCs w:val="17"/>
          <w:u w:val="single" w:color="auto"/>
          <w:color w:val="auto"/>
        </w:rPr>
        <w:t>US Borrower</w:t>
      </w:r>
      <w:r>
        <w:rPr>
          <w:rFonts w:ascii="Arial" w:cs="Arial" w:eastAsia="Arial" w:hAnsi="Arial"/>
          <w:sz w:val="17"/>
          <w:szCs w:val="17"/>
          <w:color w:val="auto"/>
        </w:rPr>
        <w:t>”), PMC (NOVA SCOTIA) COMPANY, a Nova Scotia unlimited liability company, and PLAINS MARKETING CANADA, L.P., an Alberta limited partnership (each a “</w:t>
      </w:r>
      <w:r>
        <w:rPr>
          <w:rFonts w:ascii="Arial" w:cs="Arial" w:eastAsia="Arial" w:hAnsi="Arial"/>
          <w:sz w:val="17"/>
          <w:szCs w:val="17"/>
          <w:u w:val="single" w:color="auto"/>
          <w:color w:val="auto"/>
        </w:rPr>
        <w:t>Canadian Borrower”</w:t>
      </w:r>
      <w:r>
        <w:rPr>
          <w:rFonts w:ascii="Arial" w:cs="Arial" w:eastAsia="Arial" w:hAnsi="Arial"/>
          <w:sz w:val="17"/>
          <w:szCs w:val="17"/>
          <w:color w:val="auto"/>
        </w:rPr>
        <w:t xml:space="preserve"> and collectively, the “</w:t>
      </w:r>
      <w:r>
        <w:rPr>
          <w:rFonts w:ascii="Arial" w:cs="Arial" w:eastAsia="Arial" w:hAnsi="Arial"/>
          <w:sz w:val="17"/>
          <w:szCs w:val="17"/>
          <w:u w:val="single" w:color="auto"/>
          <w:color w:val="auto"/>
        </w:rPr>
        <w:t>Canadian</w:t>
      </w:r>
      <w:r>
        <w:rPr>
          <w:rFonts w:ascii="Arial" w:cs="Arial" w:eastAsia="Arial" w:hAnsi="Arial"/>
          <w:sz w:val="17"/>
          <w:szCs w:val="17"/>
          <w:color w:val="auto"/>
        </w:rPr>
        <w:t xml:space="preserve"> </w:t>
      </w:r>
      <w:r>
        <w:rPr>
          <w:rFonts w:ascii="Arial" w:cs="Arial" w:eastAsia="Arial" w:hAnsi="Arial"/>
          <w:sz w:val="17"/>
          <w:szCs w:val="17"/>
          <w:u w:val="single" w:color="auto"/>
          <w:color w:val="auto"/>
        </w:rPr>
        <w:t>Borrowers</w:t>
      </w:r>
      <w:r>
        <w:rPr>
          <w:rFonts w:ascii="Arial" w:cs="Arial" w:eastAsia="Arial" w:hAnsi="Arial"/>
          <w:sz w:val="17"/>
          <w:szCs w:val="17"/>
          <w:color w:val="auto"/>
        </w:rPr>
        <w:t>”), BANK OF AMERICA, N.A., as administrative agent (in such capacity,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BANK OF AMERICA, N.A., acting through its Canada Branch, as Canadian administrative agent (in such capacity, “</w:t>
      </w:r>
      <w:r>
        <w:rPr>
          <w:rFonts w:ascii="Arial" w:cs="Arial" w:eastAsia="Arial" w:hAnsi="Arial"/>
          <w:sz w:val="17"/>
          <w:szCs w:val="17"/>
          <w:u w:val="single" w:color="auto"/>
          <w:color w:val="auto"/>
        </w:rPr>
        <w:t>Canadian Administrative Agent</w:t>
      </w:r>
      <w:r>
        <w:rPr>
          <w:rFonts w:ascii="Arial" w:cs="Arial" w:eastAsia="Arial" w:hAnsi="Arial"/>
          <w:sz w:val="17"/>
          <w:szCs w:val="17"/>
          <w:color w:val="auto"/>
        </w:rPr>
        <w:t>”), WACHOVIA BANK, NATIONAL ASSOCIATION and JPMORGAN CHASE BANK, N.A., as co-syndication agents (in such capacity, “</w:t>
      </w:r>
      <w:r>
        <w:rPr>
          <w:rFonts w:ascii="Arial" w:cs="Arial" w:eastAsia="Arial" w:hAnsi="Arial"/>
          <w:sz w:val="17"/>
          <w:szCs w:val="17"/>
          <w:u w:val="single" w:color="auto"/>
          <w:color w:val="auto"/>
        </w:rPr>
        <w:t>Co-Syndication Agents</w:t>
      </w:r>
      <w:r>
        <w:rPr>
          <w:rFonts w:ascii="Arial" w:cs="Arial" w:eastAsia="Arial" w:hAnsi="Arial"/>
          <w:sz w:val="17"/>
          <w:szCs w:val="17"/>
          <w:color w:val="auto"/>
        </w:rPr>
        <w:t>”), FORTIS CAPITAL CORP., CITIBANK, N.A., BNP PARIBAS, UBS SECURITIES LLC, SUNTRUST BANK and THE BANK OF NOVA SCOTIA, as co-documentation agents (in such capacity, “</w:t>
      </w:r>
      <w:r>
        <w:rPr>
          <w:rFonts w:ascii="Arial" w:cs="Arial" w:eastAsia="Arial" w:hAnsi="Arial"/>
          <w:sz w:val="17"/>
          <w:szCs w:val="17"/>
          <w:u w:val="single" w:color="auto"/>
          <w:color w:val="auto"/>
        </w:rPr>
        <w:t>Co-Documentation Agents</w:t>
      </w:r>
      <w:r>
        <w:rPr>
          <w:rFonts w:ascii="Arial" w:cs="Arial" w:eastAsia="Arial" w:hAnsi="Arial"/>
          <w:sz w:val="17"/>
          <w:szCs w:val="17"/>
          <w:color w:val="auto"/>
        </w:rPr>
        <w:t>”), BANC OF AMERICA SECURITIES LLC AND WACHOVIA CAPITAL MARKETS, LLC, as joint lead arrangers and joint book managers (in such capacity, “</w:t>
      </w:r>
      <w:r>
        <w:rPr>
          <w:rFonts w:ascii="Arial" w:cs="Arial" w:eastAsia="Arial" w:hAnsi="Arial"/>
          <w:sz w:val="17"/>
          <w:szCs w:val="17"/>
          <w:u w:val="single" w:color="auto"/>
          <w:color w:val="auto"/>
        </w:rPr>
        <w:t>Joint Lead Arrangers and Book Managers</w:t>
      </w:r>
      <w:r>
        <w:rPr>
          <w:rFonts w:ascii="Arial" w:cs="Arial" w:eastAsia="Arial" w:hAnsi="Arial"/>
          <w:sz w:val="17"/>
          <w:szCs w:val="17"/>
          <w:color w:val="auto"/>
        </w:rPr>
        <w:t>”) and the Lenders referred to below. In consideration of the mutual covenants and agreements contained herein the parties hereto agree as follows: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ectPr>
          <w:pgSz w:w="11900" w:h="16874" w:orient="portrait"/>
          <w:cols w:equalWidth="0" w:num="1">
            <w:col w:w="11420"/>
          </w:cols>
          <w:pgMar w:left="240" w:top="125" w:right="239" w:bottom="0" w:gutter="0" w:footer="0" w:header="0"/>
        </w:sectPr>
      </w:pPr>
    </w:p>
    <w:bookmarkStart w:id="6" w:name="page7"/>
    <w:bookmarkEnd w:id="6"/>
    <w:p>
      <w:pPr>
        <w:ind w:right="160" w:firstLine="648"/>
        <w:spacing w:after="0" w:line="264" w:lineRule="auto"/>
        <w:rPr>
          <w:sz w:val="20"/>
          <w:szCs w:val="20"/>
          <w:color w:val="auto"/>
        </w:rPr>
      </w:pPr>
      <w:r>
        <w:rPr>
          <w:rFonts w:ascii="Arial" w:cs="Arial" w:eastAsia="Arial" w:hAnsi="Arial"/>
          <w:sz w:val="18"/>
          <w:szCs w:val="18"/>
          <w:color w:val="auto"/>
        </w:rPr>
        <w:t>US Borrower, Canadian Borrowers, Administrative Agent and other agents and lenders entered into that certain Amended and Restated Credit Agreement [US/Canada Facilities] dated November 4, 2005 (as amended prior to the effective date of this Agreement, the “</w:t>
      </w:r>
      <w:r>
        <w:rPr>
          <w:rFonts w:ascii="Arial" w:cs="Arial" w:eastAsia="Arial" w:hAnsi="Arial"/>
          <w:sz w:val="18"/>
          <w:szCs w:val="18"/>
          <w:u w:val="single" w:color="auto"/>
          <w:color w:val="auto"/>
        </w:rPr>
        <w:t>Existing Agreement</w:t>
      </w:r>
      <w:r>
        <w:rPr>
          <w:rFonts w:ascii="Arial" w:cs="Arial" w:eastAsia="Arial" w:hAnsi="Arial"/>
          <w:sz w:val="18"/>
          <w:szCs w:val="18"/>
          <w:color w:val="auto"/>
        </w:rPr>
        <w:t>”) and desire to amend and restate the Existing Agreement as set forth herein.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consideration of the mutual covenants and agreements contained herein and in consideration of the loans which may hereafter be made by Lenders and the Letters of Credit which may be made available by LC Issuers to Borrowers and for other good and valuable consideration, the receipt and sufficiency of which are hereby acknowledged, the parties hereto agree as follows: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 - Definitions and References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each of the following terms has the meaning given to such term in this Section 1.1 or in the sections and subsections referred to below: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Period</w:t>
      </w:r>
      <w:r>
        <w:rPr>
          <w:rFonts w:ascii="Arial" w:cs="Arial" w:eastAsia="Arial" w:hAnsi="Arial"/>
          <w:sz w:val="18"/>
          <w:szCs w:val="18"/>
          <w:color w:val="auto"/>
        </w:rPr>
        <w:t>” means the period beginning, at the election of US Borrower, with the funding date of the purchase price for a Specified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Acquisition and ending on the earliest of (a) the third following Fiscal Quarter end, (b) US Borrower’s receipt of proceeds of a Specified Equity Offering; and</w:t>
      </w:r>
    </w:p>
    <w:p>
      <w:pPr>
        <w:spacing w:after="0" w:line="32" w:lineRule="exact"/>
        <w:rPr>
          <w:sz w:val="20"/>
          <w:szCs w:val="20"/>
          <w:color w:val="auto"/>
        </w:rPr>
      </w:pPr>
    </w:p>
    <w:p>
      <w:pPr>
        <w:ind w:right="40" w:firstLine="8"/>
        <w:spacing w:after="0" w:line="255" w:lineRule="auto"/>
        <w:tabs>
          <w:tab w:leader="none" w:pos="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Borrower’s election in writing to terminate such Acquisition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at the time of such election, the Debt Coverage Ratio shall not, on a pro forma basis, exceed 4.75 to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the Debt Coverage Ratio exceeds 4.75 to 1.00 at the end of the Fiscal Quarter ending next following such funding date, then the Acquisition Period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shall be deemed to have commenced as of such funding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during any Acquisition Period, no additional Acquisition Period shall commence, nor shall such Acquisition Period be extended, by any subsequent Specified Acquisition until the current Acquisition Period shall have expired and US Borrower shall be in compliance with Section 7.8(ii).</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Bank of America, N.A., as Administrative Agent hereunder, and its successors in such capacity.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relevant Agent.</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as to any Person, each other Person that directly or indirectly (through one or more intermediaries or otherwise) controls, is controlled by, or is under common control with, such Person. A Person shall be deemed to be “controlled by” any other Person if such other Person possesses, directly or indirectly, power to direct or cause the direction of the management and policies of such Person whether by contract or otherwise.</w:t>
      </w:r>
    </w:p>
    <w:p>
      <w:pPr>
        <w:spacing w:after="0" w:line="14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(i) with respect to US Loans, Administrative Agent, (ii) with respect to Canadian Loans, Canadian Administrative Agent, and (iii) their respective successors in such capacity.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Lending Office</w:t>
      </w:r>
      <w:r>
        <w:rPr>
          <w:rFonts w:ascii="Arial" w:cs="Arial" w:eastAsia="Arial" w:hAnsi="Arial"/>
          <w:sz w:val="17"/>
          <w:szCs w:val="17"/>
          <w:color w:val="auto"/>
        </w:rPr>
        <w:t>” means, for each Lender and for each Type of Loan, the “Lending Office” of such Lender (or of an Affiliate of such Lender) designated for such Type of Loan on such Lender’s Administrative Questionnaire or such other office of such Lender (or an Affiliate of such Lender) as such Lender may from time to time specify to Administrative Agent or Canadian Administrative Agent, as applicable, and US Borrower by written notice in accordance with the terms hereof as the office by which its Loans of such Type are to be made and maintained.</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as to any Type of Loan, the percent per annum set forth on Schedule I as the “Applicable Margin” for such Type of Loan, based on the Applicable Rating Level in effect on such date. Changes in the Applicable Margin will occur automatically without prior notice as changes in the Applicable Rating Level occur. Administrative Agent will give notice promptly to Borrowers, Canadian Administrative Agent and Lenders of changes in the Applicable Margin.</w:t>
      </w:r>
    </w:p>
    <w:p>
      <w:pPr>
        <w:spacing w:after="0" w:line="187"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Rating Level</w:t>
      </w:r>
      <w:r>
        <w:rPr>
          <w:rFonts w:ascii="Arial" w:cs="Arial" w:eastAsia="Arial" w:hAnsi="Arial"/>
          <w:sz w:val="16"/>
          <w:szCs w:val="16"/>
          <w:color w:val="auto"/>
        </w:rPr>
        <w:t xml:space="preserve">” means for any day, the level set forth below that corresponds to the PAA Debt Rating by the Ratings Agencies applicable on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the event the PAA Debt Rating by the Ratings Agencies differs by one level, the higher PAA Debt Rating shall apply;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in the event the PAA Debt Rating by the Ratings Agencies differs by more than one level, the PAA Debt Rating one level above the lower PAA Debt Rating shall apply. As used in this definition, “</w:t>
      </w:r>
      <w:r>
        <w:rPr>
          <w:rFonts w:ascii="Arial" w:cs="Arial" w:eastAsia="Arial" w:hAnsi="Arial"/>
          <w:sz w:val="16"/>
          <w:szCs w:val="16"/>
          <w:u w:val="single" w:color="auto"/>
          <w:color w:val="auto"/>
        </w:rPr>
        <w:t>&gt;</w:t>
      </w:r>
      <w:r>
        <w:rPr>
          <w:rFonts w:ascii="Arial" w:cs="Arial" w:eastAsia="Arial" w:hAnsi="Arial"/>
          <w:sz w:val="16"/>
          <w:szCs w:val="16"/>
          <w:color w:val="auto"/>
        </w:rPr>
        <w:t>“ means a rating equal to or more favorable than and “&lt;“ means a rating less favorable than.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2860" w:type="dxa"/>
        <w:tblCellMar>
          <w:top w:w="0" w:type="dxa"/>
          <w:left w:w="0" w:type="dxa"/>
          <w:bottom w:w="0" w:type="dxa"/>
          <w:right w:w="0" w:type="dxa"/>
        </w:tblCellMar>
      </w:tblPr>
      <w:tr>
        <w:trPr>
          <w:trHeight w:val="171"/>
        </w:trPr>
        <w:tc>
          <w:tcPr>
            <w:tcW w:w="2180" w:type="dxa"/>
            <w:vAlign w:val="bottom"/>
            <w:gridSpan w:val="3"/>
          </w:tcPr>
          <w:p>
            <w:pPr>
              <w:spacing w:after="0"/>
              <w:rPr>
                <w:sz w:val="20"/>
                <w:szCs w:val="20"/>
                <w:color w:val="auto"/>
              </w:rPr>
            </w:pPr>
            <w:r>
              <w:rPr>
                <w:rFonts w:ascii="Arial" w:cs="Arial" w:eastAsia="Arial" w:hAnsi="Arial"/>
                <w:sz w:val="14"/>
                <w:szCs w:val="14"/>
                <w:b w:val="1"/>
                <w:bCs w:val="1"/>
                <w:color w:val="auto"/>
              </w:rPr>
              <w:t>Rating Level</w:t>
            </w:r>
          </w:p>
        </w:tc>
        <w:tc>
          <w:tcPr>
            <w:tcW w:w="620" w:type="dxa"/>
            <w:vAlign w:val="bottom"/>
          </w:tcPr>
          <w:p>
            <w:pPr>
              <w:spacing w:after="0"/>
              <w:rPr>
                <w:sz w:val="14"/>
                <w:szCs w:val="14"/>
                <w:color w:val="auto"/>
              </w:rPr>
            </w:pPr>
          </w:p>
        </w:tc>
        <w:tc>
          <w:tcPr>
            <w:tcW w:w="116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97"/>
              </w:rPr>
              <w:t>S&amp;P</w:t>
            </w:r>
          </w:p>
        </w:tc>
        <w:tc>
          <w:tcPr>
            <w:tcW w:w="1760" w:type="dxa"/>
            <w:vAlign w:val="bottom"/>
            <w:gridSpan w:val="3"/>
          </w:tcPr>
          <w:p>
            <w:pPr>
              <w:ind w:left="600"/>
              <w:spacing w:after="0"/>
              <w:rPr>
                <w:sz w:val="20"/>
                <w:szCs w:val="20"/>
                <w:color w:val="auto"/>
              </w:rPr>
            </w:pPr>
            <w:r>
              <w:rPr>
                <w:rFonts w:ascii="Arial" w:cs="Arial" w:eastAsia="Arial" w:hAnsi="Arial"/>
                <w:sz w:val="14"/>
                <w:szCs w:val="14"/>
                <w:b w:val="1"/>
                <w:bCs w:val="1"/>
                <w:color w:val="auto"/>
              </w:rPr>
              <w:t>Moody’s</w:t>
            </w:r>
          </w:p>
        </w:tc>
      </w:tr>
      <w:tr>
        <w:trPr>
          <w:trHeight w:val="169"/>
        </w:trPr>
        <w:tc>
          <w:tcPr>
            <w:tcW w:w="20" w:type="dxa"/>
            <w:vAlign w:val="bottom"/>
          </w:tcPr>
          <w:p>
            <w:pPr>
              <w:spacing w:after="0"/>
              <w:rPr>
                <w:sz w:val="14"/>
                <w:szCs w:val="14"/>
                <w:color w:val="auto"/>
              </w:rPr>
            </w:pPr>
          </w:p>
        </w:tc>
        <w:tc>
          <w:tcPr>
            <w:tcW w:w="190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7"/>
              </w:rPr>
              <w:t>Level I</w:t>
            </w:r>
          </w:p>
        </w:tc>
        <w:tc>
          <w:tcPr>
            <w:tcW w:w="26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gridSpan w:val="3"/>
            <w:shd w:val="clear" w:color="auto" w:fill="CCEEFF"/>
          </w:tcPr>
          <w:p>
            <w:pPr>
              <w:jc w:val="center"/>
              <w:spacing w:after="0" w:line="170" w:lineRule="exact"/>
              <w:rPr>
                <w:sz w:val="20"/>
                <w:szCs w:val="20"/>
                <w:color w:val="auto"/>
              </w:rPr>
            </w:pPr>
            <w:r>
              <w:rPr>
                <w:rFonts w:ascii="Arial" w:cs="Arial" w:eastAsia="Arial" w:hAnsi="Arial"/>
                <w:sz w:val="18"/>
                <w:szCs w:val="18"/>
                <w:color w:val="auto"/>
              </w:rPr>
              <w:t>&gt; A-</w:t>
            </w:r>
          </w:p>
        </w:tc>
        <w:tc>
          <w:tcPr>
            <w:tcW w:w="2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gridSpan w:val="2"/>
            <w:shd w:val="clear" w:color="auto" w:fill="CCEEFF"/>
          </w:tcPr>
          <w:p>
            <w:pPr>
              <w:jc w:val="center"/>
              <w:ind w:right="720"/>
              <w:spacing w:after="0" w:line="170" w:lineRule="exact"/>
              <w:rPr>
                <w:sz w:val="20"/>
                <w:szCs w:val="20"/>
                <w:color w:val="auto"/>
              </w:rPr>
            </w:pPr>
            <w:r>
              <w:rPr>
                <w:rFonts w:ascii="Arial" w:cs="Arial" w:eastAsia="Arial" w:hAnsi="Arial"/>
                <w:sz w:val="18"/>
                <w:szCs w:val="18"/>
                <w:color w:val="auto"/>
                <w:w w:val="95"/>
              </w:rPr>
              <w:t>&gt; A3</w:t>
            </w:r>
          </w:p>
        </w:tc>
      </w:tr>
      <w:tr>
        <w:trPr>
          <w:trHeight w:val="21"/>
        </w:trPr>
        <w:tc>
          <w:tcPr>
            <w:tcW w:w="20" w:type="dxa"/>
            <w:vAlign w:val="bottom"/>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Level II</w:t>
            </w:r>
          </w:p>
        </w:tc>
        <w:tc>
          <w:tcPr>
            <w:tcW w:w="1780" w:type="dxa"/>
            <w:vAlign w:val="bottom"/>
            <w:gridSpan w:val="4"/>
          </w:tcPr>
          <w:p>
            <w:pPr>
              <w:jc w:val="center"/>
              <w:ind w:right="200"/>
              <w:spacing w:after="0"/>
              <w:rPr>
                <w:sz w:val="20"/>
                <w:szCs w:val="20"/>
                <w:color w:val="auto"/>
              </w:rPr>
            </w:pPr>
            <w:r>
              <w:rPr>
                <w:rFonts w:ascii="Arial" w:cs="Arial" w:eastAsia="Arial" w:hAnsi="Arial"/>
                <w:sz w:val="18"/>
                <w:szCs w:val="18"/>
                <w:color w:val="auto"/>
                <w:w w:val="98"/>
              </w:rPr>
              <w:t>BBB+</w:t>
            </w:r>
          </w:p>
        </w:tc>
        <w:tc>
          <w:tcPr>
            <w:tcW w:w="176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Baa1</w:t>
            </w: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Level III</w:t>
            </w:r>
          </w:p>
        </w:tc>
        <w:tc>
          <w:tcPr>
            <w:tcW w:w="1780" w:type="dxa"/>
            <w:vAlign w:val="bottom"/>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99"/>
              </w:rPr>
              <w:t>BBB</w:t>
            </w:r>
          </w:p>
        </w:tc>
        <w:tc>
          <w:tcPr>
            <w:tcW w:w="17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Baa2</w:t>
            </w:r>
          </w:p>
        </w:tc>
      </w:tr>
      <w:tr>
        <w:trPr>
          <w:trHeight w:val="216"/>
        </w:trPr>
        <w:tc>
          <w:tcPr>
            <w:tcW w:w="20" w:type="dxa"/>
            <w:vAlign w:val="bottom"/>
          </w:tcPr>
          <w:p>
            <w:pPr>
              <w:spacing w:after="0"/>
              <w:rPr>
                <w:sz w:val="18"/>
                <w:szCs w:val="18"/>
                <w:color w:val="auto"/>
              </w:rPr>
            </w:pPr>
          </w:p>
        </w:tc>
        <w:tc>
          <w:tcPr>
            <w:tcW w:w="216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Level IV</w:t>
            </w:r>
          </w:p>
        </w:tc>
        <w:tc>
          <w:tcPr>
            <w:tcW w:w="1780" w:type="dxa"/>
            <w:vAlign w:val="bottom"/>
            <w:gridSpan w:val="4"/>
          </w:tcPr>
          <w:p>
            <w:pPr>
              <w:jc w:val="center"/>
              <w:ind w:right="200"/>
              <w:spacing w:after="0"/>
              <w:rPr>
                <w:sz w:val="20"/>
                <w:szCs w:val="20"/>
                <w:color w:val="auto"/>
              </w:rPr>
            </w:pPr>
            <w:r>
              <w:rPr>
                <w:rFonts w:ascii="Arial" w:cs="Arial" w:eastAsia="Arial" w:hAnsi="Arial"/>
                <w:sz w:val="18"/>
                <w:szCs w:val="18"/>
                <w:color w:val="auto"/>
                <w:w w:val="99"/>
              </w:rPr>
              <w:t>BBB-</w:t>
            </w:r>
          </w:p>
        </w:tc>
        <w:tc>
          <w:tcPr>
            <w:tcW w:w="176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Baa3</w:t>
            </w: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6"/>
              </w:rPr>
              <w:t>Level V</w:t>
            </w:r>
          </w:p>
        </w:tc>
        <w:tc>
          <w:tcPr>
            <w:tcW w:w="1780" w:type="dxa"/>
            <w:vAlign w:val="bottom"/>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97"/>
              </w:rPr>
              <w:t>&lt; BBB-</w:t>
            </w:r>
          </w:p>
        </w:tc>
        <w:tc>
          <w:tcPr>
            <w:tcW w:w="176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0"/>
              </w:rPr>
              <w:t>&lt; Baa3</w:t>
            </w:r>
          </w:p>
        </w:tc>
      </w:tr>
    </w:tbl>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If either of the Rating Agencies shall not have in effect a PAA Debt Rating or if the rating system of either of the Rating Agencies shall change, or if either of the Rating Agencies shall cease to be in the business of rating corporate debt obligations, US Borrower and Majority Lenders shall negotiate in good faith to amend this definition to reflect such changed rating system or the unavailability of ratings from such Rating Agency, but until such an agreement shall be reached, the Applicable Rating Level shall be based only upon the PAA Debt Rating by the remaining Rating Agency.</w:t>
      </w:r>
    </w:p>
    <w:p>
      <w:pPr>
        <w:spacing w:after="0" w:line="17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solely administered or managed by (a) a Lender, (b) an Affiliate of a Lender, or (c) an entity or an Affiliate of an entity that administers or manages a Lender.</w:t>
      </w:r>
    </w:p>
    <w:p>
      <w:pPr>
        <w:sectPr>
          <w:pgSz w:w="11900" w:h="16838" w:orient="portrait"/>
          <w:cols w:equalWidth="0" w:num="1">
            <w:col w:w="11420"/>
          </w:cols>
          <w:pgMar w:left="240" w:top="341" w:right="239" w:bottom="31" w:gutter="0" w:footer="0" w:header="0"/>
        </w:sectPr>
      </w:pPr>
    </w:p>
    <w:bookmarkStart w:id="7" w:name="page8"/>
    <w:bookmarkEnd w:id="7"/>
    <w:p>
      <w:pPr>
        <w:ind w:right="8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entered into by a Lender and an Eligible Assignee, and accepted by Administrative Agent, in substantially the form of Exhibit F.</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 Discount Rate</w:t>
      </w:r>
      <w:r>
        <w:rPr>
          <w:rFonts w:ascii="Arial" w:cs="Arial" w:eastAsia="Arial" w:hAnsi="Arial"/>
          <w:sz w:val="16"/>
          <w:szCs w:val="16"/>
          <w:color w:val="auto"/>
        </w:rPr>
        <w:t xml:space="preserve">” means, in respect of a BA being accepted by a Canadian Lender on any date, (i) for a Canadian Lender that is listed in Schedule I to the </w:t>
      </w:r>
      <w:r>
        <w:rPr>
          <w:rFonts w:ascii="Arial" w:cs="Arial" w:eastAsia="Arial" w:hAnsi="Arial"/>
          <w:sz w:val="16"/>
          <w:szCs w:val="16"/>
          <w:i w:val="1"/>
          <w:iCs w:val="1"/>
          <w:color w:val="auto"/>
        </w:rPr>
        <w:t>Bank Act</w:t>
      </w:r>
      <w:r>
        <w:rPr>
          <w:rFonts w:ascii="Arial" w:cs="Arial" w:eastAsia="Arial" w:hAnsi="Arial"/>
          <w:sz w:val="16"/>
          <w:szCs w:val="16"/>
          <w:color w:val="auto"/>
        </w:rPr>
        <w:t xml:space="preserve"> (Canada), the average bankers’ acceptance rate as quoted on Reuters CDOR page (or such other page as may, from time to time, replace such page on that service for the purpose of displaying quotations for bankers’ acceptances accepted by leading Canadian financial institutions) at approximately 10:00 a.m. (Toronto, Ontario time) on such drawdown date for bankers’ acceptances having a comparable maturity date as the maturity date of such BA (the “</w:t>
      </w:r>
      <w:r>
        <w:rPr>
          <w:rFonts w:ascii="Arial" w:cs="Arial" w:eastAsia="Arial" w:hAnsi="Arial"/>
          <w:sz w:val="16"/>
          <w:szCs w:val="16"/>
          <w:u w:val="single" w:color="auto"/>
          <w:color w:val="auto"/>
        </w:rPr>
        <w:t>CDOR Rate</w:t>
      </w:r>
      <w:r>
        <w:rPr>
          <w:rFonts w:ascii="Arial" w:cs="Arial" w:eastAsia="Arial" w:hAnsi="Arial"/>
          <w:sz w:val="16"/>
          <w:szCs w:val="16"/>
          <w:color w:val="auto"/>
        </w:rPr>
        <w:t xml:space="preserve">”); or, if such rate is not available at or about such time, the average of the bankers’ acceptance rates (expressed to five decimal places) as quoted to Canadian Administrative Agent by the Schedule I BA Reference Banks as of 10:00 a.m. (Toronto, Ontario time) on such drawdown date for bankers’ acceptances having a comparable maturity date as the maturity date of such BA; and (ii) for a Canadian Lender that is listed in Schedule II to the </w:t>
      </w:r>
      <w:r>
        <w:rPr>
          <w:rFonts w:ascii="Arial" w:cs="Arial" w:eastAsia="Arial" w:hAnsi="Arial"/>
          <w:sz w:val="16"/>
          <w:szCs w:val="16"/>
          <w:i w:val="1"/>
          <w:iCs w:val="1"/>
          <w:color w:val="auto"/>
        </w:rPr>
        <w:t xml:space="preserve">Bank Act </w:t>
      </w:r>
      <w:r>
        <w:rPr>
          <w:rFonts w:ascii="Arial" w:cs="Arial" w:eastAsia="Arial" w:hAnsi="Arial"/>
          <w:sz w:val="16"/>
          <w:szCs w:val="16"/>
          <w:color w:val="auto"/>
        </w:rPr>
        <w:t>(Canada) or a Canadian Lender that is listed in Schedule III to the</w:t>
      </w:r>
      <w:r>
        <w:rPr>
          <w:rFonts w:ascii="Arial" w:cs="Arial" w:eastAsia="Arial" w:hAnsi="Arial"/>
          <w:sz w:val="16"/>
          <w:szCs w:val="16"/>
          <w:i w:val="1"/>
          <w:iCs w:val="1"/>
          <w:color w:val="auto"/>
        </w:rPr>
        <w:t xml:space="preserve"> Bank Act </w:t>
      </w:r>
      <w:r>
        <w:rPr>
          <w:rFonts w:ascii="Arial" w:cs="Arial" w:eastAsia="Arial" w:hAnsi="Arial"/>
          <w:sz w:val="16"/>
          <w:szCs w:val="16"/>
          <w:color w:val="auto"/>
        </w:rPr>
        <w:t>(Canada) that is not subject to the restrictions and requirements 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in subsection 524 (2) of the </w:t>
      </w:r>
      <w:r>
        <w:rPr>
          <w:rFonts w:ascii="Arial" w:cs="Arial" w:eastAsia="Arial" w:hAnsi="Arial"/>
          <w:sz w:val="16"/>
          <w:szCs w:val="16"/>
          <w:i w:val="1"/>
          <w:iCs w:val="1"/>
          <w:color w:val="auto"/>
        </w:rPr>
        <w:t>Bank Act</w:t>
      </w:r>
      <w:r>
        <w:rPr>
          <w:rFonts w:ascii="Arial" w:cs="Arial" w:eastAsia="Arial" w:hAnsi="Arial"/>
          <w:sz w:val="16"/>
          <w:szCs w:val="16"/>
          <w:color w:val="auto"/>
        </w:rPr>
        <w:t xml:space="preserve"> (Canada), the rate established by Canadian Administrative Agent to be the lesser of (A) the CDOR Rate plus 10 Basis Points and (B) the average of the bankers’ acceptance rates (expressed to five decimal places) as quoted to Canadian Administrative Agent by the Schedule II BA Reference Banks or Schedule III BA Reference Banks as of 10:00 a.m. (Toronto, Ontario time) on such drawdown date for bankers’ acceptances having a comparable maturity date as the maturity date of such BA.</w:t>
      </w:r>
    </w:p>
    <w:p>
      <w:pPr>
        <w:spacing w:after="0" w:line="16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 Equivalent Advance</w:t>
      </w:r>
      <w:r>
        <w:rPr>
          <w:rFonts w:ascii="Arial" w:cs="Arial" w:eastAsia="Arial" w:hAnsi="Arial"/>
          <w:sz w:val="18"/>
          <w:szCs w:val="18"/>
          <w:color w:val="auto"/>
        </w:rPr>
        <w:t>” means a Canadian Advance provided hereunder by a Canadian Lender in lieu of accepting and purchasing a BA pursuant to Section 2.12(f).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Bankers’ Acceptance</w:t>
      </w:r>
      <w:r>
        <w:rPr>
          <w:rFonts w:ascii="Arial" w:cs="Arial" w:eastAsia="Arial" w:hAnsi="Arial"/>
          <w:sz w:val="18"/>
          <w:szCs w:val="18"/>
          <w:color w:val="auto"/>
        </w:rPr>
        <w:t>” or “</w:t>
      </w:r>
      <w:r>
        <w:rPr>
          <w:rFonts w:ascii="Arial" w:cs="Arial" w:eastAsia="Arial" w:hAnsi="Arial"/>
          <w:sz w:val="18"/>
          <w:szCs w:val="18"/>
          <w:u w:val="single" w:color="auto"/>
          <w:color w:val="auto"/>
        </w:rPr>
        <w:t>BA</w:t>
      </w:r>
      <w:r>
        <w:rPr>
          <w:rFonts w:ascii="Arial" w:cs="Arial" w:eastAsia="Arial" w:hAnsi="Arial"/>
          <w:sz w:val="18"/>
          <w:szCs w:val="18"/>
          <w:color w:val="auto"/>
        </w:rPr>
        <w:t>” means a non-interest bearing bill of exchange on a Canadian Lender’s usual form (or a bill of exchange within the meaning of the Bill of Exchange Act Canada), or a depository bill within the meaning of the Depository Bills and Notes Act (Canada), denominated in Canadian Dollars, drawn by or on behalf of either Canadian Borrower, for a term selected by such Canadian Borrower of either one, two, three or six months (as reduced or extended by Canadian Administrative Agent, acting reasonably, to allow the maturity thereof to fall on a Business Day) payable in Canada, and accepted by a Canadian Lender in accordance with this Agreement.</w:t>
      </w:r>
    </w:p>
    <w:p>
      <w:pPr>
        <w:spacing w:after="0" w:line="18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and Insolvency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Bankruptcy and Insolvency Act</w:t>
      </w:r>
      <w:r>
        <w:rPr>
          <w:rFonts w:ascii="Arial" w:cs="Arial" w:eastAsia="Arial" w:hAnsi="Arial"/>
          <w:sz w:val="18"/>
          <w:szCs w:val="18"/>
          <w:color w:val="auto"/>
        </w:rPr>
        <w:t>, S.C. 1992, c. 27, including the regulations made and, from time to time, in force under that Act.</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means for any day a fluctuating rate per annum equal to the higher of (a) the Federal Funds Rate plus 1/2 of 1% and (b) the rate of interest in effect for such day as publicly announced from time to time by the Reference Bank as its “prime rate.” The “prime rate” is a rate set by the Reference Bank based upon various factors including its costs and desired return, general economic conditions and other factors, and is used as a reference point for pricing some loans, which may be priced at, above, or below such announced rate. Any change in such rate announced by the Reference Bank shall take effect at the opening of business on the day specified in the public announcement of such change.</w:t>
      </w:r>
    </w:p>
    <w:p>
      <w:pPr>
        <w:spacing w:after="0" w:line="173" w:lineRule="exact"/>
        <w:rPr>
          <w:sz w:val="20"/>
          <w:szCs w:val="20"/>
          <w:color w:val="auto"/>
        </w:rPr>
      </w:pPr>
    </w:p>
    <w:p>
      <w:pPr>
        <w:jc w:val="both"/>
        <w:ind w:right="6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(i) a US Loan, other than a Swing Line Loan, to US Borrower which does not bear interest at a rate based upon the Eurodollar Rate, or (ii) a Swing Line Loan to US Borrower which does not bear interest at a rate based upon the Eurodollar Market Index Rate or the Eurodollar Rate.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have the meaning given that term in clause (i) of the definition of the term “Change of Control.”</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w:t>
      </w:r>
      <w:r>
        <w:rPr>
          <w:rFonts w:ascii="Arial" w:cs="Arial" w:eastAsia="Arial" w:hAnsi="Arial"/>
          <w:sz w:val="18"/>
          <w:szCs w:val="18"/>
          <w:color w:val="auto"/>
        </w:rPr>
        <w:t>” means, collectively, US Borrower, each Canadian Borrower and their successors and assigns, in each case, so long as it is permitted to borrow hereunder or request the issuance of a Letter of Credit; “</w:t>
      </w:r>
      <w:r>
        <w:rPr>
          <w:rFonts w:ascii="Arial" w:cs="Arial" w:eastAsia="Arial" w:hAnsi="Arial"/>
          <w:sz w:val="18"/>
          <w:szCs w:val="18"/>
          <w:u w:val="single" w:color="auto"/>
          <w:color w:val="auto"/>
        </w:rPr>
        <w:t>Borrower</w:t>
      </w:r>
      <w:r>
        <w:rPr>
          <w:rFonts w:ascii="Arial" w:cs="Arial" w:eastAsia="Arial" w:hAnsi="Arial"/>
          <w:sz w:val="18"/>
          <w:szCs w:val="18"/>
          <w:color w:val="auto"/>
        </w:rPr>
        <w:t>” means, individually, any of such Persons.</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w:t>
      </w:r>
      <w:r>
        <w:rPr>
          <w:rFonts w:ascii="Arial" w:cs="Arial" w:eastAsia="Arial" w:hAnsi="Arial"/>
          <w:sz w:val="16"/>
          <w:szCs w:val="16"/>
          <w:color w:val="auto"/>
        </w:rPr>
        <w:t>” means (i) a borrowing of new Loans of a single Type pursuant to Section 2.2 or (ii) a Continuation or Conversion of existing Loans into a single Type (and, in the case of Eurodollar Loans, with the same Interest Period) pursuant to Section 2.3 or (iii) the acceptance or purchase by Canadian Lenders of Bankers’ Acceptances issued by either Canadian Borrower under Section 2.12, or (iv) with respect to Swing Line Loans, a Swing Line Borrowing.</w:t>
      </w:r>
    </w:p>
    <w:p>
      <w:pPr>
        <w:spacing w:after="0" w:line="147"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Notice</w:t>
      </w:r>
      <w:r>
        <w:rPr>
          <w:rFonts w:ascii="Arial" w:cs="Arial" w:eastAsia="Arial" w:hAnsi="Arial"/>
          <w:sz w:val="18"/>
          <w:szCs w:val="18"/>
          <w:color w:val="auto"/>
        </w:rPr>
        <w:t>” means a written or telephonic request, or a written confirmation, made by a Borrower which meets the requirements of Section 2.2 or, with respect to Swing Line Borrowings, the requirements of Section 2.10A(b).</w:t>
      </w:r>
    </w:p>
    <w:p>
      <w:pPr>
        <w:spacing w:after="0" w:line="17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(i) with respect to Canadian Obligations a Canadian Business Day, and (ii) with respect to all other Obligations, a US Business Day.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Administrative Agent</w:t>
      </w:r>
      <w:r>
        <w:rPr>
          <w:rFonts w:ascii="Arial" w:cs="Arial" w:eastAsia="Arial" w:hAnsi="Arial"/>
          <w:sz w:val="18"/>
          <w:szCs w:val="18"/>
          <w:color w:val="auto"/>
        </w:rPr>
        <w:t>” means Bank of America, N.A., acting through its Canada branch, as Canadian Administrative Agent hereunder, and its successors in such capacity.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Advances</w:t>
      </w:r>
      <w:r>
        <w:rPr>
          <w:rFonts w:ascii="Arial" w:cs="Arial" w:eastAsia="Arial" w:hAnsi="Arial"/>
          <w:sz w:val="18"/>
          <w:szCs w:val="18"/>
          <w:color w:val="auto"/>
        </w:rPr>
        <w:t>” has the meaning given to such term in Section 2.1(c).</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Allocated Commitment</w:t>
      </w:r>
      <w:r>
        <w:rPr>
          <w:rFonts w:ascii="Arial" w:cs="Arial" w:eastAsia="Arial" w:hAnsi="Arial"/>
          <w:sz w:val="18"/>
          <w:szCs w:val="18"/>
          <w:color w:val="auto"/>
        </w:rPr>
        <w:t>” means, as to each Lender, its, its Canadian branch’s or its Affiliate’s Canadian Percentage Share as set forth opposite such Lender’s, Canadian branch’s or Affiliate’s name on Schedule II or in the Assignment and Assumption pursuant to which such Lender, Canadian branch or Affiliate becomes a party hereto, as applicable, of the Canadian Allocated Total Commitment.</w:t>
      </w:r>
    </w:p>
    <w:p>
      <w:pPr>
        <w:spacing w:after="0" w:line="181" w:lineRule="exact"/>
        <w:rPr>
          <w:sz w:val="20"/>
          <w:szCs w:val="20"/>
          <w:color w:val="auto"/>
        </w:rPr>
      </w:pPr>
    </w:p>
    <w:p>
      <w:pPr>
        <w:ind w:right="6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Allocated Maximum Total Commitment</w:t>
      </w:r>
      <w:r>
        <w:rPr>
          <w:rFonts w:ascii="Arial" w:cs="Arial" w:eastAsia="Arial" w:hAnsi="Arial"/>
          <w:sz w:val="18"/>
          <w:szCs w:val="18"/>
          <w:color w:val="auto"/>
        </w:rPr>
        <w:t>” means the aggregate maximum Canadian Allocated Commitments of all Lenders, their Canadian branches or Affiliates as set forth opposite such Lender’s, Canadian branch’s or affiliate’s name on Schedule II or in the Assignment and Acceptance pursuant to which such Lender, Canadian branch or affiliate becomes a party hereto, as applicable, as may be increased pursuant to Section 2.1(d).</w:t>
      </w:r>
    </w:p>
    <w:p>
      <w:pPr>
        <w:sectPr>
          <w:pgSz w:w="11900" w:h="16838" w:orient="portrait"/>
          <w:cols w:equalWidth="0" w:num="1">
            <w:col w:w="11400"/>
          </w:cols>
          <w:pgMar w:left="240" w:top="125" w:right="259" w:bottom="0" w:gutter="0" w:footer="0" w:header="0"/>
        </w:sectPr>
      </w:pPr>
    </w:p>
    <w:bookmarkStart w:id="8" w:name="page9"/>
    <w:bookmarkEnd w:id="8"/>
    <w:p>
      <w:pPr>
        <w:ind w:right="1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Allocated Total Commitment</w:t>
      </w:r>
      <w:r>
        <w:rPr>
          <w:rFonts w:ascii="Arial" w:cs="Arial" w:eastAsia="Arial" w:hAnsi="Arial"/>
          <w:sz w:val="17"/>
          <w:szCs w:val="17"/>
          <w:color w:val="auto"/>
        </w:rPr>
        <w:t>” means the aggregate amount of the US Commitments allocated by US Borrower from time to time as the Canadian Allocated Total Commitment pursuant to Section 2.1(b), not to exceed the Canadian Allocated Maximum Total Commitment.</w:t>
      </w:r>
    </w:p>
    <w:p>
      <w:pPr>
        <w:spacing w:after="0" w:line="147"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Allocation Period</w:t>
      </w:r>
      <w:r>
        <w:rPr>
          <w:rFonts w:ascii="Arial" w:cs="Arial" w:eastAsia="Arial" w:hAnsi="Arial"/>
          <w:sz w:val="17"/>
          <w:szCs w:val="17"/>
          <w:color w:val="auto"/>
        </w:rPr>
        <w:t>” means any time during which either (a) US Borrower has allocated any portion of the US Commitments as the Canadian Allocated Total Commitment pursuant to Section 2.1(b) or (b) the Canadian Total Outstanding Amount exceeds zero.</w:t>
      </w:r>
    </w:p>
    <w:p>
      <w:pPr>
        <w:spacing w:after="0" w:line="14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Borrowers</w:t>
      </w:r>
      <w:r>
        <w:rPr>
          <w:rFonts w:ascii="Arial" w:cs="Arial" w:eastAsia="Arial" w:hAnsi="Arial"/>
          <w:sz w:val="18"/>
          <w:szCs w:val="18"/>
          <w:color w:val="auto"/>
        </w:rPr>
        <w:t>” means collectively, until termination of US Borrower’s right to allocate a portion of the US Total Committed Amount as the Canadian Allocated Total Commitment, PMC (Nova Scotia) Company, a Nova Scotia unlimited liability company, and Plains Marketing Canada, L.P., an Alberta limited partnership; “</w:t>
      </w:r>
      <w:r>
        <w:rPr>
          <w:rFonts w:ascii="Arial" w:cs="Arial" w:eastAsia="Arial" w:hAnsi="Arial"/>
          <w:sz w:val="18"/>
          <w:szCs w:val="18"/>
          <w:u w:val="single" w:color="auto"/>
          <w:color w:val="auto"/>
        </w:rPr>
        <w:t>Canadian Borrower</w:t>
      </w:r>
      <w:r>
        <w:rPr>
          <w:rFonts w:ascii="Arial" w:cs="Arial" w:eastAsia="Arial" w:hAnsi="Arial"/>
          <w:sz w:val="18"/>
          <w:szCs w:val="18"/>
          <w:color w:val="auto"/>
        </w:rPr>
        <w:t>” means, individually, either of such Persons.</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Business Day</w:t>
      </w:r>
      <w:r>
        <w:rPr>
          <w:rFonts w:ascii="Arial" w:cs="Arial" w:eastAsia="Arial" w:hAnsi="Arial"/>
          <w:sz w:val="17"/>
          <w:szCs w:val="17"/>
          <w:color w:val="auto"/>
        </w:rPr>
        <w:t>” means any day, other than a Saturday, Sunday or day which shall be in the Provinces of Ontario, Quebec or Alberta a legal holiday or day on which banking institutions are required or authorized to close. Any Business Day in any way relating to Eurodollar Loans (such as the day on which an Interest Period begins or ends) must also be a day on which commercial banks settle payments in London.</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Commitment</w:t>
      </w:r>
      <w:r>
        <w:rPr>
          <w:rFonts w:ascii="Arial" w:cs="Arial" w:eastAsia="Arial" w:hAnsi="Arial"/>
          <w:sz w:val="18"/>
          <w:szCs w:val="18"/>
          <w:color w:val="auto"/>
        </w:rPr>
        <w:t>” means, as to each Canadian Lender, its obligation during a Canadian Allocation Period to (a) make Canadian Advances to either Canadian Borrower pursuant to Sections 2.1(c), (b) purchase participations in Canadian LC Obligations pursuant to Section 2.10(c), and (c) purchase participations in Swing Line Loans to either Canadian Borrower, in an aggregate principal amount at any one time outstanding not to exceed such Canadian Lender’s Canadian Allocated Commitment.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and “</w:t>
      </w:r>
      <w:r>
        <w:rPr>
          <w:rFonts w:ascii="Arial" w:cs="Arial" w:eastAsia="Arial" w:hAnsi="Arial"/>
          <w:sz w:val="18"/>
          <w:szCs w:val="18"/>
          <w:u w:val="single" w:color="auto"/>
          <w:color w:val="auto"/>
        </w:rPr>
        <w:t>C$</w:t>
      </w:r>
      <w:r>
        <w:rPr>
          <w:rFonts w:ascii="Arial" w:cs="Arial" w:eastAsia="Arial" w:hAnsi="Arial"/>
          <w:sz w:val="18"/>
          <w:szCs w:val="18"/>
          <w:color w:val="auto"/>
        </w:rPr>
        <w:t>” means the lawful currency of Canada.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Facility Fee Rate</w:t>
      </w:r>
      <w:r>
        <w:rPr>
          <w:rFonts w:ascii="Arial" w:cs="Arial" w:eastAsia="Arial" w:hAnsi="Arial"/>
          <w:sz w:val="17"/>
          <w:szCs w:val="17"/>
          <w:color w:val="auto"/>
        </w:rPr>
        <w:t>” means, on any day during a Canadian Allocation Period, the rate per annum set forth on Schedule I as the “Canadian Facility Fee Rate” based on the Applicable Rating Level on such date. Changes in the applicable Canadian Facility Fee Rate will occur automatically without prior notice as changes in the Applicable Rating Level occur. Administrative Agent will give notice promptly to Canadian Borrowers and Canadian Lenders of any change (and its effective date) in the Applicable Rating Level and the applicable Canadian Facility Fee Rate.</w:t>
      </w:r>
    </w:p>
    <w:p>
      <w:pPr>
        <w:spacing w:after="0" w:line="17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LC Issuer</w:t>
      </w:r>
      <w:r>
        <w:rPr>
          <w:rFonts w:ascii="Arial" w:cs="Arial" w:eastAsia="Arial" w:hAnsi="Arial"/>
          <w:sz w:val="16"/>
          <w:szCs w:val="16"/>
          <w:color w:val="auto"/>
        </w:rPr>
        <w:t>” means Bank of America, N.A., acting through its Canada branch, in its capacity as the issuer of Canadian Letters of Credit hereunder, and its successors in such capacity. Canadian Administrative Agent may, with the consent of Canadian Borrowers and the Canadian Lender in question, or a Canadian Borrower may, with the consent of Canadian Lender in question and notice to Canadian Administrative Agent, appoint any Canadian Lender hereunder as a Canadian LC Issuer in place of or in addition to Bank of America, N.A., acting through its Canada Branch.</w:t>
      </w:r>
    </w:p>
    <w:p>
      <w:pPr>
        <w:spacing w:after="0" w:line="154"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LC Obligations</w:t>
      </w:r>
      <w:r>
        <w:rPr>
          <w:rFonts w:ascii="Arial" w:cs="Arial" w:eastAsia="Arial" w:hAnsi="Arial"/>
          <w:sz w:val="16"/>
          <w:szCs w:val="16"/>
          <w:color w:val="auto"/>
        </w:rPr>
        <w:t xml:space="preserve">” means, as at any date of determination, the aggregate amount available to be drawn under all outstanding Canadian Letters of Credit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outstanding amount of all Unreimbursed Amounts with respect to Canadian Letters of Credit that are not fully refinanced by a Canadian Advance and, without duplication, all LC Borrowings with respect to Canadian Letters of Credit. For all purposes of this Agreement, if on any date of determination a Canadian Letter of Credit has expired by its terms but any amount may still be drawn thereunder by reason of the operation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Rule 3.14 of the ISP, such Canadian Letter of Credit shall be deemed to be “outstanding” in the amount so remaining available to be drawn.</w:t>
      </w:r>
    </w:p>
    <w:p>
      <w:pPr>
        <w:spacing w:after="0" w:line="211"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Lenders</w:t>
      </w:r>
      <w:r>
        <w:rPr>
          <w:rFonts w:ascii="Arial" w:cs="Arial" w:eastAsia="Arial" w:hAnsi="Arial"/>
          <w:sz w:val="17"/>
          <w:szCs w:val="17"/>
          <w:color w:val="auto"/>
        </w:rPr>
        <w:t>” means, during a Canadian Allocation Period, each signatory hereto designated as a Canadian Lender and the successors and permitted assigns of each such party as holder of a Canadian Note and, as the context requires, includes the Swing Line Lender.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Lender Parties</w:t>
      </w:r>
      <w:r>
        <w:rPr>
          <w:rFonts w:ascii="Arial" w:cs="Arial" w:eastAsia="Arial" w:hAnsi="Arial"/>
          <w:sz w:val="18"/>
          <w:szCs w:val="18"/>
          <w:color w:val="auto"/>
        </w:rPr>
        <w:t>” means Canadian Administrative Agent, Canadian LC Issuer, and Canadian Lenders.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Letter of Credit</w:t>
      </w:r>
      <w:r>
        <w:rPr>
          <w:rFonts w:ascii="Arial" w:cs="Arial" w:eastAsia="Arial" w:hAnsi="Arial"/>
          <w:sz w:val="18"/>
          <w:szCs w:val="18"/>
          <w:color w:val="auto"/>
        </w:rPr>
        <w:t>” means any letter of credit issued by Canadian LC Issuer hereunder at the application of either Canadian Borrower pursuant to Section 2.10. For the avoidance of doubt, Canadian Letter of Credit includes a commercial or documentary letter of credit and a standby letter of credit.</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Letter of Credit Fee Rate</w:t>
      </w:r>
      <w:r>
        <w:rPr>
          <w:rFonts w:ascii="Arial" w:cs="Arial" w:eastAsia="Arial" w:hAnsi="Arial"/>
          <w:sz w:val="16"/>
          <w:szCs w:val="16"/>
          <w:color w:val="auto"/>
        </w:rPr>
        <w:t>” means, on any day during a Canadian Allocation Period, the rate per annum set forth on Schedule I as the “Canadian LC Fee Rate” based on the Applicable Rating Level on such date. Changes in the applicable Canadian Letter of Credit Fee Rate will occur automatically without prior notice as changes in the Applicable Rating Level occur. Administrative Agent will give notice promptly to Canadian Administrative Agent of any change (and its effective date) in the Applicable Rating Level, and Canadian Administrative Agent will in turn give notice promptly to Canadian Borrowers and Canadian Lenders of such change in the Applicable Rating Level and the applicable Canadian Letter of Credit Fee Rate.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Loans</w:t>
      </w:r>
      <w:r>
        <w:rPr>
          <w:rFonts w:ascii="Arial" w:cs="Arial" w:eastAsia="Arial" w:hAnsi="Arial"/>
          <w:sz w:val="16"/>
          <w:szCs w:val="16"/>
          <w:color w:val="auto"/>
        </w:rPr>
        <w:t>” has the meaning given such term in Section 2.1(c) hereof and includes, as the context requires, including without limitation for purposes of Section 2.5(a)(ii) hereof, Swing Line Loans by the Swing Line Lender to either Canadian Borrower pursuant to Section 2.10A.</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Notes</w:t>
      </w:r>
      <w:r>
        <w:rPr>
          <w:rFonts w:ascii="Arial" w:cs="Arial" w:eastAsia="Arial" w:hAnsi="Arial"/>
          <w:sz w:val="18"/>
          <w:szCs w:val="18"/>
          <w:color w:val="auto"/>
        </w:rPr>
        <w:t>” has the meaning given such term in Section 2.1(c) hereof.</w:t>
      </w:r>
    </w:p>
    <w:p>
      <w:pPr>
        <w:spacing w:after="0" w:line="22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Obligations</w:t>
      </w:r>
      <w:r>
        <w:rPr>
          <w:rFonts w:ascii="Arial" w:cs="Arial" w:eastAsia="Arial" w:hAnsi="Arial"/>
          <w:sz w:val="16"/>
          <w:szCs w:val="16"/>
          <w:color w:val="auto"/>
        </w:rPr>
        <w:t>” means all Liabilities from time to time owing by any Restricted Person to any Lender Party under or pursuant to any of the Canadian Advances, Canadian Notes and Canadian Letters of Credit, including all Canadian LC Obligations owing thereunder, or under or pursuant to any guaranty of the obligations of either Canadian Borrower under the Loan Documents. “</w:t>
      </w:r>
      <w:r>
        <w:rPr>
          <w:rFonts w:ascii="Arial" w:cs="Arial" w:eastAsia="Arial" w:hAnsi="Arial"/>
          <w:sz w:val="16"/>
          <w:szCs w:val="16"/>
          <w:u w:val="single" w:color="auto"/>
          <w:color w:val="auto"/>
        </w:rPr>
        <w:t>Canadian Obligation</w:t>
      </w:r>
      <w:r>
        <w:rPr>
          <w:rFonts w:ascii="Arial" w:cs="Arial" w:eastAsia="Arial" w:hAnsi="Arial"/>
          <w:sz w:val="16"/>
          <w:szCs w:val="16"/>
          <w:color w:val="auto"/>
        </w:rPr>
        <w:t>” means any part of the Canadian Obligations.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Percentage Share</w:t>
      </w:r>
      <w:r>
        <w:rPr>
          <w:rFonts w:ascii="Arial" w:cs="Arial" w:eastAsia="Arial" w:hAnsi="Arial"/>
          <w:sz w:val="18"/>
          <w:szCs w:val="18"/>
          <w:color w:val="auto"/>
        </w:rPr>
        <w:t>” means:</w:t>
      </w:r>
    </w:p>
    <w:p>
      <w:pPr>
        <w:spacing w:after="0" w:line="225" w:lineRule="exact"/>
        <w:rPr>
          <w:sz w:val="20"/>
          <w:szCs w:val="20"/>
          <w:color w:val="auto"/>
        </w:rPr>
      </w:pPr>
    </w:p>
    <w:p>
      <w:pPr>
        <w:jc w:val="both"/>
        <w:ind w:right="620" w:firstLine="656"/>
        <w:spacing w:after="0" w:line="312" w:lineRule="auto"/>
        <w:tabs>
          <w:tab w:leader="none" w:pos="1307" w:val="left"/>
        </w:tabs>
        <w:numPr>
          <w:ilvl w:val="0"/>
          <w:numId w:val="6"/>
        </w:numPr>
        <w:rPr>
          <w:rFonts w:ascii="Arial" w:cs="Arial" w:eastAsia="Arial" w:hAnsi="Arial"/>
          <w:sz w:val="16"/>
          <w:szCs w:val="16"/>
          <w:color w:val="auto"/>
        </w:rPr>
      </w:pPr>
      <w:r>
        <w:rPr>
          <w:rFonts w:ascii="Arial" w:cs="Arial" w:eastAsia="Arial" w:hAnsi="Arial"/>
          <w:sz w:val="16"/>
          <w:szCs w:val="16"/>
          <w:color w:val="auto"/>
        </w:rPr>
        <w:t>at any time the US Commitments remain outstanding and not during a Canadian Allocation Period, with respect to each Lender, the Canadian Percentage Share of such Lender, its Canadian branch or affiliate set forth opposite such Lender’s, Canadian branch’s or affiliate’s name on Schedule II or in the Assignment and Assumption pursuant to which such Lender, Canadian branch or affiliate becomes a party hereto;</w:t>
      </w:r>
    </w:p>
    <w:p>
      <w:pPr>
        <w:sectPr>
          <w:pgSz w:w="11900" w:h="16838" w:orient="portrait"/>
          <w:cols w:equalWidth="0" w:num="1">
            <w:col w:w="11400"/>
          </w:cols>
          <w:pgMar w:left="240" w:top="125" w:right="259" w:bottom="0" w:gutter="0" w:footer="0" w:header="0"/>
        </w:sectPr>
      </w:pPr>
    </w:p>
    <w:bookmarkStart w:id="9" w:name="page10"/>
    <w:bookmarkEnd w:id="9"/>
    <w:p>
      <w:pPr>
        <w:ind w:firstLine="656"/>
        <w:spacing w:after="0" w:line="312" w:lineRule="auto"/>
        <w:tabs>
          <w:tab w:leader="none" w:pos="1304"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at any time the Canadian Commitments remain outstanding and during a Canadian Allocation Period, with respect to each Canadian Lender, a fraction (expressed as a percentage, carried out to the sixth decimal place), the </w:t>
      </w:r>
      <w:r>
        <w:rPr>
          <w:rFonts w:ascii="Arial" w:cs="Arial" w:eastAsia="Arial" w:hAnsi="Arial"/>
          <w:sz w:val="16"/>
          <w:szCs w:val="16"/>
          <w:u w:val="single" w:color="auto"/>
          <w:color w:val="auto"/>
        </w:rPr>
        <w:t>numerator</w:t>
      </w:r>
      <w:r>
        <w:rPr>
          <w:rFonts w:ascii="Arial" w:cs="Arial" w:eastAsia="Arial" w:hAnsi="Arial"/>
          <w:sz w:val="16"/>
          <w:szCs w:val="16"/>
          <w:color w:val="auto"/>
        </w:rPr>
        <w:t xml:space="preserve"> of which is the amount of the Canadian Commitment of such Canadian Lender at such time and the </w:t>
      </w:r>
      <w:r>
        <w:rPr>
          <w:rFonts w:ascii="Arial" w:cs="Arial" w:eastAsia="Arial" w:hAnsi="Arial"/>
          <w:sz w:val="16"/>
          <w:szCs w:val="16"/>
          <w:u w:val="single" w:color="auto"/>
          <w:color w:val="auto"/>
        </w:rPr>
        <w:t>denominator</w:t>
      </w:r>
      <w:r>
        <w:rPr>
          <w:rFonts w:ascii="Arial" w:cs="Arial" w:eastAsia="Arial" w:hAnsi="Arial"/>
          <w:sz w:val="16"/>
          <w:szCs w:val="16"/>
          <w:color w:val="auto"/>
        </w:rPr>
        <w:t xml:space="preserve"> of which is the amount of the Canadian Allocated Total Commitment at such time; and</w:t>
      </w:r>
    </w:p>
    <w:p>
      <w:pPr>
        <w:spacing w:after="0" w:line="146" w:lineRule="exact"/>
        <w:rPr>
          <w:rFonts w:ascii="Arial" w:cs="Arial" w:eastAsia="Arial" w:hAnsi="Arial"/>
          <w:sz w:val="16"/>
          <w:szCs w:val="16"/>
          <w:color w:val="auto"/>
        </w:rPr>
      </w:pPr>
    </w:p>
    <w:p>
      <w:pPr>
        <w:ind w:right="40" w:firstLine="656"/>
        <w:spacing w:after="0" w:line="277" w:lineRule="auto"/>
        <w:tabs>
          <w:tab w:leader="none" w:pos="1307"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upon the termination of the US Commitments and Canadian Commitments pursuant to Section 8.1, with respect to each Canadian Lender, a fraction (expressed as a percentage, carried out to the sixth decimal place), the </w:t>
      </w:r>
      <w:r>
        <w:rPr>
          <w:rFonts w:ascii="Arial" w:cs="Arial" w:eastAsia="Arial" w:hAnsi="Arial"/>
          <w:sz w:val="18"/>
          <w:szCs w:val="18"/>
          <w:u w:val="single" w:color="auto"/>
          <w:color w:val="auto"/>
        </w:rPr>
        <w:t>numerator</w:t>
      </w:r>
      <w:r>
        <w:rPr>
          <w:rFonts w:ascii="Arial" w:cs="Arial" w:eastAsia="Arial" w:hAnsi="Arial"/>
          <w:sz w:val="18"/>
          <w:szCs w:val="18"/>
          <w:color w:val="auto"/>
        </w:rPr>
        <w:t xml:space="preserve"> of which 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 of</w:t>
      </w:r>
    </w:p>
    <w:p>
      <w:pPr>
        <w:spacing w:after="0" w:line="225" w:lineRule="exact"/>
        <w:rPr>
          <w:sz w:val="20"/>
          <w:szCs w:val="20"/>
          <w:color w:val="auto"/>
        </w:rPr>
      </w:pPr>
    </w:p>
    <w:p>
      <w:pPr>
        <w:ind w:left="1520" w:hanging="215"/>
        <w:spacing w:after="0"/>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Outstanding Amount of Canadian Advances of such Canadian Lender </w:t>
      </w: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ind w:left="660" w:right="540" w:firstLine="645"/>
        <w:spacing w:after="0" w:line="342" w:lineRule="auto"/>
        <w:tabs>
          <w:tab w:leader="none" w:pos="1573"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an amount equal to (A) the Outstanding Amount of Canadian Advances of such Canadian Lender </w:t>
      </w:r>
      <w:r>
        <w:rPr>
          <w:rFonts w:ascii="Arial" w:cs="Arial" w:eastAsia="Arial" w:hAnsi="Arial"/>
          <w:sz w:val="16"/>
          <w:szCs w:val="16"/>
          <w:u w:val="single" w:color="auto"/>
          <w:color w:val="auto"/>
        </w:rPr>
        <w:t>divided</w:t>
      </w:r>
      <w:r>
        <w:rPr>
          <w:rFonts w:ascii="Arial" w:cs="Arial" w:eastAsia="Arial" w:hAnsi="Arial"/>
          <w:sz w:val="16"/>
          <w:szCs w:val="16"/>
          <w:color w:val="auto"/>
        </w:rPr>
        <w:t xml:space="preserve"> by (B) the Outstanding Amount of Canadian Advances of all Canadian Lenders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(C) the Outstanding Amount of all Canadian LC Obligations, and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denominator</w:t>
      </w:r>
      <w:r>
        <w:rPr>
          <w:rFonts w:ascii="Arial" w:cs="Arial" w:eastAsia="Arial" w:hAnsi="Arial"/>
          <w:sz w:val="18"/>
          <w:szCs w:val="18"/>
          <w:color w:val="auto"/>
        </w:rPr>
        <w:t xml:space="preserve"> of which is the Canadian Total Outstanding Amount.</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initial Canadian Percentage Share of each Lender, its Canadian branch or affiliate is set forth opposite the name of such Lender on Schedule II or in the Assignment and Assumption pursuant to which such Lender becomes a party hereto, as applicable.</w:t>
      </w:r>
    </w:p>
    <w:p>
      <w:pPr>
        <w:spacing w:after="0" w:line="170"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Prime Rate</w:t>
      </w:r>
      <w:r>
        <w:rPr>
          <w:rFonts w:ascii="Arial" w:cs="Arial" w:eastAsia="Arial" w:hAnsi="Arial"/>
          <w:sz w:val="17"/>
          <w:szCs w:val="17"/>
          <w:color w:val="auto"/>
        </w:rPr>
        <w:t>” means on any day a fluctuating rate of interest per annum equal to the higher of (i) the rate of interest per annum most recently announced by Canadian Administrative Agent as its reference rate for Canadian Dollar commercial demand loans made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to a Person in Canada; and (ii) Canadian Administrative Agent’s discount rate for Bankers’ Acceptances having a maturity of one month plus one-half percent (0.5%) per annum. Changes in the Canadian Prime Rate resulting from changes in the foregoing described reference rate or discount rate shall take place immediately without notice or demand of any kind.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Prime Rate Loan</w:t>
      </w:r>
      <w:r>
        <w:rPr>
          <w:rFonts w:ascii="Arial" w:cs="Arial" w:eastAsia="Arial" w:hAnsi="Arial"/>
          <w:sz w:val="18"/>
          <w:szCs w:val="18"/>
          <w:color w:val="auto"/>
        </w:rPr>
        <w:t>” means a Canadian Loan which bears interest at a rate based upon the Canadian Prime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Total Committed Amount</w:t>
      </w:r>
      <w:r>
        <w:rPr>
          <w:rFonts w:ascii="Arial" w:cs="Arial" w:eastAsia="Arial" w:hAnsi="Arial"/>
          <w:sz w:val="17"/>
          <w:szCs w:val="17"/>
          <w:color w:val="auto"/>
        </w:rPr>
        <w:t>” means, at any time, the sum of the aggregate amount of the Canadian Commitments at such time.</w:t>
      </w:r>
    </w:p>
    <w:p>
      <w:pPr>
        <w:spacing w:after="0" w:line="23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Total Outstanding Amount</w:t>
      </w:r>
      <w:r>
        <w:rPr>
          <w:rFonts w:ascii="Arial" w:cs="Arial" w:eastAsia="Arial" w:hAnsi="Arial"/>
          <w:sz w:val="18"/>
          <w:szCs w:val="18"/>
          <w:color w:val="auto"/>
        </w:rPr>
        <w:t xml:space="preserve">” means, at any time, the sum of (i) the Outstanding Amount of Canadian Advances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Outstanding Amount of Canadian LC Obligations.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US Dollar Base Rate</w:t>
      </w:r>
      <w:r>
        <w:rPr>
          <w:rFonts w:ascii="Arial" w:cs="Arial" w:eastAsia="Arial" w:hAnsi="Arial"/>
          <w:sz w:val="18"/>
          <w:szCs w:val="18"/>
          <w:color w:val="auto"/>
        </w:rPr>
        <w:t>” means for a day, the rate per annum equal to the higher of (a) the Federal Funds Rate for such day plus one-half of one percent (0.5%) and (b) the rate of interest per annum most recently established by Canadian Administrative Agent as its reference rate for US Dollar commercial loans made to a Person in Canada. Any change in the Canadian US Dollar Base Rate due to a change in Canadian Administrative Agent’s reference rate shall be effective on the effective date of such change.</w:t>
      </w:r>
    </w:p>
    <w:p>
      <w:pPr>
        <w:spacing w:after="0" w:line="187"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US Dollar Base Rate Loan</w:t>
      </w:r>
      <w:r>
        <w:rPr>
          <w:rFonts w:ascii="Arial" w:cs="Arial" w:eastAsia="Arial" w:hAnsi="Arial"/>
          <w:sz w:val="17"/>
          <w:szCs w:val="17"/>
          <w:color w:val="auto"/>
        </w:rPr>
        <w:t>” means (i) a US Dollar-denominated Canadian Loan, other than a US Dollar-denominated Swing Line Loan, to a Canadian Borrower, which does not bear interest at a rate based upon the Eurodollar Rate, or (ii) a US Dollar-denominated Swing Line Loan to a Canadian Borrower which does not bear interest at a rate based upon the Eurodollar Market Index Rate or the Eurodollar Rate.</w:t>
      </w:r>
    </w:p>
    <w:p>
      <w:pPr>
        <w:spacing w:after="0" w:line="1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 lease with respect to which the lessee is required concurrently to recognize the acquisition of an asset and the incurrence of a liability in accordance with GAAP.</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w:t>
      </w:r>
      <w:r>
        <w:rPr>
          <w:rFonts w:ascii="Arial" w:cs="Arial" w:eastAsia="Arial" w:hAnsi="Arial"/>
          <w:sz w:val="18"/>
          <w:szCs w:val="18"/>
          <w:color w:val="auto"/>
        </w:rPr>
        <w:t>” means, with respect to any Person and a Capital Lease, the amount of the obligation of such Person as the lessee under such Capital Lease which would, in accordance with GAAP, appear as a liability on a balance sheet of such Person.</w:t>
      </w:r>
    </w:p>
    <w:p>
      <w:pPr>
        <w:spacing w:after="0" w:line="170"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and Carry Purchases</w:t>
      </w:r>
      <w:r>
        <w:rPr>
          <w:rFonts w:ascii="Arial" w:cs="Arial" w:eastAsia="Arial" w:hAnsi="Arial"/>
          <w:sz w:val="17"/>
          <w:szCs w:val="17"/>
          <w:color w:val="auto"/>
        </w:rPr>
        <w:t>” means purchases of Petroleum Products for physical storage or in storage or in transit in pipelines which has been hedged by either a NYMEX contract, an OTC contract, an Intercontinental Exchange contract, or a contract for physical delivery.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has the meaning specified in Section 2.10(g).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Investments in:</w:t>
      </w:r>
    </w:p>
    <w:p>
      <w:pPr>
        <w:spacing w:after="0" w:line="225" w:lineRule="exact"/>
        <w:rPr>
          <w:sz w:val="20"/>
          <w:szCs w:val="20"/>
          <w:color w:val="auto"/>
        </w:rPr>
      </w:pPr>
    </w:p>
    <w:p>
      <w:pPr>
        <w:jc w:val="both"/>
        <w:ind w:right="160" w:firstLine="656"/>
        <w:spacing w:after="0" w:line="264" w:lineRule="auto"/>
        <w:tabs>
          <w:tab w:leader="none" w:pos="1307"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marketable obligations, maturing within 12 months after acquisition thereof, issued or unconditionally guaranteed by the United States of America or the federal government of Canada or an instrumentality or agency thereof and entitled to the full faith and credit of the United States of America or the federal government of Canada, as the case may be;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656"/>
        <w:spacing w:after="0" w:line="279" w:lineRule="auto"/>
        <w:tabs>
          <w:tab w:leader="none" w:pos="1304"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demand deposits and time deposits (including certificates of deposit) maturing within 12 months from the date of deposit thereof, (i) with any office of any Lender or (ii) with a domestic office of any national, state or provincial bank or trust company which is organized under the Laws of the United States of America or any state therein, or the federal government of Canada or any province therein, which has capital, surplus and undivided profits of at least $500,000,000, and whose long term certificates of deposit are rated at least Aa3 by Moody’s or AA- by S&amp;P;</w:t>
      </w:r>
    </w:p>
    <w:p>
      <w:pPr>
        <w:spacing w:after="0" w:line="171" w:lineRule="exact"/>
        <w:rPr>
          <w:rFonts w:ascii="Arial" w:cs="Arial" w:eastAsia="Arial" w:hAnsi="Arial"/>
          <w:sz w:val="17"/>
          <w:szCs w:val="17"/>
          <w:color w:val="auto"/>
        </w:rPr>
      </w:pPr>
    </w:p>
    <w:p>
      <w:pPr>
        <w:ind w:right="420" w:firstLine="656"/>
        <w:spacing w:after="0" w:line="277" w:lineRule="auto"/>
        <w:tabs>
          <w:tab w:leader="none" w:pos="1307"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subsection (a) above entered into with (i) any Lender or (ii) any other commercial bank meeting the specifications of subsection (b) above;</w:t>
      </w:r>
    </w:p>
    <w:p>
      <w:pPr>
        <w:sectPr>
          <w:pgSz w:w="11900" w:h="16838" w:orient="portrait"/>
          <w:cols w:equalWidth="0" w:num="1">
            <w:col w:w="11420"/>
          </w:cols>
          <w:pgMar w:left="240" w:top="125" w:right="239" w:bottom="0" w:gutter="0" w:footer="0" w:header="0"/>
        </w:sectPr>
      </w:pPr>
    </w:p>
    <w:bookmarkStart w:id="10" w:name="page11"/>
    <w:bookmarkEnd w:id="10"/>
    <w:p>
      <w:pPr>
        <w:spacing w:after="0" w:line="137" w:lineRule="exact"/>
        <w:rPr>
          <w:sz w:val="20"/>
          <w:szCs w:val="20"/>
          <w:color w:val="auto"/>
        </w:rPr>
      </w:pPr>
    </w:p>
    <w:p>
      <w:pPr>
        <w:ind w:left="1320" w:hanging="664"/>
        <w:spacing w:after="0"/>
        <w:tabs>
          <w:tab w:leader="none" w:pos="1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open market commercial paper, maturing within 270 days after acquisition thereof, which are rated at least P-1 by Moody’s or A-1 by S&amp;P;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1320" w:hanging="664"/>
        <w:spacing w:after="0"/>
        <w:tabs>
          <w:tab w:leader="none" w:pos="13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money market or other mutual funds substantially all of whose assets comprise securities of the types described in subsections (a) through</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above.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w:t>
      </w:r>
    </w:p>
    <w:p>
      <w:pPr>
        <w:spacing w:after="0" w:line="225" w:lineRule="exact"/>
        <w:rPr>
          <w:sz w:val="20"/>
          <w:szCs w:val="20"/>
          <w:color w:val="auto"/>
        </w:rPr>
      </w:pPr>
    </w:p>
    <w:p>
      <w:pPr>
        <w:ind w:right="340" w:firstLine="656"/>
        <w:spacing w:after="0" w:line="277" w:lineRule="auto"/>
        <w:tabs>
          <w:tab w:leader="none" w:pos="13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Qualifying Directors cease for any reason to constitute collectively a majority of the members of the board of directors of GP LLC (the “Board”) then in office;</w:t>
      </w:r>
    </w:p>
    <w:p>
      <w:pPr>
        <w:spacing w:after="0" w:line="170" w:lineRule="exact"/>
        <w:rPr>
          <w:rFonts w:ascii="Arial" w:cs="Arial" w:eastAsia="Arial" w:hAnsi="Arial"/>
          <w:sz w:val="18"/>
          <w:szCs w:val="18"/>
          <w:color w:val="auto"/>
        </w:rPr>
      </w:pPr>
    </w:p>
    <w:p>
      <w:pPr>
        <w:ind w:right="40" w:firstLine="656"/>
        <w:spacing w:after="0" w:line="277" w:lineRule="auto"/>
        <w:tabs>
          <w:tab w:leader="none" w:pos="1327" w:val="left"/>
        </w:tabs>
        <w:numPr>
          <w:ilvl w:val="0"/>
          <w:numId w:val="14"/>
        </w:numPr>
        <w:rPr>
          <w:rFonts w:ascii="Arial" w:cs="Arial" w:eastAsia="Arial" w:hAnsi="Arial"/>
          <w:sz w:val="18"/>
          <w:szCs w:val="18"/>
          <w:color w:val="auto"/>
        </w:rPr>
      </w:pPr>
      <w:r>
        <w:rPr>
          <w:rFonts w:ascii="Arial" w:cs="Arial" w:eastAsia="Arial" w:hAnsi="Arial"/>
          <w:sz w:val="18"/>
          <w:szCs w:val="18"/>
          <w:color w:val="auto"/>
        </w:rPr>
        <w:t>GP LLC shall cease to be, directly or indirectly, the beneficial owner (within the meaning of Rule 13d-3 under the Securities Exchange Act of 1934, as amended) of all of the general partner interests of General Partner.</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General Partner shall cease to be, directly or indirectly, the beneficial owner (as defined above) of all of the general partner interests of US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 or</w:t>
      </w:r>
    </w:p>
    <w:p>
      <w:pPr>
        <w:spacing w:after="0" w:line="210" w:lineRule="exact"/>
        <w:rPr>
          <w:rFonts w:ascii="Arial" w:cs="Arial" w:eastAsia="Arial" w:hAnsi="Arial"/>
          <w:sz w:val="16"/>
          <w:szCs w:val="16"/>
          <w:color w:val="auto"/>
        </w:rPr>
      </w:pPr>
    </w:p>
    <w:p>
      <w:pPr>
        <w:ind w:right="480" w:firstLine="656"/>
        <w:spacing w:after="0" w:line="277" w:lineRule="auto"/>
        <w:tabs>
          <w:tab w:leader="none" w:pos="13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Neither General Partner nor US Borrower shall continue to be, directly or indirectly, the beneficial owner of all of the general partner interests in Plains Marketing and Plains Pipeline; or</w:t>
      </w:r>
    </w:p>
    <w:p>
      <w:pPr>
        <w:spacing w:after="0" w:line="170" w:lineRule="exact"/>
        <w:rPr>
          <w:rFonts w:ascii="Arial" w:cs="Arial" w:eastAsia="Arial" w:hAnsi="Arial"/>
          <w:sz w:val="18"/>
          <w:szCs w:val="18"/>
          <w:color w:val="auto"/>
        </w:rPr>
      </w:pPr>
    </w:p>
    <w:p>
      <w:pPr>
        <w:ind w:right="100" w:firstLine="656"/>
        <w:spacing w:after="0" w:line="264" w:lineRule="auto"/>
        <w:tabs>
          <w:tab w:leader="none" w:pos="13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Borrower shall cease to be, directly or indirectly, the beneficial owner (as defined above) of all of the outstanding partnership or equity interests in either Canadian Borrower, if after giving effect thereto, such Canadian Borrower has any outstanding Obligations or any Lender shall have any outstanding Canadian Commitment thereto.</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used herein, “</w:t>
      </w:r>
      <w:r>
        <w:rPr>
          <w:rFonts w:ascii="Arial" w:cs="Arial" w:eastAsia="Arial" w:hAnsi="Arial"/>
          <w:sz w:val="17"/>
          <w:szCs w:val="17"/>
          <w:u w:val="single" w:color="auto"/>
          <w:color w:val="auto"/>
        </w:rPr>
        <w:t>Qualifying Director</w:t>
      </w:r>
      <w:r>
        <w:rPr>
          <w:rFonts w:ascii="Arial" w:cs="Arial" w:eastAsia="Arial" w:hAnsi="Arial"/>
          <w:sz w:val="17"/>
          <w:szCs w:val="17"/>
          <w:color w:val="auto"/>
        </w:rPr>
        <w:t>” means (i) any Person designated by any Qualifying Owner as its representative on the Board, (ii) so long as Qualifying Owners own a majority of the ownership interests of GP LLC entitling the holders thereof to vote in elections for directors of GP LLC, any Person elected by a majority of such owners of GP LLC entitled to vote thereon, and (iii) the chief executive officer of GP LLC, and “</w:t>
      </w:r>
      <w:r>
        <w:rPr>
          <w:rFonts w:ascii="Arial" w:cs="Arial" w:eastAsia="Arial" w:hAnsi="Arial"/>
          <w:sz w:val="17"/>
          <w:szCs w:val="17"/>
          <w:u w:val="single" w:color="auto"/>
          <w:color w:val="auto"/>
        </w:rPr>
        <w:t>Qualifying Owner</w:t>
      </w:r>
      <w:r>
        <w:rPr>
          <w:rFonts w:ascii="Arial" w:cs="Arial" w:eastAsia="Arial" w:hAnsi="Arial"/>
          <w:sz w:val="17"/>
          <w:szCs w:val="17"/>
          <w:color w:val="auto"/>
        </w:rPr>
        <w:t>” means Kayne Anderson Investment Management, EnCap Investments LLC, Vulcan Energy Corporation or any Affiliate of any of the foregoing.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first date all the conditions precedent in Sections 4.1 and 4.2 are satisfied or waived in accordance with Section 10.1 and a Borrower’s initial funding request hereunder is so funded.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 from time to time, together with all rules and regulations promulgated with respect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collectively, the US Commitments and the Canadian Commitments.</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 Period</w:t>
      </w:r>
      <w:r>
        <w:rPr>
          <w:rFonts w:ascii="Arial" w:cs="Arial" w:eastAsia="Arial" w:hAnsi="Arial"/>
          <w:sz w:val="16"/>
          <w:szCs w:val="16"/>
          <w:color w:val="auto"/>
        </w:rPr>
        <w:t>” means the period from and including the date hereof until the Maturity Date (or, if earlier, the day on which the obligation of Lenders to make Loans to Borrowers hereunder pursuant to Section 2.1(a) or (c) and the obligation of LC Issuers to issue Letters of Credit at the request of Borrowers pursuant to Section 2.10 has been terminated or the day on which any of the Notes first becomes due and payable in full).</w:t>
      </w:r>
    </w:p>
    <w:p>
      <w:pPr>
        <w:spacing w:after="0" w:line="147"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Companies’ Creditors Arrangement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Companies’ Creditors Arrangement Act</w:t>
      </w:r>
      <w:r>
        <w:rPr>
          <w:rFonts w:ascii="Arial" w:cs="Arial" w:eastAsia="Arial" w:hAnsi="Arial"/>
          <w:sz w:val="18"/>
          <w:szCs w:val="18"/>
          <w:color w:val="auto"/>
        </w:rPr>
        <w:t xml:space="preserve"> , R.S.C. 1985, c. C-36, including the regulations made and from time to time in force under that Act.</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w:t>
      </w:r>
      <w:r>
        <w:rPr>
          <w:rFonts w:ascii="Arial" w:cs="Arial" w:eastAsia="Arial" w:hAnsi="Arial"/>
          <w:sz w:val="17"/>
          <w:szCs w:val="17"/>
          <w:color w:val="auto"/>
        </w:rPr>
        <w:t>” refers to the consolidation of any Person, in accordance with GAAP, with its properly consolidated subsidiaries. References herein to a Person’s Consolidated financial statements, financial position, financial condition, liabilities, etc. refer to the consolidated financial statements, financial position, financial condition, liabilities, etc. of such Person and its properly consolidated subsidiaries.</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period, the sum of (1) the Consolidated Net Income during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all interest expense that was deducted in determining such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(3) all income taxes (including any franchise taxes to the extent based upon net income) that were deducted in determining such Consolidated Net Income,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(4) all depreciation, amortization (including amortization of good will and debt issue costs) and other non-cash charges (including any provision for the reduction in the carrying value of assets recorded in accordance with GAAP) which were deducted in determining such Consolidated Net Income,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(5) all non-cash items of income which were included in determining such Consolidated Net Income.</w:t>
      </w:r>
    </w:p>
    <w:p>
      <w:pPr>
        <w:spacing w:after="0" w:line="19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Funded Indebtedness</w:t>
      </w:r>
      <w:r>
        <w:rPr>
          <w:rFonts w:ascii="Arial" w:cs="Arial" w:eastAsia="Arial" w:hAnsi="Arial"/>
          <w:sz w:val="16"/>
          <w:szCs w:val="16"/>
          <w:color w:val="auto"/>
        </w:rPr>
        <w:t>” means as of any date, the sum of the following (without duplication): (i) the outstanding principal amount of all Indebtedness which is classified as “long-term indebtedness” on a consolidated balance sheet of US Borrower and its Consolidated Subsidiaries (excluding Unrestricted Subsidiaries) prepared as of such date in accordance with GAAP (subject to year-end audit adjustments with respect to non-year end periods) and any current maturities and other principal amount in respect of such Indebtedness due within one year but which was classified as “long-term indebtedness” at the creation thereof; (ii) the outstanding principal amount of Indebtedness for borrowed money of US Borrower and its Consolidated Subsidiaries (excluding Unrestricted Subsidiaries) outstanding under a revolving credit, term or similar agreement (and renewals and extensions thereof); and</w:t>
      </w:r>
    </w:p>
    <w:p>
      <w:pPr>
        <w:spacing w:after="0" w:line="5" w:lineRule="exact"/>
        <w:rPr>
          <w:sz w:val="20"/>
          <w:szCs w:val="20"/>
          <w:color w:val="auto"/>
        </w:rPr>
      </w:pPr>
    </w:p>
    <w:p>
      <w:pPr>
        <w:ind w:left="5620" w:right="3980" w:hanging="5612"/>
        <w:spacing w:after="0" w:line="511" w:lineRule="auto"/>
        <w:tabs>
          <w:tab w:leader="none" w:pos="3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outstanding principal amount of Indebtedness in respect of Capital Leases of US Borrower and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 xml:space="preserve">its Consolidated Subsidiaries (excluding Unrestricted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Consolidated Funded Indebtedness shall not, if otherwise applicable, include (x) Indebtedness in respect of letters of credit, (y) Indebtedness incurred to finance Cash and Carry Purchases or (z) margin deposits.</w:t>
      </w:r>
    </w:p>
    <w:p>
      <w:pPr>
        <w:spacing w:after="0" w:line="124"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means, for any period, US Borrower’s and its Subsidiaries’ (excluding Unrestricted Subsidiaries) gross revenues for such period, including any cash dividends or distributions actually received from any other Person during such period, minus US Borrower’s and its</w:t>
      </w:r>
    </w:p>
    <w:p>
      <w:pPr>
        <w:sectPr>
          <w:pgSz w:w="11900" w:h="16975" w:orient="portrait"/>
          <w:cols w:equalWidth="0" w:num="1">
            <w:col w:w="11400"/>
          </w:cols>
          <w:pgMar w:left="240" w:top="125" w:right="259" w:bottom="0" w:gutter="0" w:footer="0" w:header="0"/>
        </w:sectPr>
      </w:pPr>
    </w:p>
    <w:bookmarkStart w:id="11" w:name="page12"/>
    <w:bookmarkEnd w:id="11"/>
    <w:p>
      <w:pPr>
        <w:spacing w:after="0" w:line="293" w:lineRule="auto"/>
        <w:rPr>
          <w:sz w:val="20"/>
          <w:szCs w:val="20"/>
          <w:color w:val="auto"/>
        </w:rPr>
      </w:pPr>
      <w:r>
        <w:rPr>
          <w:rFonts w:ascii="Arial" w:cs="Arial" w:eastAsia="Arial" w:hAnsi="Arial"/>
          <w:sz w:val="16"/>
          <w:szCs w:val="16"/>
          <w:color w:val="auto"/>
        </w:rPr>
        <w:t>Subsidiaries’ (excluding Unrestricted Subsidiaries) expenses and other proper charges against income (including taxes on income, to the extent imposed), determined on a Consolidated basis after eliminating earnings or losses attributable to outstanding minority interests and excluding the net earnings of any Person other than a Subsidiary in which US Borrower or any of its Subsidiaries (excluding Unrestricted Subsidiaries) has an ownership interest. Consolidated Net Income shall not include (i) any gain or loss from the sale of assets, (ii) any extraordinary gains or losses, or (iii) any non-cash gains or losses resulting from mark to market activity as a result of the implementation of SFAS 133 or EITF 98-10. In addition, Consolidated Net Income shall not include the cost or proceeds of purchasing or selling options which are used to hedge future activity, until the period in which such hedged future activity occurs.</w:t>
      </w:r>
    </w:p>
    <w:p>
      <w:pPr>
        <w:spacing w:after="0" w:line="165"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Tangible Net Worth</w:t>
      </w:r>
      <w:r>
        <w:rPr>
          <w:rFonts w:ascii="Arial" w:cs="Arial" w:eastAsia="Arial" w:hAnsi="Arial"/>
          <w:sz w:val="16"/>
          <w:szCs w:val="16"/>
          <w:color w:val="auto"/>
        </w:rPr>
        <w:t xml:space="preserve">” means the remainder of (i) all Consolidated assets, as determined in accordance with GAAP, of US Borrower and its Subsidiaries (excluding Unrestricted Subsidiaries)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sum of (a) US Borrower’s Consolidated liabilities (excluding liabilities of Unrestricted Subsidiaries, to the extent included therein), as determined in accordance with GAAP, (b) the book value of any equity interests in any of US Borrower’s Subsidiaries (excluding Unrestricted Subsidiaries) which equity interests are owned by a Person other than US Borrower or a Wholly Owned Subsidiary of US Borrower; and (c) the net book value of all assets that would be treated as intangible under GAAP, including goodwill, trademarks, trade names and service marks, excluding fifty percent (50%) of goodwill attributed to the PPX Acquisition. The effect of any increase or decrease of net worth in any period as a result of items of income or loss not reflected in the determination of net income but reflected in the determination of comprehensive income (to the extent provided under GAAP as in effect on the date hereof) shall be excluded in determining Consolidated Tangible Net Worth.</w:t>
      </w:r>
    </w:p>
    <w:p>
      <w:pPr>
        <w:spacing w:after="0" w:line="16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Contango Credit Agreement</w:t>
      </w:r>
      <w:r>
        <w:rPr>
          <w:rFonts w:ascii="Arial" w:cs="Arial" w:eastAsia="Arial" w:hAnsi="Arial"/>
          <w:sz w:val="18"/>
          <w:szCs w:val="18"/>
          <w:color w:val="auto"/>
        </w:rPr>
        <w:t>” means that certain Restated Credit Agreement dated November 19, 2004, as amended by First Amendment to Restated Credit Agreement dated April 20, 2005, Second Amendment to Restated Credit Agreement dated May 20, 2005, Third Amendment to Restated Credit Agreement dated November 4, 2005, and as further amended from time to time, among Plains Marketing, Bank of America, N.A., as administrative agent, and the lenders named therein.</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Continue</w:t>
      </w:r>
      <w:r>
        <w:rPr>
          <w:rFonts w:ascii="Arial" w:cs="Arial" w:eastAsia="Arial" w:hAnsi="Arial"/>
          <w:sz w:val="18"/>
          <w:szCs w:val="18"/>
          <w:color w:val="auto"/>
        </w:rPr>
        <w:t>”, “</w:t>
      </w:r>
      <w:r>
        <w:rPr>
          <w:rFonts w:ascii="Arial" w:cs="Arial" w:eastAsia="Arial" w:hAnsi="Arial"/>
          <w:sz w:val="18"/>
          <w:szCs w:val="18"/>
          <w:u w:val="single" w:color="auto"/>
          <w:color w:val="auto"/>
        </w:rPr>
        <w:t>Continuation</w:t>
      </w:r>
      <w:r>
        <w:rPr>
          <w:rFonts w:ascii="Arial" w:cs="Arial" w:eastAsia="Arial" w:hAnsi="Arial"/>
          <w:sz w:val="18"/>
          <w:szCs w:val="18"/>
          <w:color w:val="auto"/>
        </w:rPr>
        <w:t>” and “</w:t>
      </w:r>
      <w:r>
        <w:rPr>
          <w:rFonts w:ascii="Arial" w:cs="Arial" w:eastAsia="Arial" w:hAnsi="Arial"/>
          <w:sz w:val="18"/>
          <w:szCs w:val="18"/>
          <w:u w:val="single" w:color="auto"/>
          <w:color w:val="auto"/>
        </w:rPr>
        <w:t>Continued</w:t>
      </w:r>
      <w:r>
        <w:rPr>
          <w:rFonts w:ascii="Arial" w:cs="Arial" w:eastAsia="Arial" w:hAnsi="Arial"/>
          <w:sz w:val="18"/>
          <w:szCs w:val="18"/>
          <w:color w:val="auto"/>
        </w:rPr>
        <w:t>” shall refer to (i) the continuation pursuant to Section 2.3 of a Eurodollar Loan as a Eurodollar Loan from one Interest Period to the next Interest Period and (ii) a rollover of a Banker’s Acceptance at maturity.</w:t>
      </w:r>
    </w:p>
    <w:p>
      <w:pPr>
        <w:spacing w:after="0" w:line="170"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Continuation/Conversion Notice</w:t>
      </w:r>
      <w:r>
        <w:rPr>
          <w:rFonts w:ascii="Arial" w:cs="Arial" w:eastAsia="Arial" w:hAnsi="Arial"/>
          <w:sz w:val="18"/>
          <w:szCs w:val="18"/>
          <w:color w:val="auto"/>
        </w:rPr>
        <w:t>” means a written or telephonic request, or a written confirmation, made by a Borrower which meets the requirements of Section 2.3.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w:t>
      </w:r>
      <w:r>
        <w:rPr>
          <w:rFonts w:ascii="Arial" w:cs="Arial" w:eastAsia="Arial" w:hAnsi="Arial"/>
          <w:sz w:val="18"/>
          <w:szCs w:val="18"/>
          <w:color w:val="auto"/>
        </w:rPr>
        <w:t>”, “</w:t>
      </w:r>
      <w:r>
        <w:rPr>
          <w:rFonts w:ascii="Arial" w:cs="Arial" w:eastAsia="Arial" w:hAnsi="Arial"/>
          <w:sz w:val="18"/>
          <w:szCs w:val="18"/>
          <w:u w:val="single" w:color="auto"/>
          <w:color w:val="auto"/>
        </w:rPr>
        <w:t>Conversion</w:t>
      </w:r>
      <w:r>
        <w:rPr>
          <w:rFonts w:ascii="Arial" w:cs="Arial" w:eastAsia="Arial" w:hAnsi="Arial"/>
          <w:sz w:val="18"/>
          <w:szCs w:val="18"/>
          <w:color w:val="auto"/>
        </w:rPr>
        <w:t>” and “</w:t>
      </w:r>
      <w:r>
        <w:rPr>
          <w:rFonts w:ascii="Arial" w:cs="Arial" w:eastAsia="Arial" w:hAnsi="Arial"/>
          <w:sz w:val="18"/>
          <w:szCs w:val="18"/>
          <w:u w:val="single" w:color="auto"/>
          <w:color w:val="auto"/>
        </w:rPr>
        <w:t>Convert</w:t>
      </w:r>
      <w:r>
        <w:rPr>
          <w:rFonts w:ascii="Arial" w:cs="Arial" w:eastAsia="Arial" w:hAnsi="Arial"/>
          <w:sz w:val="18"/>
          <w:szCs w:val="18"/>
          <w:color w:val="auto"/>
        </w:rPr>
        <w:t>” refers to a conversion pursuant to Section 2.3 of one Type of US Loan into another Type of US Loan, or of one Type of Canadian Advance into another Type of Canadian Advance.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Coverage Ratio</w:t>
      </w:r>
      <w:r>
        <w:rPr>
          <w:rFonts w:ascii="Arial" w:cs="Arial" w:eastAsia="Arial" w:hAnsi="Arial"/>
          <w:sz w:val="18"/>
          <w:szCs w:val="18"/>
          <w:color w:val="auto"/>
        </w:rPr>
        <w:t>” shall have the meaning given that term in Section 7.8.</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of Default and any default, event or condition which would, with the giving of any requisite notices and the passage of any requisite periods of time, constitute an Event of Default.</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means any Lender Party that (a) has failed to fund any portion of the Loans or participations in LC Obligations or participations in Swing Line Loans required to be funded by it hereunder or failed to issue any Letter of Credit required to be issued by it hereunder, in either case within one Business Day of the date required for such funding or issuance by it hereunder, unless cured, (b) has otherwise failed to pay over to Administrative Agent or any other Lender any other amount required to be paid by it hereunder within one Business Day of the date when due, unless cured or the subject of a good faith dispute, (c) has otherwise materially breached any of its obligations hereunder or under any other Loan Document, unless cured, or (d) has been deemed insolvent or become the subject of a bankruptcy or insolvency proceeding.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means, at the time in question, two percent (2%) per annum plus:</w:t>
      </w:r>
    </w:p>
    <w:p>
      <w:pPr>
        <w:spacing w:after="0" w:line="225" w:lineRule="exact"/>
        <w:rPr>
          <w:sz w:val="20"/>
          <w:szCs w:val="20"/>
          <w:color w:val="auto"/>
        </w:rPr>
      </w:pPr>
    </w:p>
    <w:p>
      <w:pPr>
        <w:ind w:left="1960" w:hanging="655"/>
        <w:spacing w:after="0"/>
        <w:tabs>
          <w:tab w:leader="none" w:pos="1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Eurodollar Rate plus the Applicable Margin then in effect for each Eurodollar Loan (up to the end of the applicable Interest</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ind w:left="660" w:right="320" w:firstLine="645"/>
        <w:spacing w:after="0" w:line="277" w:lineRule="auto"/>
        <w:tabs>
          <w:tab w:leader="none" w:pos="1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Base Rate plus the Applicable Margin then in effect for each Base Rate Loan or Dollar-denominated LC Borrowing by US Borrower, as the case may be,</w:t>
      </w:r>
    </w:p>
    <w:p>
      <w:pPr>
        <w:spacing w:after="0" w:line="170" w:lineRule="exact"/>
        <w:rPr>
          <w:rFonts w:ascii="Arial" w:cs="Arial" w:eastAsia="Arial" w:hAnsi="Arial"/>
          <w:sz w:val="18"/>
          <w:szCs w:val="18"/>
          <w:color w:val="auto"/>
        </w:rPr>
      </w:pPr>
    </w:p>
    <w:p>
      <w:pPr>
        <w:ind w:left="660" w:right="300" w:firstLine="645"/>
        <w:spacing w:after="0" w:line="277" w:lineRule="auto"/>
        <w:tabs>
          <w:tab w:leader="none" w:pos="19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Canadian Prime Rate plus the Applicable Margin for each Canadian Prime Rate Loan or Canadian Dollar-denominated LC Borrowing by a Canadian Borrower, as the case may be; or</w:t>
      </w:r>
    </w:p>
    <w:p>
      <w:pPr>
        <w:spacing w:after="0" w:line="170" w:lineRule="exact"/>
        <w:rPr>
          <w:rFonts w:ascii="Arial" w:cs="Arial" w:eastAsia="Arial" w:hAnsi="Arial"/>
          <w:sz w:val="18"/>
          <w:szCs w:val="18"/>
          <w:color w:val="auto"/>
        </w:rPr>
      </w:pPr>
    </w:p>
    <w:p>
      <w:pPr>
        <w:ind w:left="660" w:right="840" w:firstLine="645"/>
        <w:spacing w:after="0" w:line="277" w:lineRule="auto"/>
        <w:tabs>
          <w:tab w:leader="none" w:pos="1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Canadian US Dollar Base Rate plus the Applicable Margin for each Canadian US Dollar Base Rate Loan or Dollar-Denominated LC Borrowing by a Canadian Borrower, as the case may be;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provided, however, the Default Rate shall never exceed the Highest Lawful Rate.</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Rate Period</w:t>
      </w:r>
      <w:r>
        <w:rPr>
          <w:rFonts w:ascii="Arial" w:cs="Arial" w:eastAsia="Arial" w:hAnsi="Arial"/>
          <w:sz w:val="17"/>
          <w:szCs w:val="17"/>
          <w:color w:val="auto"/>
        </w:rPr>
        <w:t>” means (i) any period during which an Event of Default, other than pursuant to Section 8.1(a) or (b), is continuing, provided that such period shall not begin until notice of the commencement of the Default Rate has been given to the applicable Borrower by the relevant Agent upon the instruction by Majority Lenders and (ii) any period during which any Event of Default pursuant to Section 8.1(a) or (b) is continuing unless such applicable Borrower has been notified otherwise by the relevant Agent upon the instruction by Majority Lenders.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Depository Bills and Notes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Depository Bills and Notes Act</w:t>
      </w:r>
      <w:r>
        <w:rPr>
          <w:rFonts w:ascii="Arial" w:cs="Arial" w:eastAsia="Arial" w:hAnsi="Arial"/>
          <w:sz w:val="18"/>
          <w:szCs w:val="18"/>
          <w:color w:val="auto"/>
        </w:rPr>
        <w:t xml:space="preserve"> (Canada), R.S.C. 1998, c. 13, including the regulations made and, from time to time, in force under that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w:t>
      </w:r>
      <w:r>
        <w:rPr>
          <w:rFonts w:ascii="Arial" w:cs="Arial" w:eastAsia="Arial" w:hAnsi="Arial"/>
          <w:sz w:val="18"/>
          <w:szCs w:val="18"/>
          <w:color w:val="auto"/>
        </w:rPr>
        <w:t>” means Schedule III hereto.</w:t>
      </w:r>
    </w:p>
    <w:p>
      <w:pPr>
        <w:sectPr>
          <w:pgSz w:w="11900" w:h="16838" w:orient="portrait"/>
          <w:cols w:equalWidth="0" w:num="1">
            <w:col w:w="11380"/>
          </w:cols>
          <w:pgMar w:left="240" w:top="125" w:right="279" w:bottom="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Proceeds</w:t>
      </w:r>
      <w:r>
        <w:rPr>
          <w:rFonts w:ascii="Arial" w:cs="Arial" w:eastAsia="Arial" w:hAnsi="Arial"/>
          <w:sz w:val="18"/>
          <w:szCs w:val="18"/>
          <w:color w:val="auto"/>
        </w:rPr>
        <w:t>” means, in respect of each Bankers’ Acceptance, funds in an amount which is equal to:</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Face Amount</w:t>
      </w:r>
    </w:p>
    <w:p>
      <w:pPr>
        <w:spacing w:after="0" w:line="23" w:lineRule="exact"/>
        <w:rPr>
          <w:sz w:val="20"/>
          <w:szCs w:val="20"/>
          <w:color w:val="auto"/>
        </w:rPr>
      </w:pPr>
    </w:p>
    <w:p>
      <w:pPr>
        <w:ind w:left="2940"/>
        <w:spacing w:after="0"/>
        <w:tabs>
          <w:tab w:leader="none" w:pos="3380" w:val="left"/>
        </w:tabs>
        <w:rPr>
          <w:sz w:val="20"/>
          <w:szCs w:val="20"/>
          <w:color w:val="auto"/>
        </w:rPr>
      </w:pPr>
      <w:r>
        <w:rPr>
          <w:rFonts w:ascii="Arial" w:cs="Arial" w:eastAsia="Arial" w:hAnsi="Arial"/>
          <w:sz w:val="18"/>
          <w:szCs w:val="18"/>
          <w:color w:val="auto"/>
        </w:rPr>
        <w:t>1 +</w:t>
      </w:r>
      <w:r>
        <w:rPr>
          <w:sz w:val="20"/>
          <w:szCs w:val="20"/>
          <w:color w:val="auto"/>
        </w:rPr>
        <w:tab/>
      </w:r>
      <w:r>
        <w:rPr>
          <w:rFonts w:ascii="Arial" w:cs="Arial" w:eastAsia="Arial" w:hAnsi="Arial"/>
          <w:sz w:val="16"/>
          <w:szCs w:val="16"/>
          <w:u w:val="single" w:color="auto"/>
          <w:color w:val="auto"/>
        </w:rPr>
        <w:t>(Rate x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-130810</wp:posOffset>
            </wp:positionV>
            <wp:extent cx="1191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365</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(where “Face Amount” is the principal amount of the Bankers’ Acceptance being purchased, “Rate” is the BA Discount Rate divided by 100 and “Term” is the number of days in the term of the Bankers’ Acceptance.)</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means (a) any dividend or other distribution (whether in cash or other property, but excluding dividends or other distributions payable in equity interests in US Borrower) with respect to any equity interest of US Borrower, (b) any payment (whether in cash or other property, but excluding dividends or other distributions payable in equity interests in US Borrower), including any sinking fund or similar deposit, on account of the retirement, redemption, purchase, cancellation, termination or other acquisition for value of any equity interest of US Borrower or (c) any other payment by US Borrower to any holder of equity interests of US Borrower with respect to such equity interests held thereby other than payments made with equity interests in US Borrower.</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of any amount of any currency at any date means (i) if such currency is Dollars, the amount of such currency, or (ii) if such currency is Canadian Dollars, the equivalent in Dollars of such amount of such currency based upon the rate of exchange for such conversion as quoted by the Bank of Canada at approximately 12:00 noon, Toronto time (or, if not so quoted, the spot rate of exchange quoted for wholesale transactions made by Administrative Agent) on the date on or as of which such amount is to be determined.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States of America, except where otherwise specified.</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means (a) a Lender, and (b) any other Person (other than a natural person), including Affiliates of Lenders and Approved Funds, approved by (i) Administrative Agent (and, as to the Canadian Commitment, Canadian Administrative Agent), the LC Issuers and the Swing Line Lender, and</w:t>
      </w:r>
    </w:p>
    <w:p>
      <w:pPr>
        <w:ind w:right="60" w:firstLine="8"/>
        <w:spacing w:after="0" w:line="271" w:lineRule="auto"/>
        <w:tabs>
          <w:tab w:leader="none" w:pos="265"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unless an Event of Default is continuing, US Borrower (each such approval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“Eligible Assignee” shall not include a Borrower or any of such Borrower’s Affiliates or Subsidiaries or, unless an Event of Default is continuing, any Person who, at the relevant time of determination, is a Defaulting Lender or an Affiliate of a Defaulting Lender;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an Eligible Assignee of any Lender shall include only those Persons which, through their respective Lending Offices, are capable of lending Dollars to US Borrower without the imposition of any withholding taxes on interest or principal owed to such Persons, and Loans by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such Eligible Assignee shall be made through such Lending Office (and, if such Lender’s US Commitment may be allocated in whole or in part to the Canadian Allocated Total Commitment, only those Persons which, through their respective Lending Offices, are capable of lending Canadian Dollars to either Canadian Borrower without the imposition of any withholding taxes on interest or principal owed to such Persons, and Canadian Loans by such Persons shall be made through such Lending Offices).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EMIR Loan</w:t>
      </w:r>
      <w:r>
        <w:rPr>
          <w:rFonts w:ascii="Arial" w:cs="Arial" w:eastAsia="Arial" w:hAnsi="Arial"/>
          <w:sz w:val="18"/>
          <w:szCs w:val="18"/>
          <w:color w:val="auto"/>
        </w:rPr>
        <w:t>” means a Swing Line Loan that bears interest at a rate based upon the Eurodollar Market Index Rate.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Laws relating to the environment or to emissions, discharges, releases or threatened releases of pollutants, contaminants, chemicals, or industrial, toxic or hazardous substances or wastes into the environment including ambient air, surface water, ground water, or land, or otherwise relating to the manufacture, processing, distribution, use, treatment, storage, disposal, transport, or handling of pollutants, contaminants, chemicals, or industrial, toxic or hazardous substances or wastes.</w:t>
      </w:r>
    </w:p>
    <w:p>
      <w:pPr>
        <w:spacing w:after="0" w:line="18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together with all rules and regulations promulgated with respect thereto.</w:t>
      </w:r>
    </w:p>
    <w:p>
      <w:pPr>
        <w:spacing w:after="0" w:line="17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each Restricted Person and all members of a controlled group of corporations and all trades or businesses (whether or not incorporated) under common control that, together with such Restricted Person, are treated as a single employer under Section 414 of the Code.</w:t>
      </w:r>
    </w:p>
    <w:p>
      <w:pPr>
        <w:spacing w:after="0" w:line="12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Plan</w:t>
      </w:r>
      <w:r>
        <w:rPr>
          <w:rFonts w:ascii="Arial" w:cs="Arial" w:eastAsia="Arial" w:hAnsi="Arial"/>
          <w:sz w:val="18"/>
          <w:szCs w:val="18"/>
          <w:color w:val="auto"/>
        </w:rPr>
        <w:t>” means any employee pension benefit plan subject to Title IV of ERISA maintained by any ERISA Affiliate with respect to which any Restricted Person has a fixed or contingent liability.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Loan</w:t>
      </w:r>
      <w:r>
        <w:rPr>
          <w:rFonts w:ascii="Arial" w:cs="Arial" w:eastAsia="Arial" w:hAnsi="Arial"/>
          <w:sz w:val="18"/>
          <w:szCs w:val="18"/>
          <w:color w:val="auto"/>
        </w:rPr>
        <w:t>” means a Loan that bears interest at a rate based upon the Eurodollar Rate.</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Market Index Rate</w:t>
      </w:r>
      <w:r>
        <w:rPr>
          <w:rFonts w:ascii="Arial" w:cs="Arial" w:eastAsia="Arial" w:hAnsi="Arial"/>
          <w:sz w:val="18"/>
          <w:szCs w:val="18"/>
          <w:color w:val="auto"/>
        </w:rPr>
        <w:t>” means, for any day with respect to a Swing Line Loan, the rate per annum equal to the BBA LIBOR, as published by Reuters (or other commercially available source providing quotations of BBA LIBOR as designated by the relevant Agent from time to time) at approximately 11:00 a.m., London time, for such day for Dollar deposits with a term equivalent to seven days. If such rate is not available at such time for any reason, then the “Eurodollar Market Index Rate” shall be the rate per annum determined by the Swing Line Lender to be the rate at which deposits in Dollars in same day funds in the approximate amount of the Swing Line Loan by the Reference Bank and with a term of one month would be offered by the Reference Bank’s London Branch to major banks in the London interbank eurodollar market at their request at approximately 11:00 a.m. (London time) on such day.</w:t>
      </w:r>
    </w:p>
    <w:p>
      <w:pPr>
        <w:spacing w:after="0" w:line="18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w:t>
      </w:r>
      <w:r>
        <w:rPr>
          <w:rFonts w:ascii="Arial" w:cs="Arial" w:eastAsia="Arial" w:hAnsi="Arial"/>
          <w:sz w:val="18"/>
          <w:szCs w:val="18"/>
          <w:color w:val="auto"/>
        </w:rPr>
        <w:t>” means, for any Interest Period with respect to a Eurodollar Loan, the rate per annum equal to the British Bankers Association LIBOR Rate (“</w:t>
      </w:r>
      <w:r>
        <w:rPr>
          <w:rFonts w:ascii="Arial" w:cs="Arial" w:eastAsia="Arial" w:hAnsi="Arial"/>
          <w:sz w:val="18"/>
          <w:szCs w:val="18"/>
          <w:u w:val="single" w:color="auto"/>
          <w:color w:val="auto"/>
        </w:rPr>
        <w:t>BBA LIBOR</w:t>
      </w:r>
      <w:r>
        <w:rPr>
          <w:rFonts w:ascii="Arial" w:cs="Arial" w:eastAsia="Arial" w:hAnsi="Arial"/>
          <w:sz w:val="18"/>
          <w:szCs w:val="18"/>
          <w:color w:val="auto"/>
        </w:rPr>
        <w:t>”), as published by Reuters (or other commercially available source providing quotations of BBA LIBOR as designated by the relevant Agent from time to time) at approximately 11:00 a.m., London time, two Business Days prior to the commencement of such Interest Period, for Dollar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518" w:gutter="0" w:footer="0" w:header="0"/>
        </w:sectPr>
      </w:pPr>
    </w:p>
    <w:bookmarkStart w:id="13" w:name="page14"/>
    <w:bookmarkEnd w:id="13"/>
    <w:p>
      <w:pPr>
        <w:spacing w:after="0" w:line="255" w:lineRule="auto"/>
        <w:rPr>
          <w:sz w:val="20"/>
          <w:szCs w:val="20"/>
          <w:color w:val="auto"/>
        </w:rPr>
      </w:pPr>
      <w:r>
        <w:rPr>
          <w:rFonts w:ascii="Arial" w:cs="Arial" w:eastAsia="Arial" w:hAnsi="Arial"/>
          <w:sz w:val="18"/>
          <w:szCs w:val="18"/>
          <w:color w:val="auto"/>
        </w:rPr>
        <w:t>deposits (for delivery on the first day of such Interest Period) with a term equivalent to such Interest Period. If such rate is not available at such time for any reason, then the “Eurodollar Rate” for such Interest Period shall be the rate per annum determined by the relevant Agent to be the rate at which deposits in Dollars for delivery on the first day of such Interest Period in same day funds in the approximate amount of the Eurodollar Loan being made, continued or converted by the Reference Bank and with a term equivalent to such Interest Period would be offered by the Reference Bank’s London Branch to major banks in the London interbank eurodollar market at their request at approximately 11:00 a.m. (London time) two Business Days prior to the commencement of such Interest Period.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given to such term in Section 8.1.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Agreement</w:t>
      </w:r>
      <w:r>
        <w:rPr>
          <w:rFonts w:ascii="Arial" w:cs="Arial" w:eastAsia="Arial" w:hAnsi="Arial"/>
          <w:sz w:val="18"/>
          <w:szCs w:val="18"/>
          <w:color w:val="auto"/>
        </w:rPr>
        <w:t>” has the meaning given to such term in the second introductory paragraph hereof.</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Rate</w:t>
      </w:r>
      <w:r>
        <w:rPr>
          <w:rFonts w:ascii="Arial" w:cs="Arial" w:eastAsia="Arial" w:hAnsi="Arial"/>
          <w:sz w:val="17"/>
          <w:szCs w:val="17"/>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Administrative Agent.</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the letter agreements of even date herewith between US Borrower and (i) Administrative Agent and Banc of America Securities LLC and (ii) Wachovia Bank, National Association and Wachovia Capital Markets, LLC.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Quarter</w:t>
      </w:r>
      <w:r>
        <w:rPr>
          <w:rFonts w:ascii="Arial" w:cs="Arial" w:eastAsia="Arial" w:hAnsi="Arial"/>
          <w:sz w:val="18"/>
          <w:szCs w:val="18"/>
          <w:color w:val="auto"/>
        </w:rPr>
        <w:t>” means a three-month period ending on March 31, June 30, September 30 or December 31 of any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a twelve-month period ending on December 31 of any year.</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engaged in making, purchasing or holding commercial loans and similar extensions of credit in the ordinary course of its business.</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those generally accepted accounting principles and practices which are recognized as such by the Financial Accounting Standards Board (or any generally recognized successor) and which, in the case of US Borrower and its Consolidated Subsidiaries, are applied for all periods after the date hereof in a manner consistent with the manner in which such principles and practices were applied to the Initial Financial Statements. If any change in any accounting principle or practice is required by the Financial Accounting Standards Board (or any such successor) in order for such principle or practice to continue as a generally accepted accounting principle or practice, all reports and financial statements required hereunder with respect to US Borrower or with respect to US Borrower and its Consolidated Subsidiaries may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be prepared in accordance with such change, but all calculations and determinations to be made hereunder may be made in accordance with such change only after notice of such change is given to each Lender and Majority Lenders agree to such change insofar as it affects the accounting of US Borrower or of US Borrower and its Consolidated Subsidiaries.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means Plains AAP, L.P., a Delaware limited partnership, in its capacity as the sole general partner of US Borrower.</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thereof authorized by applicable Law to exercise executive, legislative, judicial, taxing, regulatory or administrative powers or functions of or pertaining to such government (including any supra-national bodies such as the European Union or the European Central Bank).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GP LLC</w:t>
      </w:r>
      <w:r>
        <w:rPr>
          <w:rFonts w:ascii="Arial" w:cs="Arial" w:eastAsia="Arial" w:hAnsi="Arial"/>
          <w:sz w:val="18"/>
          <w:szCs w:val="18"/>
          <w:color w:val="auto"/>
        </w:rPr>
        <w:t>” means Plains All American GP LLC, a Delaware limited liability company.</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means, as of the date hereof, US Borrower (except with respect to the US Commitment) and any of its Subsidiaries (excluding each Canadian Borrower with respect to its own Canadian Obligations) that now or hereafter executes and delivers a guaranty of the Obligations to Administrative Agent pursuant to Section 6.9.</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any substances regulated under any Environmental Law, whether as pollutants, contaminants, or chemicals, or as industrial, toxic or hazardous substances or wastes, or otherwise.</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Highest Lawful Rate</w:t>
      </w:r>
      <w:r>
        <w:rPr>
          <w:rFonts w:ascii="Arial" w:cs="Arial" w:eastAsia="Arial" w:hAnsi="Arial"/>
          <w:sz w:val="18"/>
          <w:szCs w:val="18"/>
          <w:color w:val="auto"/>
        </w:rPr>
        <w:t>” means, with respect to each Lender Party to whom Obligations are owed, the maximum nonusurious rate of interest that such Lender Party is permitted under applicable Law to contract for, take, charge, or receive with respect to such Obligations. All determinations herein of the Highest Lawful Rate, or of any interest rate determined by reference to the Highest Lawful Rate, shall be made separately for each Lender Party as appropriate to assure that the Loan Documents are not construed to obligate any Person to pay interest to any Lender Party at a rate in excess of the Highest Lawful Rate applicable to such Lender Party.</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Tax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Income Tax Act</w:t>
      </w:r>
      <w:r>
        <w:rPr>
          <w:rFonts w:ascii="Arial" w:cs="Arial" w:eastAsia="Arial" w:hAnsi="Arial"/>
          <w:sz w:val="18"/>
          <w:szCs w:val="18"/>
          <w:color w:val="auto"/>
        </w:rPr>
        <w:t>, R.S.C. 1985 c. 1 (fifth supplement), including the regulations made and, from time to time, in force under that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means each of the following:</w:t>
      </w:r>
    </w:p>
    <w:p>
      <w:pPr>
        <w:spacing w:after="0" w:line="225" w:lineRule="exact"/>
        <w:rPr>
          <w:sz w:val="20"/>
          <w:szCs w:val="20"/>
          <w:color w:val="auto"/>
        </w:rPr>
      </w:pPr>
    </w:p>
    <w:p>
      <w:pPr>
        <w:ind w:left="1320" w:hanging="66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its obligations for the repayment of borrowed money,</w:t>
      </w:r>
    </w:p>
    <w:p>
      <w:pPr>
        <w:spacing w:after="0" w:line="225" w:lineRule="exact"/>
        <w:rPr>
          <w:rFonts w:ascii="Arial" w:cs="Arial" w:eastAsia="Arial" w:hAnsi="Arial"/>
          <w:sz w:val="18"/>
          <w:szCs w:val="18"/>
          <w:color w:val="auto"/>
        </w:rPr>
      </w:pPr>
    </w:p>
    <w:p>
      <w:pPr>
        <w:ind w:right="60" w:firstLine="656"/>
        <w:spacing w:after="0" w:line="342" w:lineRule="auto"/>
        <w:tabs>
          <w:tab w:leader="none" w:pos="1304" w:val="left"/>
        </w:tabs>
        <w:numPr>
          <w:ilvl w:val="0"/>
          <w:numId w:val="19"/>
        </w:numPr>
        <w:rPr>
          <w:rFonts w:ascii="Arial" w:cs="Arial" w:eastAsia="Arial" w:hAnsi="Arial"/>
          <w:sz w:val="16"/>
          <w:szCs w:val="16"/>
          <w:color w:val="auto"/>
        </w:rPr>
      </w:pPr>
      <w:r>
        <w:rPr>
          <w:rFonts w:ascii="Arial" w:cs="Arial" w:eastAsia="Arial" w:hAnsi="Arial"/>
          <w:sz w:val="16"/>
          <w:szCs w:val="16"/>
          <w:color w:val="auto"/>
        </w:rPr>
        <w:t>its obligations to pay the deferred purchase price of property or services (excluding trade account payables arising in the ordinary course of business), other than contingent purchase price or similar obligations incurred in connection with an acquisition and not yet earned or determinable,</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its obligations evidenced by a bond, debenture, note or similar instrument,</w:t>
      </w:r>
    </w:p>
    <w:p>
      <w:pPr>
        <w:sectPr>
          <w:pgSz w:w="11900" w:h="16838" w:orient="portrait"/>
          <w:cols w:equalWidth="0" w:num="1">
            <w:col w:w="11400"/>
          </w:cols>
          <w:pgMar w:left="240" w:top="125" w:right="259" w:bottom="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its obligations, as lessee, constituting principal under Capital Leases,</w:t>
      </w:r>
    </w:p>
    <w:p>
      <w:pPr>
        <w:spacing w:after="0" w:line="225" w:lineRule="exact"/>
        <w:rPr>
          <w:rFonts w:ascii="Arial" w:cs="Arial" w:eastAsia="Arial" w:hAnsi="Arial"/>
          <w:sz w:val="18"/>
          <w:szCs w:val="18"/>
          <w:color w:val="auto"/>
        </w:rPr>
      </w:pPr>
    </w:p>
    <w:p>
      <w:pPr>
        <w:ind w:right="660" w:firstLine="656"/>
        <w:spacing w:after="0" w:line="277" w:lineRule="auto"/>
        <w:tabs>
          <w:tab w:leader="none" w:pos="13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its direct or contingent reimbursement obligations with respect to the face amount of letters of credit pursuant to the applications or reimbursement agreements therefor,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its obligations for the repayment of outstanding banker’s acceptances, whether matured or unmatured,</w:t>
      </w:r>
    </w:p>
    <w:p>
      <w:pPr>
        <w:spacing w:after="0" w:line="225" w:lineRule="exact"/>
        <w:rPr>
          <w:rFonts w:ascii="Arial" w:cs="Arial" w:eastAsia="Arial" w:hAnsi="Arial"/>
          <w:sz w:val="18"/>
          <w:szCs w:val="18"/>
          <w:color w:val="auto"/>
        </w:rPr>
      </w:pPr>
    </w:p>
    <w:p>
      <w:pPr>
        <w:jc w:val="both"/>
        <w:ind w:right="240" w:firstLine="656"/>
        <w:spacing w:after="0" w:line="259" w:lineRule="auto"/>
        <w:tabs>
          <w:tab w:leader="none" w:pos="13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its obligations under any synthetic lease, tax retention operating lease, off-balance sheet loan or similar off-balance sheet financing if the obligation under such synthetic lease, tax retention operating lease, off-balance sheet loan or similar off-balance sheet financing is considered indebtedness for borrowed money for tax purposes but is classified as an operating lease in accordance with GAAP (excluding, to the extent included herein, operating leases entered into in the ordinary course of business), or</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its obligations under guaranties of any obligations of any other Person described in the foregoing clauses (a) through (g).</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Financial Statements</w:t>
      </w:r>
      <w:r>
        <w:rPr>
          <w:rFonts w:ascii="Arial" w:cs="Arial" w:eastAsia="Arial" w:hAnsi="Arial"/>
          <w:sz w:val="18"/>
          <w:szCs w:val="18"/>
          <w:color w:val="auto"/>
        </w:rPr>
        <w:t>” means (i) the audited Consolidated financial statements of US Borrower as of December 31, 2005, and (ii) the unaudited consolidating balance sheet and income statement of US Borrower as of March 31, 2006.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Act (Canada)</w:t>
      </w:r>
      <w:r>
        <w:rPr>
          <w:rFonts w:ascii="Arial" w:cs="Arial" w:eastAsia="Arial" w:hAnsi="Arial"/>
          <w:sz w:val="16"/>
          <w:szCs w:val="16"/>
          <w:color w:val="auto"/>
        </w:rPr>
        <w:t xml:space="preserve">” means the </w:t>
      </w:r>
      <w:r>
        <w:rPr>
          <w:rFonts w:ascii="Arial" w:cs="Arial" w:eastAsia="Arial" w:hAnsi="Arial"/>
          <w:sz w:val="16"/>
          <w:szCs w:val="16"/>
          <w:i w:val="1"/>
          <w:iCs w:val="1"/>
          <w:color w:val="auto"/>
        </w:rPr>
        <w:t>Interest Act</w:t>
      </w:r>
      <w:r>
        <w:rPr>
          <w:rFonts w:ascii="Arial" w:cs="Arial" w:eastAsia="Arial" w:hAnsi="Arial"/>
          <w:sz w:val="16"/>
          <w:szCs w:val="16"/>
          <w:color w:val="auto"/>
        </w:rPr>
        <w:t>, R.S.C. 1985, c. I-15, including the regulations made and, from time to time, in force under that Act.</w:t>
      </w:r>
    </w:p>
    <w:p>
      <w:pPr>
        <w:spacing w:after="0" w:line="24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Expense</w:t>
      </w:r>
      <w:r>
        <w:rPr>
          <w:rFonts w:ascii="Arial" w:cs="Arial" w:eastAsia="Arial" w:hAnsi="Arial"/>
          <w:sz w:val="18"/>
          <w:szCs w:val="18"/>
          <w:color w:val="auto"/>
        </w:rPr>
        <w:t>” means, with respect to any period, the sum (without duplication) of the following (in each case, eliminating all offsetting debits and credits between US Borrower and its Subsidiaries (excluding Unrestricted Subsidiaries) and all other items required to be eliminated in the course of the preparation of Consolidated financial statements of US Borrower and its Subsidiaries (excluding Unrestricted Subsidiaries) in accordance with GAAP): (a) all interest and facility or commitment fees in respect of Indebtedness of US Borrower or any of its Subsidiaries (excluding Unrestricted Subsidiaries) (including imputed interest on Capital Lease Obligations) which are accrued during such period and whether expensed in such period or capitalized; plus (b) all fees in respect of letters of credit issued for the account of US Borrower or any of its Subsidiaries, which are accrued during such period and whether expensed in such period or capitalized.</w:t>
      </w:r>
    </w:p>
    <w:p>
      <w:pPr>
        <w:spacing w:after="0" w:line="18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each Base Rate Loan, Canadian Prime Rate Loan or Canadian US Dollar Base Rate Loan, the last day of each March, June, September and December beginning September 30, 2006, and (b) with respect to each Eurodollar Loan, the last day of the Interest Period that is applicable thereto and, if such Interest Period is six, or twelve months in length, the dates specified by Administrative Agent or Canadian Administrative Agent, as applicable, which are approximately three, six, and nine months (as appropriate) after such Interest Period begins; provided that the last Business Day of each calendar month shall also be an Interest Payment Date for each such Loan so long as any Event of Default exists under Section 8.1 (a) or (b).</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means, with respect to each particular Eurodollar Loan in a Borrowing, the period specified in the Borrowing Notice or Continuation/Conversion Notice applicable thereto, beginning on and including the date specified in such Borrowing Notice or Continuation/Conversion Notice (which must be a Business Day), and ending one, two, three, six or twelve months (if twelve months is available for each Lender) thereafter (and, as to Loans, ending on a date less than 30 days thereafter as may be specified by US Borrower or either Canadian Borrower, if such lesser period is available for each Lender making such Loans), as US Borrower or either Canadian Borrower may elect in such notice; provided that: (a) any Interest Period which would otherwise end on a day which is not a Business Day shall be extended to the next succeeding Business Day unless such Business Day falls in another calendar month, in which case such Interest Period shall end on the next preceding Business Day; (b) any Interest Period (other than an Interest Period ending on a date less than 30 days after the beginning thereof as may be specified by a Borrower and otherwise permitted hereunder) which begins on the last Business Day in a calendar month (or on a day for which there is no numerically corresponding day in the calendar month at the end of such Interest Period) shall end on the last Business Day in a calendar month; and (c) notwithstanding the foregoing, no Interest Period may be selected for a Loan to any Borrower that would end after the Maturity Date</w:t>
      </w:r>
    </w:p>
    <w:p>
      <w:pPr>
        <w:spacing w:after="0" w:line="18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364-Day Credit Agreement</w:t>
      </w:r>
      <w:r>
        <w:rPr>
          <w:rFonts w:ascii="Arial" w:cs="Arial" w:eastAsia="Arial" w:hAnsi="Arial"/>
          <w:sz w:val="18"/>
          <w:szCs w:val="18"/>
          <w:color w:val="auto"/>
        </w:rPr>
        <w:t>” means that certain Interim 364-Day Credit Agreement of even date herewith among US Borrower, JPMorgan Chase Bank, N.A., as administrative agent, and the lenders named therein, as from time to time amended.</w:t>
      </w:r>
    </w:p>
    <w:p>
      <w:pPr>
        <w:spacing w:after="0" w:line="170"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any investment made, directly or indirectly in any Person, whether by acquisition of shares of capital stock, indebtedness or other obligations or securities or by loan, advance, capital contribution or otherwise, and whether made in cash, by the transfer of property or by any other means.</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(or such later version thereof as may be in effect at the time of issuance).</w:t>
      </w:r>
    </w:p>
    <w:p>
      <w:pPr>
        <w:spacing w:after="0" w:line="170"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Documents</w:t>
      </w:r>
      <w:r>
        <w:rPr>
          <w:rFonts w:ascii="Arial" w:cs="Arial" w:eastAsia="Arial" w:hAnsi="Arial"/>
          <w:sz w:val="16"/>
          <w:szCs w:val="16"/>
          <w:color w:val="auto"/>
        </w:rPr>
        <w:t>” means with respect to any Letter of Credit, the LC Application, and any other document, agreement and instrument entered into by an LC Issuer and a Borrower (or any Subsidiary) or by a Borrower or any Subsidiary in favor of such LC Issuer and relating to any such Letter of Credit.</w:t>
      </w:r>
    </w:p>
    <w:p>
      <w:pPr>
        <w:spacing w:after="0" w:line="12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Interest Act (Alberta)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Judgment Interest Act</w:t>
      </w:r>
      <w:r>
        <w:rPr>
          <w:rFonts w:ascii="Arial" w:cs="Arial" w:eastAsia="Arial" w:hAnsi="Arial"/>
          <w:sz w:val="18"/>
          <w:szCs w:val="18"/>
          <w:color w:val="auto"/>
        </w:rPr>
        <w:t>, S.A. 1984 c. J-O.5, including the regulations made and, from time to time, in force under that Act.</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law, regulation, ordinance, rule, treaty, judgment, order, decree, permit, concession, franchise, license, agreement or other governmental restriction of the United States or Canada or any state, province, or political subdivision thereof or of any foreign country or any department, state, province or other political subdivision thereof.</w:t>
      </w:r>
    </w:p>
    <w:p>
      <w:pPr>
        <w:sectPr>
          <w:pgSz w:w="11900" w:h="16838" w:orient="portrait"/>
          <w:cols w:equalWidth="0" w:num="1">
            <w:col w:w="11420"/>
          </w:cols>
          <w:pgMar w:left="240" w:top="341" w:right="239" w:bottom="0" w:gutter="0" w:footer="0" w:header="0"/>
        </w:sectPr>
      </w:pPr>
    </w:p>
    <w:bookmarkStart w:id="15" w:name="page16"/>
    <w:bookmarkEnd w:id="15"/>
    <w:p>
      <w:pPr>
        <w:ind w:right="5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Advance</w:t>
      </w:r>
      <w:r>
        <w:rPr>
          <w:rFonts w:ascii="Arial" w:cs="Arial" w:eastAsia="Arial" w:hAnsi="Arial"/>
          <w:sz w:val="17"/>
          <w:szCs w:val="17"/>
          <w:color w:val="auto"/>
        </w:rPr>
        <w:t>” means, with respect to each Lender, such Lender’s funding of its participation in any LC Borrowing in accordance with its US Percentage Share or Canadian Percentage Share, as applicable. All LC Advances shall be denominated in Dollars, with respect</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 US Letters of Credit and Dollar-denominated Canadian Letters of Credit, and in Canadian Dollars, with respect to Canadian Dollar-denominated Canadian Letters of Credit.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Application</w:t>
      </w:r>
      <w:r>
        <w:rPr>
          <w:rFonts w:ascii="Arial" w:cs="Arial" w:eastAsia="Arial" w:hAnsi="Arial"/>
          <w:sz w:val="16"/>
          <w:szCs w:val="16"/>
          <w:color w:val="auto"/>
        </w:rPr>
        <w:t>” means an application and agreement for the issuance or amendment of a Letter of Credit in the form from time to time in use by</w:t>
      </w:r>
    </w:p>
    <w:p>
      <w:pPr>
        <w:spacing w:after="0" w:line="46" w:lineRule="exact"/>
        <w:rPr>
          <w:sz w:val="20"/>
          <w:szCs w:val="20"/>
          <w:color w:val="auto"/>
        </w:rPr>
      </w:pPr>
    </w:p>
    <w:p>
      <w:pPr>
        <w:ind w:right="240" w:firstLine="8"/>
        <w:spacing w:after="0" w:line="261" w:lineRule="auto"/>
        <w:tabs>
          <w:tab w:leader="none" w:pos="2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US LC Issuer, as to a US Letter of Credit, or (ii) a Canadian LC Issuer, as to a Canadian LC Issuer, which in either case includes any electronic online letter of credit application/request system of any LC Issuer.</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from an LC Issuer resulting from a drawing under any Letter of Credit which has not been reimbursed by a Borrower on the date when made or refinanced as a Borrowing. All LC Borrowings shall be denominated in the currency of the Letter of Credit that was drawn upon that resulted in such LC Borrowing.</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70"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Issuer</w:t>
      </w:r>
      <w:r>
        <w:rPr>
          <w:rFonts w:ascii="Arial" w:cs="Arial" w:eastAsia="Arial" w:hAnsi="Arial"/>
          <w:sz w:val="18"/>
          <w:szCs w:val="18"/>
          <w:color w:val="auto"/>
        </w:rPr>
        <w:t>” means: (i) with respect to any US Letter of Credit, the US LC Issuer that issued or is requested to issue such Letter of Credit, (ii) with respect to any Canadian Letter of Credit, the Canadian LC Issuer that issued or is requested to issue such Canadian Letter of Credit, and (iii) their respective successors in such capacity.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Obligations</w:t>
      </w:r>
      <w:r>
        <w:rPr>
          <w:rFonts w:ascii="Arial" w:cs="Arial" w:eastAsia="Arial" w:hAnsi="Arial"/>
          <w:sz w:val="16"/>
          <w:szCs w:val="16"/>
          <w:color w:val="auto"/>
        </w:rPr>
        <w:t>” means: (i) with respect to US Lenders, US LC Obligations, and (ii) with respect to Canadian Lenders, Canadian LC Obligations.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Parties</w:t>
      </w:r>
      <w:r>
        <w:rPr>
          <w:rFonts w:ascii="Arial" w:cs="Arial" w:eastAsia="Arial" w:hAnsi="Arial"/>
          <w:sz w:val="18"/>
          <w:szCs w:val="18"/>
          <w:color w:val="auto"/>
        </w:rPr>
        <w:t>” means all Agents, all LC Issuers and all Lenders.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(i) with respect to US Loans, US Lenders, (ii) with respect to Canadian Advances, Canadian Lenders, and (iii) collectively, US Lenders and Canadian Lenders.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 US Letter of Credit or a Canadian Letter of Credit.</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is seven days prior to the Maturity Date then in effect (or, if such day is not a Business Day, the next preceding Business Day).</w:t>
      </w:r>
    </w:p>
    <w:p>
      <w:pPr>
        <w:spacing w:after="0" w:line="170"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Liabilities</w:t>
      </w:r>
      <w:r>
        <w:rPr>
          <w:rFonts w:ascii="Arial" w:cs="Arial" w:eastAsia="Arial" w:hAnsi="Arial"/>
          <w:sz w:val="16"/>
          <w:szCs w:val="16"/>
          <w:color w:val="auto"/>
        </w:rPr>
        <w:t>” means, as to any Person, all indebtedness, liabilities and obligations of such Person, whether matured or unmatured, liquidated or unliquidated, primary or secondary, direct or indirect, absolute, fixed or contingent, and whether or not required to be considered pursuant to GAAP.</w:t>
      </w:r>
    </w:p>
    <w:p>
      <w:pPr>
        <w:spacing w:after="0" w:line="124"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property or assets, any right or interest therein of a creditor to secure Liabilities owed to it or any other arrangement with such creditor which provides for the payment of such Liabilities out of such property or assets or which allows such creditor to have such Liabilities satisfied out of such property or assets prior to the general creditors of any owner thereof, including any lien, mortgage, security interest, pledge, deposit, production payment, rights of a vendor under any title retention or conditional sale agreement or lease substantially equivalent thereto, tax lien, mechanic’s or materialman’s lien, or any other charge or encumbrance for security purposes, whether arising by Law or agreement or otherwise, but excluding any right of offset which arises without agreement in the ordinary course of</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business. “Lien” also means any filed financing statement, any registration of a pledge (such as with an issuer of uncertificated securities), or any other arrangement or action which would serve to perfect a Lien described in the preceding sentence, regardless of whether such financing statement is filed, such registration is made, or such arrangement or action is undertaken before or after such Lien exists.</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the Notes, the Letters of Credit, the LC Applications, the BAs, the written Borrowing Notices and all other agreements, certificates, documents, instruments and writings at any time delivered in connection herewith or therewith (exclusive of term sheets and commitment letters).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collectively, the US Loans and the Canadian Loans.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Lenders</w:t>
      </w:r>
      <w:r>
        <w:rPr>
          <w:rFonts w:ascii="Arial" w:cs="Arial" w:eastAsia="Arial" w:hAnsi="Arial"/>
          <w:sz w:val="18"/>
          <w:szCs w:val="18"/>
          <w:color w:val="auto"/>
        </w:rPr>
        <w:t xml:space="preserve">” means Lenders who have in the aggregate more than fifty percent (50%) of (i) the US Total Committed Amount plus, (ii) during any Canadian Allocation Period, the Canadian Total Committed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 of, and the portion of the US Total Committed Amount or Canadian Total Committed Amount held or deemed held by, any Defaulting Lender shall be excluded for purposes of making a determination of Majority Lenders.</w:t>
      </w:r>
    </w:p>
    <w:p>
      <w:pPr>
        <w:spacing w:after="0" w:line="187"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means (a) a material and adverse change in (i) US Borrower’s Consolidated financial condition, (ii) US Borrower’s Consolidated operations, properties or prospects, considered as a whole, or (iii) US Borrower’s or either Canadian Borrower’s ability to timely pay its Obligations, or (b) a material adverse effect on the enforceability of the material terms of any Loan Document.</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the later of (a) July 29, 2011 and (b) if maturity is extended pursuant to Section 2.1(f), with respect to each Lender consenting to such extension, the latest date to which such maturity date has been extended as determined pursuant to such section, unless in either such case terminated earlier in accordance with Section 8.1 or Section 10.12.</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 Service, Inc., or its successor.</w:t>
      </w:r>
    </w:p>
    <w:p>
      <w:pPr>
        <w:sectPr>
          <w:pgSz w:w="11900" w:h="16838" w:orient="portrait"/>
          <w:cols w:equalWidth="0" w:num="1">
            <w:col w:w="11380"/>
          </w:cols>
          <w:pgMar w:left="240" w:top="125" w:right="279" w:bottom="0" w:gutter="0" w:footer="0" w:header="0"/>
        </w:sectPr>
      </w:pPr>
    </w:p>
    <w:bookmarkStart w:id="16" w:name="page17"/>
    <w:bookmarkEnd w:id="16"/>
    <w:p>
      <w:pPr>
        <w:spacing w:after="0" w:line="7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Proceeds</w:t>
      </w:r>
      <w:r>
        <w:rPr>
          <w:rFonts w:ascii="Arial" w:cs="Arial" w:eastAsia="Arial" w:hAnsi="Arial"/>
          <w:sz w:val="18"/>
          <w:szCs w:val="18"/>
          <w:color w:val="auto"/>
        </w:rPr>
        <w:t>” means with respect to any Bankers’ Acceptance, the Discount Proceeds less the amount equal to the applicable Stamping Fee Rate multiplied by the face amount of such Bankers’ Acceptance.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means, collectively, the US Notes, the Canadian Notes and the Swing Line Notes.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collectively, the US Obligations, the Canadian Obligations and all other Liabilities from time to time owing by any Restricted Person to any Lender Party under or pursuant to any of the Loan Documents. “</w:t>
      </w:r>
      <w:r>
        <w:rPr>
          <w:rFonts w:ascii="Arial" w:cs="Arial" w:eastAsia="Arial" w:hAnsi="Arial"/>
          <w:sz w:val="18"/>
          <w:szCs w:val="18"/>
          <w:u w:val="single" w:color="auto"/>
          <w:color w:val="auto"/>
        </w:rPr>
        <w:t>Obligation</w:t>
      </w:r>
      <w:r>
        <w:rPr>
          <w:rFonts w:ascii="Arial" w:cs="Arial" w:eastAsia="Arial" w:hAnsi="Arial"/>
          <w:sz w:val="18"/>
          <w:szCs w:val="18"/>
          <w:color w:val="auto"/>
        </w:rPr>
        <w:t>” means any part of the Obligations.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on any date (i) with respect to Loans or outstanding Canadian BAs, the Dollar Equivalent amount of the aggregate outstanding principal amount thereof after giving effect to any borrowings and prepayments or repayments of such Loans or Canadian BAs occurring on such date; and (ii) with respect to any LC Obligations, the Dollar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any Borrower of Unreimbursed Amounts.</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PAA Debt Rating</w:t>
      </w:r>
      <w:r>
        <w:rPr>
          <w:rFonts w:ascii="Arial" w:cs="Arial" w:eastAsia="Arial" w:hAnsi="Arial"/>
          <w:sz w:val="18"/>
          <w:szCs w:val="18"/>
          <w:color w:val="auto"/>
        </w:rPr>
        <w:t>” means the rating then in effect by a Rating Agency with respect to the long term senior unsecured non-credit enhanced debt of US Borrower.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specified in Section 10.5(d).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w:t>
      </w:r>
      <w:r>
        <w:rPr>
          <w:rFonts w:ascii="Arial" w:cs="Arial" w:eastAsia="Arial" w:hAnsi="Arial"/>
          <w:sz w:val="18"/>
          <w:szCs w:val="18"/>
          <w:color w:val="auto"/>
        </w:rPr>
        <w:t>” has the meaning given to such term in Section 7.2.</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corporation, partnership, limited liability company, association, joint stock company, trust or trustee thereof, estate or executor thereof, unincorporated organization or joint venture, Governmental Authority, or any other legally recognizable entity.</w:t>
      </w:r>
    </w:p>
    <w:p>
      <w:pPr>
        <w:spacing w:after="0" w:line="14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Petroleum Products</w:t>
      </w:r>
      <w:r>
        <w:rPr>
          <w:rFonts w:ascii="Arial" w:cs="Arial" w:eastAsia="Arial" w:hAnsi="Arial"/>
          <w:sz w:val="18"/>
          <w:szCs w:val="18"/>
          <w:color w:val="auto"/>
        </w:rPr>
        <w:t>” means crude oil, condensate, natural gas, natural gas liquids (NGL’s), liquefied petroleum gases (LPG’s), refined petroleum products or any blend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Plains Marketing</w:t>
      </w:r>
      <w:r>
        <w:rPr>
          <w:rFonts w:ascii="Arial" w:cs="Arial" w:eastAsia="Arial" w:hAnsi="Arial"/>
          <w:sz w:val="18"/>
          <w:szCs w:val="18"/>
          <w:color w:val="auto"/>
        </w:rPr>
        <w:t>” means Plains Marketing, L.P., a Texas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Plains Pipeline</w:t>
      </w:r>
      <w:r>
        <w:rPr>
          <w:rFonts w:ascii="Arial" w:cs="Arial" w:eastAsia="Arial" w:hAnsi="Arial"/>
          <w:sz w:val="18"/>
          <w:szCs w:val="18"/>
          <w:color w:val="auto"/>
        </w:rPr>
        <w:t>” means Plains Pipeline, L.P., a Texas limited partnership.</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PPX Acquisition</w:t>
      </w:r>
      <w:r>
        <w:rPr>
          <w:rFonts w:ascii="Arial" w:cs="Arial" w:eastAsia="Arial" w:hAnsi="Arial"/>
          <w:sz w:val="18"/>
          <w:szCs w:val="18"/>
          <w:color w:val="auto"/>
        </w:rPr>
        <w:t>” means (A) the merger of Pacific Energy Partners, L.P. (“</w:t>
      </w:r>
      <w:r>
        <w:rPr>
          <w:rFonts w:ascii="Arial" w:cs="Arial" w:eastAsia="Arial" w:hAnsi="Arial"/>
          <w:sz w:val="18"/>
          <w:szCs w:val="18"/>
          <w:u w:val="single" w:color="auto"/>
          <w:color w:val="auto"/>
        </w:rPr>
        <w:t>PPX</w:t>
      </w:r>
      <w:r>
        <w:rPr>
          <w:rFonts w:ascii="Arial" w:cs="Arial" w:eastAsia="Arial" w:hAnsi="Arial"/>
          <w:sz w:val="18"/>
          <w:szCs w:val="18"/>
          <w:color w:val="auto"/>
        </w:rPr>
        <w:t>”) with and into US Borrower as contemplated by that certain Agreement and Plan of Merger dated as of June 11, 2006 by and among PPX and certain of its Affiliates and US Borrower and certain of its Affiliates, (B) the purchase by US Borrower from LB Pacific, LP of certain equity interests in PPX and in certain Affiliates of PPX, as contemplated by that certain Purchase Agreement dated as of June 11, 2006 by and among LB Pacific, LP and US Borrower, and (C) the acquisition of other property and interests, in each case pursuant to the foregoing agreements and related documents.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Property</w:t>
      </w:r>
      <w:r>
        <w:rPr>
          <w:rFonts w:ascii="Arial" w:cs="Arial" w:eastAsia="Arial" w:hAnsi="Arial"/>
          <w:sz w:val="18"/>
          <w:szCs w:val="18"/>
          <w:color w:val="auto"/>
        </w:rPr>
        <w:t>” means, whether owned or leased on the date hereof or hereafter acquired:</w:t>
      </w:r>
    </w:p>
    <w:p>
      <w:pPr>
        <w:spacing w:after="0" w:line="225" w:lineRule="exact"/>
        <w:rPr>
          <w:sz w:val="20"/>
          <w:szCs w:val="20"/>
          <w:color w:val="auto"/>
        </w:rPr>
      </w:pPr>
    </w:p>
    <w:p>
      <w:pPr>
        <w:ind w:right="140" w:firstLine="656"/>
        <w:spacing w:after="0" w:line="342" w:lineRule="auto"/>
        <w:tabs>
          <w:tab w:leader="none" w:pos="893"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pipeline assets of any Restricted Person,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123" w:lineRule="exact"/>
        <w:rPr>
          <w:rFonts w:ascii="Arial" w:cs="Arial" w:eastAsia="Arial" w:hAnsi="Arial"/>
          <w:sz w:val="16"/>
          <w:szCs w:val="16"/>
          <w:color w:val="auto"/>
        </w:rPr>
      </w:pPr>
    </w:p>
    <w:p>
      <w:pPr>
        <w:ind w:left="920" w:hanging="264"/>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processing or manufacturing plant or terminal owned or leased by any Restricted Person;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except, in the case of either clause (a) or (b): (i) any such assets consisting of inventories, furniture, office fixtures and equipment, including data processing equipment, vehicles and equipment used on, or useful with, vehicles, and (ii) any such asset, plant or terminal which,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good faith opinion of the Board, is not material in relation to the activities of US Borrower and its Subsidiaries, taken as a whole.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Agency</w:t>
      </w:r>
      <w:r>
        <w:rPr>
          <w:rFonts w:ascii="Arial" w:cs="Arial" w:eastAsia="Arial" w:hAnsi="Arial"/>
          <w:sz w:val="18"/>
          <w:szCs w:val="18"/>
          <w:color w:val="auto"/>
        </w:rPr>
        <w:t>” means either S&amp;P or Moody’s.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w:t>
      </w:r>
      <w:r>
        <w:rPr>
          <w:rFonts w:ascii="Arial" w:cs="Arial" w:eastAsia="Arial" w:hAnsi="Arial"/>
          <w:sz w:val="18"/>
          <w:szCs w:val="18"/>
          <w:color w:val="auto"/>
        </w:rPr>
        <w:t>” means, at any time, the financial institution serving as Administrative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of Governors of the Federal Reserve System as from time to time in effect.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and advisors of such Person and of such Person’s Affiliates.</w:t>
      </w:r>
    </w:p>
    <w:p>
      <w:pPr>
        <w:spacing w:after="0" w:line="17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the chief executive officer, president, chief financial officer, treasurer or assistant treasurer of a Borrower, a Borrower’s general partner or the general partner of the general partner of any Borrower, as the case may be. Any document delivered hereunder that is signed by a Responsible Officer of a Borrower shall be conclusively presumed to have been authorized by all necessary corporate, partnership and/or other action on the part of such Borrower, and such Responsible Officer shall be conclusively presumed to have acted on behalf of such Borrower.</w:t>
      </w:r>
    </w:p>
    <w:p>
      <w:pPr>
        <w:spacing w:after="0" w:line="15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Person</w:t>
      </w:r>
      <w:r>
        <w:rPr>
          <w:rFonts w:ascii="Arial" w:cs="Arial" w:eastAsia="Arial" w:hAnsi="Arial"/>
          <w:sz w:val="18"/>
          <w:szCs w:val="18"/>
          <w:color w:val="auto"/>
        </w:rPr>
        <w:t>” means any of US Borrower and each Subsidiary of US Borrower, including but not limited to Plains Marketing, Plains Pipeline, each Canadian Borrower, and each Subsidiary of Plains Marketing, Plains Pipeline and Canadian Borrowers, but excluding, for the avoidance of doubt, Unrestricted Subsidiaries.</w:t>
      </w:r>
    </w:p>
    <w:p>
      <w:pPr>
        <w:sectPr>
          <w:pgSz w:w="11900" w:h="16918" w:orient="portrait"/>
          <w:cols w:equalWidth="0" w:num="1">
            <w:col w:w="11420"/>
          </w:cols>
          <w:pgMar w:left="240" w:top="125" w:right="239" w:bottom="0" w:gutter="0" w:footer="0" w:header="0"/>
        </w:sectPr>
      </w:pPr>
    </w:p>
    <w:bookmarkStart w:id="17" w:name="page18"/>
    <w:bookmarkEnd w:id="17"/>
    <w:p>
      <w:pPr>
        <w:ind w:right="4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Restriction Exception</w:t>
      </w:r>
      <w:r>
        <w:rPr>
          <w:rFonts w:ascii="Arial" w:cs="Arial" w:eastAsia="Arial" w:hAnsi="Arial"/>
          <w:sz w:val="16"/>
          <w:szCs w:val="16"/>
          <w:color w:val="auto"/>
        </w:rPr>
        <w:t xml:space="preserve">” means (i) any applicable Law or any instrument governing Indebtedness or equity interests, or any applicable Law or any other agreement relating to any property, assets or operations of a Person whose capital stock or other equity interests are acquired, in whole or part, by a Restricted Person pursuant to an acquisition (whether by merger, consolidation, amalgamation or otherwise), as such instrument or agreement is in effect at the time of such acquisition (except with respect to Indebtedness incurred in connection with, or in contemplation of, such acquisition), or such applicable Law is then or thereafter in effect (as applicable), which is not applicable to the acquiring Restricted Person, or the property, assets or operations of the acquiring Restricted Person, other than the acquired Person, or the property, assets or operations of such acquired Person or such acquired Person’s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Indebtedness, the incurrence of such Indebtedness is not prohibited hereunder, (ii) provisions with respect to the disposition or distribution of assets in joint venture agreements or other similar agreements entered into in the ordinary course of business, (iii) (a) a lease, license or similar contract, which restricts in a customary manner the subletting, assignment, encumbrance or transfer of any property or asset that is subject thereto or the assignment, encumbrance or transfer of any such lease, license or other contract, (b) mortgages, deeds of trust, pledges or other security instruments, the entry into which does not result in a Default, securing indebtedness of a Restricted Person, which restricts the transfer of the property subject to such mortgages, deeds of trust, pledges or other security instruments, or (c) customary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provisions restricting disposition of, or encumbrances on, real property interests set forth in any reciprocal easements of any Restricted Person,</w:t>
      </w:r>
    </w:p>
    <w:p>
      <w:pPr>
        <w:spacing w:after="0" w:line="23" w:lineRule="exact"/>
        <w:rPr>
          <w:sz w:val="20"/>
          <w:szCs w:val="20"/>
          <w:color w:val="auto"/>
        </w:rPr>
      </w:pPr>
    </w:p>
    <w:p>
      <w:pPr>
        <w:ind w:firstLine="8"/>
        <w:spacing w:after="0" w:line="268" w:lineRule="auto"/>
        <w:tabs>
          <w:tab w:leader="none" w:pos="305"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restrictions imposed pursuant to this Agreement and the other Loan Documents, (v) restrictions on the transfer or encumbrance of property or assets which are imposed by the holder of Liens on property or assets of a Restricted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the incurrence of such Lien nor any related Indebtedness results in a Default, (vi) any agreement to, directly or indirectly, sell or otherwise dispose of assets or equity interests to any Person pending the closing of such sale,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sale is consummated in compliance with any applicable provisions of this Agreement, (vii) net worth provisions in leases and other agreements entered into by any Restricted Person in the ordinary course of business, and (viii) an agreement governing Indebtedness incurred to refinance the Indebtedness issued, assumed or incurred pursuant to an agreement referred to in clauses (iv) and (v)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provisions relating to such encumbrance or restriction contained in any such Indebtedness are no less favorable to the such Restricted Person in any material respect as determined by the Board in its reasonable and good faith judgment than the provisions relating to such encumbrance or restriction contained in agreements referred to in such clauses (iv) and (v).</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Group (a division of McGraw Hill, Inc.) or its successor.</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Schedule I BA Reference Banks</w:t>
      </w:r>
      <w:r>
        <w:rPr>
          <w:rFonts w:ascii="Arial" w:cs="Arial" w:eastAsia="Arial" w:hAnsi="Arial"/>
          <w:sz w:val="17"/>
          <w:szCs w:val="17"/>
          <w:color w:val="auto"/>
        </w:rPr>
        <w:t xml:space="preserve">” means the Lenders listed in Schedule I to the </w:t>
      </w:r>
      <w:r>
        <w:rPr>
          <w:rFonts w:ascii="Arial" w:cs="Arial" w:eastAsia="Arial" w:hAnsi="Arial"/>
          <w:sz w:val="17"/>
          <w:szCs w:val="17"/>
          <w:i w:val="1"/>
          <w:iCs w:val="1"/>
          <w:color w:val="auto"/>
        </w:rPr>
        <w:t>Bank Act</w:t>
      </w:r>
      <w:r>
        <w:rPr>
          <w:rFonts w:ascii="Arial" w:cs="Arial" w:eastAsia="Arial" w:hAnsi="Arial"/>
          <w:sz w:val="17"/>
          <w:szCs w:val="17"/>
          <w:color w:val="auto"/>
        </w:rPr>
        <w:t xml:space="preserve"> (Canada) as are, at such time, designated by Canadian Administrative Agent, with the prior consent of Canadian Borrowers (acting reasonably), as the Schedule I BA Reference Banks.</w:t>
      </w:r>
    </w:p>
    <w:p>
      <w:pPr>
        <w:spacing w:after="0" w:line="147"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Schedule II BA Reference Banks</w:t>
      </w:r>
      <w:r>
        <w:rPr>
          <w:rFonts w:ascii="Arial" w:cs="Arial" w:eastAsia="Arial" w:hAnsi="Arial"/>
          <w:sz w:val="17"/>
          <w:szCs w:val="17"/>
          <w:color w:val="auto"/>
        </w:rPr>
        <w:t xml:space="preserve">” means the Lenders listed in Schedule II to the </w:t>
      </w:r>
      <w:r>
        <w:rPr>
          <w:rFonts w:ascii="Arial" w:cs="Arial" w:eastAsia="Arial" w:hAnsi="Arial"/>
          <w:sz w:val="17"/>
          <w:szCs w:val="17"/>
          <w:i w:val="1"/>
          <w:iCs w:val="1"/>
          <w:color w:val="auto"/>
        </w:rPr>
        <w:t>Bank Act</w:t>
      </w:r>
      <w:r>
        <w:rPr>
          <w:rFonts w:ascii="Arial" w:cs="Arial" w:eastAsia="Arial" w:hAnsi="Arial"/>
          <w:sz w:val="17"/>
          <w:szCs w:val="17"/>
          <w:color w:val="auto"/>
        </w:rPr>
        <w:t xml:space="preserve"> (Canada) as are, at such time, designated by Canadian Administrative Agent, with the prior consent of Canadian Borrowers (acting reasonably), as the Schedule II BA Reference Banks.</w:t>
      </w:r>
    </w:p>
    <w:p>
      <w:pPr>
        <w:spacing w:after="0" w:line="147"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Schedule III BA Reference Banks</w:t>
      </w:r>
      <w:r>
        <w:rPr>
          <w:rFonts w:ascii="Arial" w:cs="Arial" w:eastAsia="Arial" w:hAnsi="Arial"/>
          <w:sz w:val="17"/>
          <w:szCs w:val="17"/>
          <w:color w:val="auto"/>
        </w:rPr>
        <w:t xml:space="preserve">” means the Lenders listed in Schedule III to the </w:t>
      </w:r>
      <w:r>
        <w:rPr>
          <w:rFonts w:ascii="Arial" w:cs="Arial" w:eastAsia="Arial" w:hAnsi="Arial"/>
          <w:sz w:val="17"/>
          <w:szCs w:val="17"/>
          <w:i w:val="1"/>
          <w:iCs w:val="1"/>
          <w:color w:val="auto"/>
        </w:rPr>
        <w:t>Bank Act</w:t>
      </w:r>
      <w:r>
        <w:rPr>
          <w:rFonts w:ascii="Arial" w:cs="Arial" w:eastAsia="Arial" w:hAnsi="Arial"/>
          <w:sz w:val="17"/>
          <w:szCs w:val="17"/>
          <w:color w:val="auto"/>
        </w:rPr>
        <w:t xml:space="preserve"> (Canada) as are, at such time, designated by Canadian Administrative Agent, with the prior consent of Canadian Borrowers (acting reasonably), as the Schedule III BA Reference Banks.</w:t>
      </w:r>
    </w:p>
    <w:p>
      <w:pPr>
        <w:spacing w:after="0" w:line="14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Restricted Persons</w:t>
      </w:r>
      <w:r>
        <w:rPr>
          <w:rFonts w:ascii="Arial" w:cs="Arial" w:eastAsia="Arial" w:hAnsi="Arial"/>
          <w:sz w:val="18"/>
          <w:szCs w:val="18"/>
          <w:color w:val="auto"/>
        </w:rPr>
        <w:t>” means Borrowers, Plains Marketing, Plains Pipeline and Subsidiaries of US Borrower that would be a “significant subsidiary” as defined in Article 1, Rule 1-02 of Regulation S-X, promulgated pursuant to the Securities Exchange Act of 1934 and the Securities Act of 1933, each as amended.</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Acquisition</w:t>
      </w:r>
      <w:r>
        <w:rPr>
          <w:rFonts w:ascii="Arial" w:cs="Arial" w:eastAsia="Arial" w:hAnsi="Arial"/>
          <w:sz w:val="18"/>
          <w:szCs w:val="18"/>
          <w:color w:val="auto"/>
        </w:rPr>
        <w:t>” means one or more acquisitions of assets or entities or operating lines or divisions in any rolling 12-month period for an aggregate purchase price of not less than $50,000,000.</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Equity Offering</w:t>
      </w:r>
      <w:r>
        <w:rPr>
          <w:rFonts w:ascii="Arial" w:cs="Arial" w:eastAsia="Arial" w:hAnsi="Arial"/>
          <w:sz w:val="18"/>
          <w:szCs w:val="18"/>
          <w:color w:val="auto"/>
        </w:rPr>
        <w:t>” means one or more issuances of equity by US Borrower for aggregate net cash proceeds of not less than fifty percent (50%) of the aggregate purchase price of the Specified Acquisition.</w:t>
      </w:r>
    </w:p>
    <w:p>
      <w:pPr>
        <w:spacing w:after="0" w:line="170"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Stamping Fee Rate</w:t>
      </w:r>
      <w:r>
        <w:rPr>
          <w:rFonts w:ascii="Arial" w:cs="Arial" w:eastAsia="Arial" w:hAnsi="Arial"/>
          <w:sz w:val="17"/>
          <w:szCs w:val="17"/>
          <w:color w:val="auto"/>
        </w:rPr>
        <w:t>” means the rate per annum set forth on Schedule I as the “Stamping Fee Rate” based on the Applicable Rating Level on such date, provided that during a Default Rate Period, the Stamping Fee Rate shall be increased by two percent (2%). Changes in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applicable Stamping Fee Rate will occur automatically without prior notice as changes in the Applicable Rating Level occur and shall be effective with respect to BA’s issued on and after such change. If during the term of a BA the Stamping Fee Rate changes as a result of a change in the Applicable Rating Level, or as a result of a Default Rate Period as provided above, the stamping fee paid with respect to such BA (the “</w:t>
      </w:r>
      <w:r>
        <w:rPr>
          <w:rFonts w:ascii="Arial" w:cs="Arial" w:eastAsia="Arial" w:hAnsi="Arial"/>
          <w:sz w:val="16"/>
          <w:szCs w:val="16"/>
          <w:u w:val="single" w:color="auto"/>
          <w:color w:val="auto"/>
        </w:rPr>
        <w:t>Initial Fee</w:t>
      </w:r>
      <w:r>
        <w:rPr>
          <w:rFonts w:ascii="Arial" w:cs="Arial" w:eastAsia="Arial" w:hAnsi="Arial"/>
          <w:sz w:val="16"/>
          <w:szCs w:val="16"/>
          <w:color w:val="auto"/>
        </w:rPr>
        <w:t>”) shall be recalculated based upon such change for the number of days during the term of such BA that such change is applicable, and if such recalculated amount is in excess of the Initial Fee, the relevant Canadian Borrower shall pay such excess as an additional fee for the acceptance of such BA, and if such recalculated amount is less than the Initial Fee, such difference shall be credited to such Canadian Borrower Administrative Agent will give notice promptly to Canadian Administrative Agent of any change (and its effective date) in the Applicable Rating Level, and Canadian Administrative Agent will in turn give notice promptly to Canadian Borrowers and Canadian Lenders of such change in the Applicable Rating Level and the applicable Stamping Fee Rate.</w:t>
      </w:r>
    </w:p>
    <w:p>
      <w:pPr>
        <w:spacing w:after="0" w:line="166"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xml:space="preserve">” means, with respect to any Person, any corporation, association, partnership, limited liability company, joint venture, or other business or corporate entity, enterprise or organization which is directly or indirectly (through one or more intermediaries) controlled or owned more than fifty percent by such Person (other than PAA/Vulcan Gas Storage, LLC and its subsidiaries, unless US Borrower shall also have the fully matured right, directly or indirectly, to elect more than 50% of the board of directors of PAA/Vulcan Gas Storage, LLC);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Unrestricted Subsidiary shall be deemed a “Subsidiary” of any Restricted Person for purposes of any Loan Document except as provided in Section 7.10.</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w:t>
      </w:r>
      <w:r>
        <w:rPr>
          <w:rFonts w:ascii="Arial" w:cs="Arial" w:eastAsia="Arial" w:hAnsi="Arial"/>
          <w:sz w:val="18"/>
          <w:szCs w:val="18"/>
          <w:color w:val="auto"/>
        </w:rPr>
        <w:t>” means the revolving credit facility made available by the Swing Line Lender pursuant to Section 2.10A.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Borrowing</w:t>
      </w:r>
      <w:r>
        <w:rPr>
          <w:rFonts w:ascii="Arial" w:cs="Arial" w:eastAsia="Arial" w:hAnsi="Arial"/>
          <w:sz w:val="18"/>
          <w:szCs w:val="18"/>
          <w:color w:val="auto"/>
        </w:rPr>
        <w:t>” means a borrowing of a Swing Line Loan pursuant to Section 2.10A.</w:t>
      </w:r>
    </w:p>
    <w:p>
      <w:pPr>
        <w:sectPr>
          <w:pgSz w:w="11900" w:h="16838" w:orient="portrait"/>
          <w:cols w:equalWidth="0" w:num="1">
            <w:col w:w="11400"/>
          </w:cols>
          <w:pgMar w:left="240" w:top="341" w:right="259" w:bottom="0" w:gutter="0" w:footer="0" w:header="0"/>
        </w:sectPr>
      </w:pPr>
    </w:p>
    <w:bookmarkStart w:id="18" w:name="page19"/>
    <w:bookmarkEnd w:id="18"/>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Lender</w:t>
      </w:r>
      <w:r>
        <w:rPr>
          <w:rFonts w:ascii="Arial" w:cs="Arial" w:eastAsia="Arial" w:hAnsi="Arial"/>
          <w:sz w:val="18"/>
          <w:szCs w:val="18"/>
          <w:color w:val="auto"/>
        </w:rPr>
        <w:t>” means (i) Bank of America, N.A., in its capacity as provider of Swing Line Loans to US Borrower, and (ii) Bank of America, N.A., acting through its Canada Branch, in its capacity as provider of Swing Line Loans to Canadian Borrowers, or any successor swing line lenders hereunder.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has the meaning specified in Section 2.10A(a).</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 Notice</w:t>
      </w:r>
      <w:r>
        <w:rPr>
          <w:rFonts w:ascii="Arial" w:cs="Arial" w:eastAsia="Arial" w:hAnsi="Arial"/>
          <w:sz w:val="18"/>
          <w:szCs w:val="18"/>
          <w:color w:val="auto"/>
        </w:rPr>
        <w:t>” means a notice of a Swing Line Borrowing pursuant to Section 2.10A(b), which, if in writing, shall be substantially in the form of Exhibit B-3.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Notes</w:t>
      </w:r>
      <w:r>
        <w:rPr>
          <w:rFonts w:ascii="Arial" w:cs="Arial" w:eastAsia="Arial" w:hAnsi="Arial"/>
          <w:sz w:val="18"/>
          <w:szCs w:val="18"/>
          <w:color w:val="auto"/>
        </w:rPr>
        <w:t>” has the meaning given such term in Section 2.10A(a).</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xml:space="preserve">” means (i) with respect to Swing Line Loans to US Borrower, the lesser of (a) $75,000,000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Outstanding Amount of Swing Line Loans to Canadian Lenders and (b) the US Commitment, and (ii) with respect to aggregate Swing Line Loans to Canadian Borrowers, the lesser of (a) $75,000,000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Outstanding Amount of Swing Line Loans to US Borrower and (b) the Canadian Commitment. The foregoing Swing Line Sublimits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are part of, and not in addition to, the US Commitment and the Canadian Commitment, respectively.</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Event</w:t>
      </w:r>
      <w:r>
        <w:rPr>
          <w:rFonts w:ascii="Arial" w:cs="Arial" w:eastAsia="Arial" w:hAnsi="Arial"/>
          <w:sz w:val="16"/>
          <w:szCs w:val="16"/>
          <w:color w:val="auto"/>
        </w:rPr>
        <w:t>” means (a) the occurrence with respect to any ERISA Plan of (i) a reportable event described in Sections 4043(c)(5) or (6) of ERISA or (ii) any other reportable event described in Section 4043(c) of ERISA other than a reportable event not subject to the provision for 30-day notice to the Pension Benefit Guaranty Corporation pursuant to a waiver by such corporation under Section 4043(a) of ERISA, or (b) the withdrawal of any ERISA Affiliate from an ERISA Plan during a plan year in which it was a “substantial employer” as defined in Section 4001(a)(2) of ERISA, or (c) the filing of a notice of intent to terminate any ERISA Plan or the treatment of any ERISA Plan amendment as a termination under Section 4041 of ERISA, or (d) the institution of proceedings to terminate any ERISA Plan by the Pension Benefit Guaranty Corporation under Section 4042 of ERISA, or (e) any other event or condition which might constitute grounds under Section 4042 of ERISA for the termination of, or the appointment of a trustee to administer, any ERISA Plan.</w:t>
      </w:r>
    </w:p>
    <w:p>
      <w:pPr>
        <w:spacing w:after="0" w:line="16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any Loans, the characterization of such Loans as Base Rate Loans, Eurodollar Loans, Canadian Prime Rate Loans, Canadian US Dollar Base Rate Loans, or BAs.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has the meaning specified in Section 2.10(c)(i).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shall have the meaning given it in Section 7.10.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Borrower</w:t>
      </w:r>
      <w:r>
        <w:rPr>
          <w:rFonts w:ascii="Arial" w:cs="Arial" w:eastAsia="Arial" w:hAnsi="Arial"/>
          <w:sz w:val="18"/>
          <w:szCs w:val="18"/>
          <w:color w:val="auto"/>
        </w:rPr>
        <w:t>” means Plains All American Pipeline, L.P., a Delaware limited partnership.</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Business Day</w:t>
      </w:r>
      <w:r>
        <w:rPr>
          <w:rFonts w:ascii="Arial" w:cs="Arial" w:eastAsia="Arial" w:hAnsi="Arial"/>
          <w:sz w:val="18"/>
          <w:szCs w:val="18"/>
          <w:color w:val="auto"/>
        </w:rPr>
        <w:t>” means any day, other than a Saturday, Sunday or day which shall be in New York, New York a legal holiday or day on which banking institutions are required or authorized to close. Any Business Day in any way relating to Eurodollar Loans (such as the day on which an Interest Period begins or ends) must also be a day on which commercial banks settle payments in London.</w:t>
      </w:r>
    </w:p>
    <w:p>
      <w:pPr>
        <w:spacing w:after="0" w:line="181"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Commitment</w:t>
      </w:r>
      <w:r>
        <w:rPr>
          <w:rFonts w:ascii="Arial" w:cs="Arial" w:eastAsia="Arial" w:hAnsi="Arial"/>
          <w:sz w:val="16"/>
          <w:szCs w:val="16"/>
          <w:color w:val="auto"/>
        </w:rPr>
        <w:t xml:space="preserve">” means, as to each US Lender, its obligations to (a) make US Loans to US Borrower pursuant to Section 2.1, (b) purchase participations in US LC Obligations pursuant to Section 2.10(c), and (c) purchase participations in Swing Line Loans to US Borrower, in an aggregate principal amount at any one time outstanding not to exceed the amount set forth opposite such US Lender’s name on Schedule II, as may be increased from time to time pursuant to Section 2.1(d), or in the Assignment and Assumption pursuant to which such US Lender becomes a party hereto, as applicable, as such amount may be adjusted from time to time in accordance with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during a Canadian Allocation Period, the US Commitment of any US Lender that is or has a branch or affiliate that is a Canadian Lender shall be reduced by the Canadian Allocated Commitment of such Canadian Lender. The US Commitment may be increased from time to time pursuant to Section 2.1(d) or reduced from time to time pursuant to Section 2.5(b).</w:t>
      </w:r>
    </w:p>
    <w:p>
      <w:pPr>
        <w:spacing w:after="0" w:line="16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Facility Fee Rate</w:t>
      </w:r>
      <w:r>
        <w:rPr>
          <w:rFonts w:ascii="Arial" w:cs="Arial" w:eastAsia="Arial" w:hAnsi="Arial"/>
          <w:sz w:val="18"/>
          <w:szCs w:val="18"/>
          <w:color w:val="auto"/>
        </w:rPr>
        <w:t>” means, on any day, the rate per annum set forth on Schedule I as the “US Facility Fee Rate” based on the Applicable Rating Level on such date. Changes in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applicable US Facility Fee Rate will occur automatically without prior notice as changes in the Applicable Rating Level occur. Administrative Agent will give notice promptly to US Borrower and US Lenders of changes in the US Facility Fee Rate.</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LC Issuer</w:t>
      </w:r>
      <w:r>
        <w:rPr>
          <w:rFonts w:ascii="Arial" w:cs="Arial" w:eastAsia="Arial" w:hAnsi="Arial"/>
          <w:sz w:val="17"/>
          <w:szCs w:val="17"/>
          <w:color w:val="auto"/>
        </w:rPr>
        <w:t>” means Bank of America, N.A., in its capacity as the issuer of Letters of Credit hereunder, and its successors in such capacity. Administrative Agent may, with the consent of US Borrower and the US Lender in question, or US Borrower may, with the consent of US Lender in question and notice to Administrative Agent, appoint any US Lender hereunder as a US LC Issuer in place of or in addition to Bank of America, N.A.</w:t>
      </w:r>
    </w:p>
    <w:p>
      <w:pPr>
        <w:spacing w:after="0" w:line="166"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LC Obligations</w:t>
      </w:r>
      <w:r>
        <w:rPr>
          <w:rFonts w:ascii="Arial" w:cs="Arial" w:eastAsia="Arial" w:hAnsi="Arial"/>
          <w:sz w:val="17"/>
          <w:szCs w:val="17"/>
          <w:color w:val="auto"/>
        </w:rPr>
        <w:t xml:space="preserve">” means, as at any date of determination, the aggregate amount available to be drawn under all outstanding US Letters of Credit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aggregate outstanding amount of all Unreimbursed Amounts with respect to US Letters of Credit that are not fully refinanced by a Borrowing and, without duplication, all LC Borrowings with respect to US Letters of Credit. For all purposes of this Agreement, if on any date of determination a US Letter of Credit has expired by its terms but any amount may still be drawn thereunder by reason of the operation of Rule 3.14 of the ISP, such US Letter of Credit shall be deemed to be “outstanding” in the amount so remaining available to be drawn.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Lender Parties</w:t>
      </w:r>
      <w:r>
        <w:rPr>
          <w:rFonts w:ascii="Arial" w:cs="Arial" w:eastAsia="Arial" w:hAnsi="Arial"/>
          <w:sz w:val="18"/>
          <w:szCs w:val="18"/>
          <w:color w:val="auto"/>
        </w:rPr>
        <w:t>” means Administrative Agent, US LC Issuer and US Lenders.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Lenders</w:t>
      </w:r>
      <w:r>
        <w:rPr>
          <w:rFonts w:ascii="Arial" w:cs="Arial" w:eastAsia="Arial" w:hAnsi="Arial"/>
          <w:sz w:val="18"/>
          <w:szCs w:val="18"/>
          <w:color w:val="auto"/>
        </w:rPr>
        <w:t>” means each signatory hereto designated as a US Lender, and the successors and permitted assigns of each such party as holder of a US Note, and, as the context requires, includes the Swing Line Lender.</w:t>
      </w:r>
    </w:p>
    <w:p>
      <w:pPr>
        <w:sectPr>
          <w:pgSz w:w="11900" w:h="16838" w:orient="portrait"/>
          <w:cols w:equalWidth="0" w:num="1">
            <w:col w:w="11420"/>
          </w:cols>
          <w:pgMar w:left="240" w:top="125" w:right="239" w:bottom="0" w:gutter="0" w:footer="0" w:header="0"/>
        </w:sectPr>
      </w:pPr>
    </w:p>
    <w:bookmarkStart w:id="19" w:name="page20"/>
    <w:bookmarkEnd w:id="19"/>
    <w:p>
      <w:pPr>
        <w:spacing w:after="0" w:line="94"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Letter of Credit</w:t>
      </w:r>
      <w:r>
        <w:rPr>
          <w:rFonts w:ascii="Arial" w:cs="Arial" w:eastAsia="Arial" w:hAnsi="Arial"/>
          <w:sz w:val="17"/>
          <w:szCs w:val="17"/>
          <w:color w:val="auto"/>
        </w:rPr>
        <w:t>” means any letter of credit issued by US LC Issuer hereunder at the application of US Borrower pursuant to Section 2.10. For the avoidance of doubt, US Letter of Credit includes a commercial or documentary letter of credit and a standby letter of credit.</w:t>
      </w:r>
    </w:p>
    <w:p>
      <w:pPr>
        <w:spacing w:after="0" w:line="147"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Letter of Credit Fee Rate</w:t>
      </w:r>
      <w:r>
        <w:rPr>
          <w:rFonts w:ascii="Arial" w:cs="Arial" w:eastAsia="Arial" w:hAnsi="Arial"/>
          <w:sz w:val="16"/>
          <w:szCs w:val="16"/>
          <w:color w:val="auto"/>
        </w:rPr>
        <w:t>” means, on any day, the rate per annum set forth on Schedule I as the “US LC Fee Rate” based on the Applicable Rating Level on such date. Changes in the applicable US Letter of Credit Fee Rate will occur automatically without prior notice as changes in the Applicable Rating Level occur. Administrative Agent will give notice promptly to US Borrower and Lenders of changes in the US Letter of Credit Fee Rate.</w:t>
      </w:r>
    </w:p>
    <w:p>
      <w:pPr>
        <w:spacing w:after="0" w:line="147" w:lineRule="exact"/>
        <w:rPr>
          <w:sz w:val="20"/>
          <w:szCs w:val="20"/>
          <w:color w:val="auto"/>
        </w:rPr>
      </w:pPr>
    </w:p>
    <w:p>
      <w:pPr>
        <w:jc w:val="both"/>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Loans</w:t>
      </w:r>
      <w:r>
        <w:rPr>
          <w:rFonts w:ascii="Arial" w:cs="Arial" w:eastAsia="Arial" w:hAnsi="Arial"/>
          <w:sz w:val="18"/>
          <w:szCs w:val="18"/>
          <w:color w:val="auto"/>
        </w:rPr>
        <w:t>” means loans by US Lenders to US Borrower pursuant to Section 2.1(a), and, as the context requires, including without limitation for purposes of Section 2.5(a)(i) hereof, Swing Line Loans by the Swing Line Lender to US Borrower pursuant to Section 2.10A.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Notes</w:t>
      </w:r>
      <w:r>
        <w:rPr>
          <w:rFonts w:ascii="Arial" w:cs="Arial" w:eastAsia="Arial" w:hAnsi="Arial"/>
          <w:sz w:val="18"/>
          <w:szCs w:val="18"/>
          <w:color w:val="auto"/>
        </w:rPr>
        <w:t>” has the meaning given such term in Section 2.1(a) hereof.</w:t>
      </w:r>
    </w:p>
    <w:p>
      <w:pPr>
        <w:spacing w:after="0" w:line="225"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Obligations</w:t>
      </w:r>
      <w:r>
        <w:rPr>
          <w:rFonts w:ascii="Arial" w:cs="Arial" w:eastAsia="Arial" w:hAnsi="Arial"/>
          <w:sz w:val="18"/>
          <w:szCs w:val="18"/>
          <w:color w:val="auto"/>
        </w:rPr>
        <w:t>” means all Liabilities from time to time owing by any Restricted Person to any Lender Party under or pursuant to any of the US Notes or US Letters of Credit, including all US LC Obligations owing thereunder or under or pursuant to any guaranty of the obligations of US Borrower under the Loan Documents. “</w:t>
      </w:r>
      <w:r>
        <w:rPr>
          <w:rFonts w:ascii="Arial" w:cs="Arial" w:eastAsia="Arial" w:hAnsi="Arial"/>
          <w:sz w:val="18"/>
          <w:szCs w:val="18"/>
          <w:u w:val="single" w:color="auto"/>
          <w:color w:val="auto"/>
        </w:rPr>
        <w:t>US Obligation</w:t>
      </w:r>
      <w:r>
        <w:rPr>
          <w:rFonts w:ascii="Arial" w:cs="Arial" w:eastAsia="Arial" w:hAnsi="Arial"/>
          <w:sz w:val="18"/>
          <w:szCs w:val="18"/>
          <w:color w:val="auto"/>
        </w:rPr>
        <w:t>” means any part of the US Obligations.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Percentage Share</w:t>
      </w:r>
      <w:r>
        <w:rPr>
          <w:rFonts w:ascii="Arial" w:cs="Arial" w:eastAsia="Arial" w:hAnsi="Arial"/>
          <w:sz w:val="18"/>
          <w:szCs w:val="18"/>
          <w:color w:val="auto"/>
        </w:rPr>
        <w:t>” means:</w:t>
      </w:r>
    </w:p>
    <w:p>
      <w:pPr>
        <w:spacing w:after="0" w:line="225" w:lineRule="exact"/>
        <w:rPr>
          <w:sz w:val="20"/>
          <w:szCs w:val="20"/>
          <w:color w:val="auto"/>
        </w:rPr>
      </w:pPr>
    </w:p>
    <w:p>
      <w:pPr>
        <w:jc w:val="both"/>
        <w:ind w:left="660" w:firstLine="645"/>
        <w:spacing w:after="0" w:line="264" w:lineRule="auto"/>
        <w:tabs>
          <w:tab w:leader="none" w:pos="1967"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at any time the US Commitments remain outstanding, a fraction (expressed as a percentage, carried out to the sixth decimal place), the </w:t>
      </w:r>
      <w:r>
        <w:rPr>
          <w:rFonts w:ascii="Arial" w:cs="Arial" w:eastAsia="Arial" w:hAnsi="Arial"/>
          <w:sz w:val="18"/>
          <w:szCs w:val="18"/>
          <w:u w:val="single" w:color="auto"/>
          <w:color w:val="auto"/>
        </w:rPr>
        <w:t>numerator</w:t>
      </w:r>
      <w:r>
        <w:rPr>
          <w:rFonts w:ascii="Arial" w:cs="Arial" w:eastAsia="Arial" w:hAnsi="Arial"/>
          <w:sz w:val="18"/>
          <w:szCs w:val="18"/>
          <w:color w:val="auto"/>
        </w:rPr>
        <w:t xml:space="preserve"> of which is the amount of the US Commitment of such US Lender at such time and the </w:t>
      </w:r>
      <w:r>
        <w:rPr>
          <w:rFonts w:ascii="Arial" w:cs="Arial" w:eastAsia="Arial" w:hAnsi="Arial"/>
          <w:sz w:val="18"/>
          <w:szCs w:val="18"/>
          <w:u w:val="single" w:color="auto"/>
          <w:color w:val="auto"/>
        </w:rPr>
        <w:t>denominator</w:t>
      </w:r>
      <w:r>
        <w:rPr>
          <w:rFonts w:ascii="Arial" w:cs="Arial" w:eastAsia="Arial" w:hAnsi="Arial"/>
          <w:sz w:val="18"/>
          <w:szCs w:val="18"/>
          <w:color w:val="auto"/>
        </w:rPr>
        <w:t xml:space="preserve"> of which is the amount of the US Total Committed Amount at such time; and</w:t>
      </w:r>
    </w:p>
    <w:p>
      <w:pPr>
        <w:spacing w:after="0" w:line="181" w:lineRule="exact"/>
        <w:rPr>
          <w:rFonts w:ascii="Arial" w:cs="Arial" w:eastAsia="Arial" w:hAnsi="Arial"/>
          <w:sz w:val="18"/>
          <w:szCs w:val="18"/>
          <w:color w:val="auto"/>
        </w:rPr>
      </w:pPr>
    </w:p>
    <w:p>
      <w:pPr>
        <w:ind w:left="660" w:right="240" w:firstLine="645"/>
        <w:spacing w:after="0" w:line="277" w:lineRule="auto"/>
        <w:tabs>
          <w:tab w:leader="none" w:pos="19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upon the termination of the Commitments pursuant to Section 8.1, a fraction (expressed as a percentage, carried out to the sixth decimal place), the </w:t>
      </w:r>
      <w:r>
        <w:rPr>
          <w:rFonts w:ascii="Arial" w:cs="Arial" w:eastAsia="Arial" w:hAnsi="Arial"/>
          <w:sz w:val="18"/>
          <w:szCs w:val="18"/>
          <w:u w:val="single" w:color="auto"/>
          <w:color w:val="auto"/>
        </w:rPr>
        <w:t>numerator</w:t>
      </w:r>
      <w:r>
        <w:rPr>
          <w:rFonts w:ascii="Arial" w:cs="Arial" w:eastAsia="Arial" w:hAnsi="Arial"/>
          <w:sz w:val="18"/>
          <w:szCs w:val="18"/>
          <w:color w:val="auto"/>
        </w:rPr>
        <w:t xml:space="preserve"> of which 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 of</w:t>
      </w:r>
    </w:p>
    <w:p>
      <w:pPr>
        <w:spacing w:after="0" w:line="225" w:lineRule="exact"/>
        <w:rPr>
          <w:sz w:val="20"/>
          <w:szCs w:val="20"/>
          <w:color w:val="auto"/>
        </w:rPr>
      </w:pPr>
    </w:p>
    <w:p>
      <w:pPr>
        <w:ind w:left="1520" w:hanging="215"/>
        <w:spacing w:after="0"/>
        <w:tabs>
          <w:tab w:leader="none" w:pos="1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Outstanding Amount of US Loans of such US Lender </w:t>
      </w: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ind w:left="660" w:right="300" w:firstLine="645"/>
        <w:spacing w:after="0" w:line="277" w:lineRule="auto"/>
        <w:tabs>
          <w:tab w:leader="none" w:pos="1573"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an amount equal to (A) the Outstanding Amount of US Loans of such US Lender, </w:t>
      </w:r>
      <w:r>
        <w:rPr>
          <w:rFonts w:ascii="Arial" w:cs="Arial" w:eastAsia="Arial" w:hAnsi="Arial"/>
          <w:sz w:val="18"/>
          <w:szCs w:val="18"/>
          <w:u w:val="single" w:color="auto"/>
          <w:color w:val="auto"/>
        </w:rPr>
        <w:t>divided</w:t>
      </w:r>
      <w:r>
        <w:rPr>
          <w:rFonts w:ascii="Arial" w:cs="Arial" w:eastAsia="Arial" w:hAnsi="Arial"/>
          <w:sz w:val="18"/>
          <w:szCs w:val="18"/>
          <w:color w:val="auto"/>
        </w:rPr>
        <w:t xml:space="preserve"> by (B) the Outstanding Amount of all US Loans of all US Lenders,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(C) the Outstanding Amount of all US LC Obligations,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denominator</w:t>
      </w:r>
      <w:r>
        <w:rPr>
          <w:rFonts w:ascii="Arial" w:cs="Arial" w:eastAsia="Arial" w:hAnsi="Arial"/>
          <w:sz w:val="18"/>
          <w:szCs w:val="18"/>
          <w:color w:val="auto"/>
        </w:rPr>
        <w:t xml:space="preserve"> of which is the US Total Outstanding Amount.</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initial US Percentage Share of each US Lender is set forth opposite the name of such US Lender on Schedule II or in the Assignment and Assumption pursuant to which such Lender becomes a party hereto, as applicable.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Total Committed Amount</w:t>
      </w:r>
      <w:r>
        <w:rPr>
          <w:rFonts w:ascii="Arial" w:cs="Arial" w:eastAsia="Arial" w:hAnsi="Arial"/>
          <w:sz w:val="18"/>
          <w:szCs w:val="18"/>
          <w:color w:val="auto"/>
        </w:rPr>
        <w:t>” means, at any time, the sum of the aggregate amount of the US Commitments at such time.</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Total Outstanding Amount</w:t>
      </w:r>
      <w:r>
        <w:rPr>
          <w:rFonts w:ascii="Arial" w:cs="Arial" w:eastAsia="Arial" w:hAnsi="Arial"/>
          <w:sz w:val="18"/>
          <w:szCs w:val="18"/>
          <w:color w:val="auto"/>
        </w:rPr>
        <w:t xml:space="preserve">” means, at any time, the sum of (i) the Outstanding Amount of US Loans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Outstanding Amount of US LC Obligations.</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Utilization Rate</w:t>
      </w:r>
      <w:r>
        <w:rPr>
          <w:rFonts w:ascii="Arial" w:cs="Arial" w:eastAsia="Arial" w:hAnsi="Arial"/>
          <w:sz w:val="18"/>
          <w:szCs w:val="18"/>
          <w:color w:val="auto"/>
        </w:rPr>
        <w:t>” means, on any day, the rate per annum set forth on Schedule I as the “Utilization Rate” based on the Applicable Rating Level on such date. Changes in the applicable Utilization Rate will occur automatically without prior notice as changes in the Applicable Rating Level occur. Administrative Agent will give notice promptly to Borrowers and Lenders of any change (and its effective date) in the Applicable Rating Level and the applicable Utilization Rate.</w:t>
      </w:r>
    </w:p>
    <w:p>
      <w:pPr>
        <w:spacing w:after="0" w:line="18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means any Subsidiary of a Person, all of the issued and outstanding stock, limited liability company membership interests, or partnership interests of which (including all rights or options to acquire such stock or interests) are directly or indirectly (through one or more Subsidiaries) owned by such Person.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Borrowings</w:t>
      </w:r>
      <w:r>
        <w:rPr>
          <w:rFonts w:ascii="Arial" w:cs="Arial" w:eastAsia="Arial" w:hAnsi="Arial"/>
          <w:sz w:val="18"/>
          <w:szCs w:val="18"/>
          <w:color w:val="auto"/>
        </w:rPr>
        <w:t>” has the meaning given to such term in Section 2.2(c).</w:t>
      </w:r>
    </w:p>
    <w:p>
      <w:pPr>
        <w:spacing w:after="0" w:line="225" w:lineRule="exact"/>
        <w:rPr>
          <w:sz w:val="20"/>
          <w:szCs w:val="20"/>
          <w:color w:val="auto"/>
        </w:rPr>
      </w:pPr>
    </w:p>
    <w:p>
      <w:pPr>
        <w:ind w:right="280" w:firstLine="648"/>
        <w:spacing w:after="0" w:line="258"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Exhibits and Schedules; Additional Definitions</w:t>
      </w:r>
      <w:r>
        <w:rPr>
          <w:rFonts w:ascii="Arial" w:cs="Arial" w:eastAsia="Arial" w:hAnsi="Arial"/>
          <w:sz w:val="18"/>
          <w:szCs w:val="18"/>
          <w:color w:val="auto"/>
        </w:rPr>
        <w:t>. All Exhibits and Schedules attached to this Agreement are a part hereof for all purposes.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 of Defined Instruments</w:t>
      </w:r>
      <w:r>
        <w:rPr>
          <w:rFonts w:ascii="Arial" w:cs="Arial" w:eastAsia="Arial" w:hAnsi="Arial"/>
          <w:sz w:val="18"/>
          <w:szCs w:val="18"/>
          <w:color w:val="auto"/>
        </w:rPr>
        <w:t>. Unless the context otherwise requires or unless otherwise provided herein the terms defined in this Agreement which refer to a particular agreement, instrument or document also refer to and include all renewals, extensions, modifications, amendments and restatements of such agreement, instrument or document, provided that nothing contained in this section shall be construed to authorize any such renewal, extension, modification, amendment or restatement.</w:t>
      </w:r>
    </w:p>
    <w:p>
      <w:pPr>
        <w:spacing w:after="0" w:line="18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References and Titles</w:t>
      </w:r>
      <w:r>
        <w:rPr>
          <w:rFonts w:ascii="Arial" w:cs="Arial" w:eastAsia="Arial" w:hAnsi="Arial"/>
          <w:sz w:val="16"/>
          <w:szCs w:val="16"/>
          <w:color w:val="auto"/>
        </w:rPr>
        <w:t>. All references in this Agreement to Exhibits, Schedules, articles, sections, subsections and other subdivisions refer to the Exhibits, Schedules, articles, sections, subsections and other subdivisions of this Agreement unless expressly provided otherwise. Titles appearing at the beginning of any subdivisions are for convenience only and do not constitute any part of such subdivisions and shall be disregarded in construing the language contained in such subdivisions. The words “this Agreement,” “this instrument,” “herein,” “hereof,” “hereby,” “hereunder” and words of similar import refer to this Agreement as a whole and not to any particular subdivision unless expressly so limited. The phrases “this section” and “this subsection” and similar phrases refer only to the sections or subsections hereof in which such phrases occur. The word “or” is not exclusive, and the word “including” (in its various forms) means “including without limitation.” Pronouns in masculine, feminine and neuter genders shall be construed to include any other gender, and words in the singular form shall be construed to include the plural and vice versa, unless the context otherwise requires. References to</w:t>
      </w:r>
    </w:p>
    <w:p>
      <w:pPr>
        <w:sectPr>
          <w:pgSz w:w="11900" w:h="16933" w:orient="portrait"/>
          <w:cols w:equalWidth="0" w:num="1">
            <w:col w:w="11380"/>
          </w:cols>
          <w:pgMar w:left="240" w:top="125" w:right="279" w:bottom="0" w:gutter="0" w:footer="0" w:header="0"/>
        </w:sectPr>
      </w:pPr>
    </w:p>
    <w:bookmarkStart w:id="20" w:name="page21"/>
    <w:bookmarkEnd w:id="20"/>
    <w:p>
      <w:pPr>
        <w:spacing w:after="0" w:line="12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 “officer” or “officers” of the General Partner or any Restricted Person shall mean and include officers of such Person or the controlling management entity of such Person as provided in such Person’s organizational documents, as applicable.</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Calculations and Determinations</w:t>
      </w:r>
      <w:r>
        <w:rPr>
          <w:rFonts w:ascii="Arial" w:cs="Arial" w:eastAsia="Arial" w:hAnsi="Arial"/>
          <w:sz w:val="18"/>
          <w:szCs w:val="18"/>
          <w:color w:val="auto"/>
        </w:rPr>
        <w:t>. All calculations under the Loan Documents of interest chargeable with respect to Eurodollar Loans and of fees shall be made on the basis of actual days elapsed (including the first day but excluding the last) and a year of 360 days. All other calculations of interest made under the Loan Documents shall be made on the basis of actual days elapsed (including the first day but excluding the last) and a year of 365 or 366 days, as appropriate. Each determination by a Lender Party of amounts to be paid under Article III or any other matters which are to be determined hereunder by a Lender Party (such as any Eurodollar Rate, BA Discount Rate, Business Day or Interest Period) shall, in the absence of manifest error, be conclusive and binding. Unless otherwise expressly provided herein or unless Majority Lenders otherwise consent all financial statements and reports furnished to any Lender Party hereunder shall be prepared and all financial computations and determinations pursuant hereto shall be made in accordance with GAAP.</w:t>
      </w:r>
    </w:p>
    <w:p>
      <w:pPr>
        <w:spacing w:after="0" w:line="19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Letter of Credit Amounts</w:t>
      </w:r>
      <w:r>
        <w:rPr>
          <w:rFonts w:ascii="Arial" w:cs="Arial" w:eastAsia="Arial" w:hAnsi="Arial"/>
          <w:sz w:val="17"/>
          <w:szCs w:val="17"/>
          <w:color w:val="auto"/>
        </w:rPr>
        <w:t xml:space="preserve">. Unless otherwise specified herein, the amount of a Letter of Credit at any time shall be deemed to be the Dollar Equivalent of the stated amount of such Letter of Credit in effect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with respect to any Letter of Credit that, by its terms or the terms of any Issuer Document related thereto, provides for one or more automatic reductions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the stated amount thereof, the amount of such Letter of Credit shall be deemed to be the Dollar Equivalent of the amount available to be drawn under such Letter of Credit at such time.</w:t>
      </w:r>
    </w:p>
    <w:p>
      <w:pPr>
        <w:spacing w:after="0" w:line="170"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ARTICLE II. - The Loans and Letters of Credit</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Commitments to Lend; Notes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86" w:lineRule="auto"/>
        <w:tabs>
          <w:tab w:leader="none" w:pos="1307"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US Loans to US Borrower</w:t>
      </w:r>
      <w:r>
        <w:rPr>
          <w:rFonts w:ascii="Arial" w:cs="Arial" w:eastAsia="Arial" w:hAnsi="Arial"/>
          <w:sz w:val="16"/>
          <w:szCs w:val="16"/>
          <w:color w:val="auto"/>
        </w:rPr>
        <w:t>. Subject to the terms and conditions hereof, each US Lender agrees to make US Loans to US Borrower upon US Borrower’s request from time to time during the Commitment Period, provided that (a) subject to Sections 3.3, 3.4 and 3.6, all US Lenders are requested to make US Loans of the same Type in accordance with their respective US Percentage Shares and as part of the same Borrowing, (b) after giving effect to such US Loans, the US Total Outstanding Amount does not exceed the US Total Committed Amount determined as of the date on which the requested US Loans are to be made, and (c) after giving effect to such US Loans, the Outstanding Amount of US Loans by each US Lender plus such US Lender’s US Percentage Share of the Outstanding Amount of US LC Obligations does not exceed such US Lender’s US Commitment. The aggregate amount of all US Loans in any Borrowing must be equal to $1,000,000 or any higher integral multiple of $100,000. The obligation of US Borrower to repay to each US Lender the aggregate amount of all US Loans made by such US Lender to US Borrower, together with interest accruing in connection therewith, shall be evidenced by a single promissory note (herein called such US Lender’s “</w:t>
      </w:r>
      <w:r>
        <w:rPr>
          <w:rFonts w:ascii="Arial" w:cs="Arial" w:eastAsia="Arial" w:hAnsi="Arial"/>
          <w:sz w:val="16"/>
          <w:szCs w:val="16"/>
          <w:u w:val="single" w:color="auto"/>
          <w:color w:val="auto"/>
        </w:rPr>
        <w:t>US Note</w:t>
      </w:r>
      <w:r>
        <w:rPr>
          <w:rFonts w:ascii="Arial" w:cs="Arial" w:eastAsia="Arial" w:hAnsi="Arial"/>
          <w:sz w:val="16"/>
          <w:szCs w:val="16"/>
          <w:color w:val="auto"/>
        </w:rPr>
        <w:t>”) made by US Borrower payable to the order of such US Lender in the form of Exhibit A-1 with appropriate insertions. The amount of principal owing on any US Lender’s US Note at any given time shall be the aggregate amount of all US Loans theretofore made by such US Lender to US Borrower minus all payments of principal theretofore received by such US Lender on such US Note. Interest on each US Note shall accrue and be due and payable as provided herein and therein. Each US Note shall be due and payable as provided herein and therein, and shall be due and payable in full on the Maturity Date. Subject to the terms and conditions of this Agreement, US Borrower may borrow, repay, and reborrow under this Section 2.1(a). US Borrower may have no more than seven Borrowings of Eurodollar Loans outstanding at any time. All payments of principal and interest on the US Loans made pursuant to this Section 2.1(a) shall be made in Dollars.</w:t>
      </w:r>
    </w:p>
    <w:p>
      <w:pPr>
        <w:spacing w:after="0" w:line="168" w:lineRule="exact"/>
        <w:rPr>
          <w:rFonts w:ascii="Arial" w:cs="Arial" w:eastAsia="Arial" w:hAnsi="Arial"/>
          <w:sz w:val="16"/>
          <w:szCs w:val="16"/>
          <w:color w:val="auto"/>
        </w:rPr>
      </w:pPr>
    </w:p>
    <w:p>
      <w:pPr>
        <w:ind w:right="40" w:firstLine="656"/>
        <w:spacing w:after="0" w:line="270" w:lineRule="auto"/>
        <w:tabs>
          <w:tab w:leader="none" w:pos="1304"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Canadian Allocation of US Total Committed Amount</w:t>
      </w:r>
      <w:r>
        <w:rPr>
          <w:rFonts w:ascii="Arial" w:cs="Arial" w:eastAsia="Arial" w:hAnsi="Arial"/>
          <w:sz w:val="17"/>
          <w:szCs w:val="17"/>
          <w:color w:val="auto"/>
        </w:rPr>
        <w:t xml:space="preserve">. US Borrower shall have the right to allocate (or reallocate, if previously allocated) a portion of the US Total Committed Amount as the Canadian Allocated Total Commitment by notice to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such notice shall be received by Administrative Agent not later than 11:00 a.m. ten Canadian Business Days prior to the date such allocation or reallocation shall become effective, (ii) any such allocation or reallocation shall be in an aggregate amount of $5,000,000 or any whole multiple in excess thereof, not to exceed the Canadian Allocated Maximum Total Commitment, or shall be a reallocation to zero, (iii) US Borrower shall not allocate or reallocate any portion of the US Total Committed Amount if, after giving effect thereto and to any concurrent prepayments hereunder (a) the US Total Outstanding Amount would exceed the US Total Committed Amount, (b) the Canadian Total Outstanding Amount would exceed the Canadian Allocated Total Commitment, (c) any US Lender’s US Commitment would not equal or exceed the sum of the Outstanding Amount of such US Lender’s US Loan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US Percentage Share of the Outstanding Amount of US LC Obligations; or (d) any Canadian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Lender’s Canadian Commitment would not equal or exceed the sum of the Outstanding Amount of such Canadian Lender’s Canadian Advances plus such Canadian Lender’s Canadian Percentage Share of the Outstanding Amount of Canadian LC Obligations, and (iv) US Borrower shall make not more than four allocations or reallocations of the US Total Committed Amount in any calendar year. Administrative Agent will promptly notify Canadian Administrative Agent and the Lenders or their Canadian branches or affiliates with Canadian Allocated Commitments of any such notice of allocation or reallocation of the US Total Committed Amount and the amount of their respective Canadian Allocated Commitments, and shall notify all Lenders of the US Commitments and Canadian Allocated Total Commitment upon the effectiveness of such allocation or reallocation, which effectiveness shall require no vote or consent of any Lender or Agent.</w:t>
      </w:r>
    </w:p>
    <w:p>
      <w:pPr>
        <w:spacing w:after="0" w:line="189" w:lineRule="exact"/>
        <w:rPr>
          <w:sz w:val="20"/>
          <w:szCs w:val="20"/>
          <w:color w:val="auto"/>
        </w:rPr>
      </w:pPr>
    </w:p>
    <w:p>
      <w:pPr>
        <w:ind w:right="60" w:firstLine="656"/>
        <w:spacing w:after="0" w:line="284" w:lineRule="auto"/>
        <w:tabs>
          <w:tab w:leader="none" w:pos="1307"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Canadian Advances to Canadian Borrowers</w:t>
      </w:r>
      <w:r>
        <w:rPr>
          <w:rFonts w:ascii="Arial" w:cs="Arial" w:eastAsia="Arial" w:hAnsi="Arial"/>
          <w:sz w:val="16"/>
          <w:szCs w:val="16"/>
          <w:color w:val="auto"/>
        </w:rPr>
        <w:t>. Subject to the terms and conditions hereof, each Canadian Lender agrees to extend credit to either Canadian Borrower, and such extension of credit shall constitute separate Borrowings to such Canadian Borrower, by (i) advancing funds in Dollars or Canadian Dollars to such Canadian Borrower specified in a Borrowing Notice (herein called such Canadian Lender’s “</w:t>
      </w:r>
      <w:r>
        <w:rPr>
          <w:rFonts w:ascii="Arial" w:cs="Arial" w:eastAsia="Arial" w:hAnsi="Arial"/>
          <w:sz w:val="16"/>
          <w:szCs w:val="16"/>
          <w:u w:val="single" w:color="auto"/>
          <w:color w:val="auto"/>
        </w:rPr>
        <w:t>Canadian Loans</w:t>
      </w:r>
      <w:r>
        <w:rPr>
          <w:rFonts w:ascii="Arial" w:cs="Arial" w:eastAsia="Arial" w:hAnsi="Arial"/>
          <w:sz w:val="16"/>
          <w:szCs w:val="16"/>
          <w:color w:val="auto"/>
        </w:rPr>
        <w:t>”) and (ii) accepting and purchasing drafts of Bankers’ Acceptances issued under this Agreement by such Canadian Borrower specified in a Borrowing Notice (herein called such Canadian Lender’s “</w:t>
      </w:r>
      <w:r>
        <w:rPr>
          <w:rFonts w:ascii="Arial" w:cs="Arial" w:eastAsia="Arial" w:hAnsi="Arial"/>
          <w:sz w:val="16"/>
          <w:szCs w:val="16"/>
          <w:u w:val="single" w:color="auto"/>
          <w:color w:val="auto"/>
        </w:rPr>
        <w:t>Bankers’ Acceptances</w:t>
      </w:r>
      <w:r>
        <w:rPr>
          <w:rFonts w:ascii="Arial" w:cs="Arial" w:eastAsia="Arial" w:hAnsi="Arial"/>
          <w:sz w:val="16"/>
          <w:szCs w:val="16"/>
          <w:color w:val="auto"/>
        </w:rPr>
        <w:t xml:space="preserve"> ”; each Canadian Lender’s Canadian Loans and Bankers’ Acceptances are herein collectively called such Canadian Lender’s “</w:t>
      </w:r>
      <w:r>
        <w:rPr>
          <w:rFonts w:ascii="Arial" w:cs="Arial" w:eastAsia="Arial" w:hAnsi="Arial"/>
          <w:sz w:val="16"/>
          <w:szCs w:val="16"/>
          <w:u w:val="single" w:color="auto"/>
          <w:color w:val="auto"/>
        </w:rPr>
        <w:t>Canadian Advances</w:t>
      </w:r>
      <w:r>
        <w:rPr>
          <w:rFonts w:ascii="Arial" w:cs="Arial" w:eastAsia="Arial" w:hAnsi="Arial"/>
          <w:sz w:val="16"/>
          <w:szCs w:val="16"/>
          <w:color w:val="auto"/>
        </w:rPr>
        <w:t>”) upon either Canadian Borrower’s separate request from time to time during a Canadian Allocation Period, provided that</w:t>
      </w:r>
    </w:p>
    <w:p>
      <w:pPr>
        <w:spacing w:after="0" w:line="4" w:lineRule="exact"/>
        <w:rPr>
          <w:rFonts w:ascii="Arial" w:cs="Arial" w:eastAsia="Arial" w:hAnsi="Arial"/>
          <w:sz w:val="16"/>
          <w:szCs w:val="16"/>
          <w:color w:val="auto"/>
        </w:rPr>
      </w:pPr>
    </w:p>
    <w:p>
      <w:pPr>
        <w:ind w:right="120" w:firstLine="8"/>
        <w:spacing w:after="0" w:line="323" w:lineRule="auto"/>
        <w:tabs>
          <w:tab w:leader="none" w:pos="245"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subject to Sections 3.3, 3.4 and 3.6, all Canadian Lenders are requested to make Canadian Advances of the same Type in accordance with their respective Canadian Percentage Shares and as part of the same Borrowing with respect to each Canadian Borrower, (b) after giving effect to such Canadian Advances,</w:t>
      </w:r>
    </w:p>
    <w:p>
      <w:pPr>
        <w:sectPr>
          <w:pgSz w:w="11900" w:h="16960" w:orient="portrait"/>
          <w:cols w:equalWidth="0" w:num="1">
            <w:col w:w="11420"/>
          </w:cols>
          <w:pgMar w:left="240" w:top="125" w:right="239" w:bottom="0" w:gutter="0" w:footer="0" w:header="0"/>
        </w:sectPr>
      </w:pPr>
    </w:p>
    <w:bookmarkStart w:id="21" w:name="page22"/>
    <w:bookmarkEnd w:id="21"/>
    <w:p>
      <w:pPr>
        <w:ind w:right="40"/>
        <w:spacing w:after="0" w:line="268" w:lineRule="auto"/>
        <w:rPr>
          <w:sz w:val="20"/>
          <w:szCs w:val="20"/>
          <w:color w:val="auto"/>
        </w:rPr>
      </w:pPr>
      <w:r>
        <w:rPr>
          <w:rFonts w:ascii="Arial" w:cs="Arial" w:eastAsia="Arial" w:hAnsi="Arial"/>
          <w:sz w:val="17"/>
          <w:szCs w:val="17"/>
          <w:color w:val="auto"/>
        </w:rPr>
        <w:t>the Canadian Total Outstanding Amount does not exceed the Canadian Total Committed Amount determined as of the date on which the requested Canadian Advances are to be made, and (c) after giving effect to such Canadian Advance the Outstanding Amount of the Canadian Advances by each Canadian Lender plus such Canadian Lender’s Canadian Percentage Share of the Outstanding Amount of Canadian LC Obligations does not exceed such Canadian Lender’s Canadian Commitment. The aggregate amount of all Canadian Loans in any Borrowing advanced in Dollars must be equal to $1,000,000 or any higher integral multiple of $100,000, the aggregate amount of all Canadian Loans in any Borrowing advanced in Canadian Dollars must be equal to C$1,000,000 or any higher integral multiple of C$100,000, and the aggregate amount of any Canadian Advance pursuant to the issuance of Bankers’ Acceptances must be equal to C$3,000,000 or any higher integral multiple of C$100,000. The obligation of each Canadian Borrower to repay to each Canadian Lender the aggregate amount of all Canadian Advances made by such Canadian Lender to such Canadian Borrower, together with interest accruing in connection therewith, shall be evidenced by a single promissory note (herein called such Canadian Lender’s “</w:t>
      </w:r>
      <w:r>
        <w:rPr>
          <w:rFonts w:ascii="Arial" w:cs="Arial" w:eastAsia="Arial" w:hAnsi="Arial"/>
          <w:sz w:val="17"/>
          <w:szCs w:val="17"/>
          <w:u w:val="single" w:color="auto"/>
          <w:color w:val="auto"/>
        </w:rPr>
        <w:t>Canadian Note</w:t>
      </w:r>
      <w:r>
        <w:rPr>
          <w:rFonts w:ascii="Arial" w:cs="Arial" w:eastAsia="Arial" w:hAnsi="Arial"/>
          <w:sz w:val="17"/>
          <w:szCs w:val="17"/>
          <w:color w:val="auto"/>
        </w:rPr>
        <w:t>”) made individually by each Canadian Borrower payable to the order of such Canadian Lender in the form of Exhibit A-2 with appropriate insertions. The amount of principal owing on any Canadian Lender’s Canadian Note at any given time shall be the aggregate amount of all Canadian Advances theretofore made by such Canadian Lender to the appropriate Canadian Borrower minus all payments of principal theretofore received by such Canadian Lender on such Canadian Note. Interest on each Canadian Note shall accrue and be due and payable as provided herein and therein. Each Canadian Lender’s Canadian Note shall be due and payable as provided herein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therein, and shall be due and payable in full on the Maturity Date. Subject to the terms and conditions of this Agreement and within the limits of each Canadian Lender’s Canadian Commitment, either Canadian Borrower may individually borrow, repay, and reborrow under this Section 2.1(b). Each Canadian Borrower may have no more than seven Borrowings of BA’s collectively outstanding at any time. All payments of principal and interest on the Canadian Loans shall be made in the currency in which such corresponding Canadian Loan was funded. Canadian Loans may be made, at the option of either Canadian Borrower, in Dollars or Canadian Dollars.</w:t>
      </w:r>
    </w:p>
    <w:p>
      <w:pPr>
        <w:spacing w:after="0" w:line="188" w:lineRule="exact"/>
        <w:rPr>
          <w:sz w:val="20"/>
          <w:szCs w:val="20"/>
          <w:color w:val="auto"/>
        </w:rPr>
      </w:pPr>
    </w:p>
    <w:p>
      <w:pPr>
        <w:ind w:firstLine="656"/>
        <w:spacing w:after="0" w:line="286" w:lineRule="auto"/>
        <w:tabs>
          <w:tab w:leader="none" w:pos="1304"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Increase in US Total Committed Amount</w:t>
      </w:r>
      <w:r>
        <w:rPr>
          <w:rFonts w:ascii="Arial" w:cs="Arial" w:eastAsia="Arial" w:hAnsi="Arial"/>
          <w:sz w:val="16"/>
          <w:szCs w:val="16"/>
          <w:color w:val="auto"/>
        </w:rPr>
        <w:t xml:space="preserve">. US Borrower shall have the right, without the consent of the Lenders but with the prior approval of Administrative Agent, such approval not to be unreasonably withheld, to cause from time to time an increase in the US Total Committed Amount by adding to this Agreement one or more additional Lenders or by allowing one or more Lenders to increase their respective US Commitments, which (in whole or part) may, at the request of US Borrower and with the consent of such Lender, be designated as the Canadian Allocated Commitment of such Lender (resulting in an increased Canadian Allocated Maximum Total Commitment);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(i) no Event of Default shall have occurred hereunder which is continuing or would result therefrom, (ii) no such increase shall result in the US Total Committed Amount plus, without duplication, Canadian Total Committed Amount (if any) to exceed $2,000,000,000, and (iii) no Lender’s Commitment shall be increased or subject to allocation towards the Canadian Allocated Total Commitment without such Lender’s consent. Upon any increase in the aggregate US Total Committed Amount and/or the Canadian Allocated Total Commitment, as the case may be, pursuant to the foregoing, the Lenders hereby authorize the Agents and the Borrowers to make non-ratable borrowings and prepayments of the Loans, and if any such prepayment requires the payment of Eurodollar Loans, Borrowers shall pay any required amounts pursuant to Section 3.6 other than on the last day of the applicable Interest Period, in order to ensure that the Loans of the Lenders shall be outstanding on a ratable basis in accordance with their US Percentage Shares and/or Canadian Percentage Shares, the US Commitments and/or Canadian Commitments shall be as set forth in a revised Schedule II and no such borrowing or prepayment shall violate any provisions of this Agreement.</w:t>
      </w:r>
    </w:p>
    <w:p>
      <w:pPr>
        <w:spacing w:after="0" w:line="174" w:lineRule="exact"/>
        <w:rPr>
          <w:rFonts w:ascii="Arial" w:cs="Arial" w:eastAsia="Arial" w:hAnsi="Arial"/>
          <w:sz w:val="16"/>
          <w:szCs w:val="16"/>
          <w:color w:val="auto"/>
        </w:rPr>
      </w:pPr>
    </w:p>
    <w:p>
      <w:pPr>
        <w:ind w:left="1320" w:hanging="664"/>
        <w:spacing w:after="0"/>
        <w:tabs>
          <w:tab w:leader="none" w:pos="132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Termination of Right to Canadian Allocation of US Total Committed Amount</w:t>
      </w:r>
      <w:r>
        <w:rPr>
          <w:rFonts w:ascii="Arial" w:cs="Arial" w:eastAsia="Arial" w:hAnsi="Arial"/>
          <w:sz w:val="17"/>
          <w:szCs w:val="17"/>
          <w:color w:val="auto"/>
        </w:rPr>
        <w:t>. If no Canadian Allocation Period exists, US Borrower</w:t>
      </w:r>
    </w:p>
    <w:p>
      <w:pPr>
        <w:spacing w:after="0" w:line="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may at any time permanently terminate its right to allocate a portion of the US Total Committed Amount as the Canadian Allocated Total Commitment, at which time the obligations of each Canadian Borrower hereunder and each Guarantor with respect to any Canadian Obligations shall automatically terminate, and thereafter no Lender, nor its Canadian branch or affiliate shall have any Canadian Allocated Commitment, nor shall any Canadian Lender have any Canadian Commitment.</w:t>
      </w:r>
    </w:p>
    <w:p>
      <w:pPr>
        <w:spacing w:after="0" w:line="190" w:lineRule="exact"/>
        <w:rPr>
          <w:sz w:val="20"/>
          <w:szCs w:val="20"/>
          <w:color w:val="auto"/>
        </w:rPr>
      </w:pPr>
    </w:p>
    <w:p>
      <w:pPr>
        <w:ind w:left="1320" w:hanging="664"/>
        <w:spacing w:after="0"/>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Extension of Maturity Date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59" w:lineRule="auto"/>
        <w:tabs>
          <w:tab w:leader="none" w:pos="1966"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Requests for Extension</w:t>
      </w:r>
      <w:r>
        <w:rPr>
          <w:rFonts w:ascii="Arial" w:cs="Arial" w:eastAsia="Arial" w:hAnsi="Arial"/>
          <w:sz w:val="18"/>
          <w:szCs w:val="18"/>
          <w:color w:val="auto"/>
        </w:rPr>
        <w:t>. US Borrower may once each calendar year during the Commitment Period, by notice to Administrative Agent (who shall promptly notify the Lenders) not earlier than 30 days prior to the first anniversary of the Closing Date and not later than 30 days prior to the Maturity Date then in effect hereunder (the “</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request that each Lender extend such Lender’s Maturity Date for one additional year from the Existing Maturity Date.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76" w:lineRule="auto"/>
        <w:tabs>
          <w:tab w:leader="none" w:pos="1976"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Lender Elections to Extend</w:t>
      </w:r>
      <w:r>
        <w:rPr>
          <w:rFonts w:ascii="Arial" w:cs="Arial" w:eastAsia="Arial" w:hAnsi="Arial"/>
          <w:sz w:val="17"/>
          <w:szCs w:val="17"/>
          <w:color w:val="auto"/>
        </w:rPr>
        <w:t>. Each Lender, acting in its sole and individual discretion, shall, by notice to Administrative Agent given not later than the date (the “</w:t>
      </w:r>
      <w:r>
        <w:rPr>
          <w:rFonts w:ascii="Arial" w:cs="Arial" w:eastAsia="Arial" w:hAnsi="Arial"/>
          <w:sz w:val="17"/>
          <w:szCs w:val="17"/>
          <w:u w:val="single" w:color="auto"/>
          <w:color w:val="auto"/>
        </w:rPr>
        <w:t>Notice Date</w:t>
      </w:r>
      <w:r>
        <w:rPr>
          <w:rFonts w:ascii="Arial" w:cs="Arial" w:eastAsia="Arial" w:hAnsi="Arial"/>
          <w:sz w:val="17"/>
          <w:szCs w:val="17"/>
          <w:color w:val="auto"/>
        </w:rPr>
        <w:t>”) that is 15 days after the date of US Borrower’s notice to Administrative Agent under clause (i) above, advise Administrative Agent not later than 5:00 p.m., New York, New York time, whether or not such Lender agrees to such extension (each Lender that determines not to so extend its Maturity Date, a “</w:t>
      </w:r>
      <w:r>
        <w:rPr>
          <w:rFonts w:ascii="Arial" w:cs="Arial" w:eastAsia="Arial" w:hAnsi="Arial"/>
          <w:sz w:val="17"/>
          <w:szCs w:val="17"/>
          <w:u w:val="single" w:color="auto"/>
          <w:color w:val="auto"/>
        </w:rPr>
        <w:t>Non-Extending Lender</w:t>
      </w:r>
      <w:r>
        <w:rPr>
          <w:rFonts w:ascii="Arial" w:cs="Arial" w:eastAsia="Arial" w:hAnsi="Arial"/>
          <w:sz w:val="17"/>
          <w:szCs w:val="17"/>
          <w:color w:val="auto"/>
        </w:rPr>
        <w:t>”), and any Lender that does not so advise Administrative Agent shall be deemed to be a Non-Extending Lender. The election of any Lender to agree to such extension shall not obligate any other Lender to so agree.</w:t>
      </w:r>
    </w:p>
    <w:p>
      <w:pPr>
        <w:spacing w:after="0" w:line="172" w:lineRule="exact"/>
        <w:rPr>
          <w:rFonts w:ascii="Arial" w:cs="Arial" w:eastAsia="Arial" w:hAnsi="Arial"/>
          <w:sz w:val="17"/>
          <w:szCs w:val="17"/>
          <w:color w:val="auto"/>
        </w:rPr>
      </w:pPr>
    </w:p>
    <w:p>
      <w:pPr>
        <w:ind w:right="60" w:firstLine="1305"/>
        <w:spacing w:after="0" w:line="264" w:lineRule="auto"/>
        <w:tabs>
          <w:tab w:leader="none" w:pos="198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Notification by Administrative Agent</w:t>
      </w:r>
      <w:r>
        <w:rPr>
          <w:rFonts w:ascii="Arial" w:cs="Arial" w:eastAsia="Arial" w:hAnsi="Arial"/>
          <w:sz w:val="18"/>
          <w:szCs w:val="18"/>
          <w:color w:val="auto"/>
        </w:rPr>
        <w:t>. Following receipt by Administrative Agent of the Lenders’ notices under Section 2.1(f)(ii), Administrative Agent shall on the Notice Date (or, if such date is not a Business Day, on the next following Business Day), notify the Borrower of each Lender’s determination under Section 2.1(f)(ii).</w:t>
      </w:r>
    </w:p>
    <w:p>
      <w:pPr>
        <w:spacing w:after="0" w:line="181" w:lineRule="exact"/>
        <w:rPr>
          <w:rFonts w:ascii="Arial" w:cs="Arial" w:eastAsia="Arial" w:hAnsi="Arial"/>
          <w:sz w:val="18"/>
          <w:szCs w:val="18"/>
          <w:color w:val="auto"/>
        </w:rPr>
      </w:pPr>
    </w:p>
    <w:p>
      <w:pPr>
        <w:ind w:right="200" w:firstLine="1305"/>
        <w:spacing w:after="0" w:line="253" w:lineRule="auto"/>
        <w:tabs>
          <w:tab w:leader="none" w:pos="196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Additional Commitment Lenders</w:t>
      </w:r>
      <w:r>
        <w:rPr>
          <w:rFonts w:ascii="Arial" w:cs="Arial" w:eastAsia="Arial" w:hAnsi="Arial"/>
          <w:sz w:val="18"/>
          <w:szCs w:val="18"/>
          <w:color w:val="auto"/>
        </w:rPr>
        <w:t>. The Borrower shall have the right, both before and after the effectiveness of a requested extension under this Section 2.1(f), to replace any Non-Extending Lender with, and add as “Lenders” under this Agreement in place thereof, one or more Eligible Assignees (each such Eligible Assignee replacing a Non-Extending Lender on or before the effectiveness of a requested extension under this Section 2.1(f), an “</w:t>
      </w:r>
      <w:r>
        <w:rPr>
          <w:rFonts w:ascii="Arial" w:cs="Arial" w:eastAsia="Arial" w:hAnsi="Arial"/>
          <w:sz w:val="18"/>
          <w:szCs w:val="18"/>
          <w:u w:val="single" w:color="auto"/>
          <w:color w:val="auto"/>
        </w:rPr>
        <w:t>Additional Commitment Lender</w:t>
      </w:r>
      <w:r>
        <w:rPr>
          <w:rFonts w:ascii="Arial" w:cs="Arial" w:eastAsia="Arial" w:hAnsi="Arial"/>
          <w:sz w:val="18"/>
          <w:szCs w:val="18"/>
          <w:color w:val="auto"/>
        </w:rPr>
        <w:t>”) as provided in Section 3.8, each of which Additional Commitment Lenders shall have entered into an Assignment and Assumption pursuant to which such Additional Commitment Lender shall, effective as of the effectiveness of such requested extension, undertake a Commitment (and, if any such Additional Commitment Lender is already a Lender, its Commitment shall be in addition to such Lender’s Commitment hereunder on such date). Any Eligible Assignee replacing a Non-Extending Lender after the effectiveness of a requested extension shall enter into an Assignment and Assumption with such Non-Extending Lender assuming such Non-Extending Lender’s Commitment with such extended Maturity Date.</w:t>
      </w:r>
    </w:p>
    <w:p>
      <w:pPr>
        <w:sectPr>
          <w:pgSz w:w="11900" w:h="16838" w:orient="portrait"/>
          <w:cols w:equalWidth="0" w:num="1">
            <w:col w:w="11400"/>
          </w:cols>
          <w:pgMar w:left="240" w:top="125" w:right="259" w:bottom="0" w:gutter="0" w:footer="0" w:header="0"/>
        </w:sectPr>
      </w:pPr>
    </w:p>
    <w:bookmarkStart w:id="22" w:name="page23"/>
    <w:bookmarkEnd w:id="22"/>
    <w:p>
      <w:pPr>
        <w:ind w:right="20" w:firstLine="1305"/>
        <w:spacing w:after="0" w:line="272" w:lineRule="auto"/>
        <w:tabs>
          <w:tab w:leader="none" w:pos="1952"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Minimum Extension Requirement</w:t>
      </w:r>
      <w:r>
        <w:rPr>
          <w:rFonts w:ascii="Arial" w:cs="Arial" w:eastAsia="Arial" w:hAnsi="Arial"/>
          <w:sz w:val="17"/>
          <w:szCs w:val="17"/>
          <w:color w:val="auto"/>
        </w:rPr>
        <w:t xml:space="preserve">. If Majority Lenders (determined after giving effect to any Additional Commitment Lenders and their Commitments) shall approve any such requested extension under this Section 2.1(f), then, subject to the conditions set forth in Section 2.1(f)(vi), the Maturity Date as to each Lender approving such requested extension and of each Additional Commitment Lender shall be extended to the same date one year after the Existing Maturity Date (except that, if such date is not a Business Day, such Maturity Date as so extended shall be the next preceding Business Day) and each Additional Commitment Lender shall thereupon become a “Lender” for all purposes of this Agreement. The Maturity Date of each Non-Extending Lender remaining a Lender hereunder shall remain the Existing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the Borrower shall continue to have the right to replace any such Non-Extending Lender following the effectiveness of any such extension as provided in Section 2.1(f)(iv).</w:t>
      </w:r>
    </w:p>
    <w:p>
      <w:pPr>
        <w:spacing w:after="0" w:line="177" w:lineRule="exact"/>
        <w:rPr>
          <w:rFonts w:ascii="Arial" w:cs="Arial" w:eastAsia="Arial" w:hAnsi="Arial"/>
          <w:sz w:val="17"/>
          <w:szCs w:val="17"/>
          <w:color w:val="auto"/>
        </w:rPr>
      </w:pPr>
    </w:p>
    <w:p>
      <w:pPr>
        <w:ind w:right="80" w:firstLine="1305"/>
        <w:spacing w:after="0" w:line="277" w:lineRule="auto"/>
        <w:tabs>
          <w:tab w:leader="none" w:pos="196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Extensions</w:t>
      </w:r>
      <w:r>
        <w:rPr>
          <w:rFonts w:ascii="Arial" w:cs="Arial" w:eastAsia="Arial" w:hAnsi="Arial"/>
          <w:sz w:val="18"/>
          <w:szCs w:val="18"/>
          <w:color w:val="auto"/>
        </w:rPr>
        <w:t>. Notwithstanding the foregoing, the extension of the Existing Maturity Date pursuant to this Section shall not be effective with respect to any Lender unless:</w:t>
      </w:r>
    </w:p>
    <w:p>
      <w:pPr>
        <w:spacing w:after="0" w:line="170" w:lineRule="exact"/>
        <w:rPr>
          <w:sz w:val="20"/>
          <w:szCs w:val="20"/>
          <w:color w:val="auto"/>
        </w:rPr>
      </w:pPr>
    </w:p>
    <w:p>
      <w:pPr>
        <w:ind w:left="5620" w:right="100" w:hanging="4315"/>
        <w:spacing w:after="0" w:line="528" w:lineRule="auto"/>
        <w:tabs>
          <w:tab w:leader="none" w:pos="19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extension and after giving effect thereto; 32</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660" w:right="40" w:firstLine="645"/>
        <w:spacing w:after="0" w:line="279" w:lineRule="auto"/>
        <w:tabs>
          <w:tab w:leader="none" w:pos="1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representations and warranties made by any Restricted Person in any Loan Document are true and correct on and as of the date of such extension and after giving effect thereto, as though made as of such date (or, if any such representation or warranty is expressly stated to have been made as of a specific date or updated, modified or supplemented as of a subsequent date with the consent of Majority Lenders (after giving effect to any Additional Commitment Lenders), then in each case, as of such specific date); and</w:t>
      </w:r>
    </w:p>
    <w:p>
      <w:pPr>
        <w:spacing w:after="0" w:line="171" w:lineRule="exact"/>
        <w:rPr>
          <w:rFonts w:ascii="Arial" w:cs="Arial" w:eastAsia="Arial" w:hAnsi="Arial"/>
          <w:sz w:val="17"/>
          <w:szCs w:val="17"/>
          <w:color w:val="auto"/>
        </w:rPr>
      </w:pPr>
    </w:p>
    <w:p>
      <w:pPr>
        <w:ind w:left="660" w:right="60" w:firstLine="645"/>
        <w:spacing w:after="0" w:line="259"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the Maturity Date of each Non-Extending Lender, US Borrower and Canadian Borrowers shall prepay US Loans and Canadian Loans, respectively, outstanding on such date (and pay any additional amounts required pursuant to Section 3.6) to the extent necessary to keep outstanding US Loans and Canadian Loans ratable with any revised US Percentage Shares and Canadian Percentage Shares, respectively, of the respective US Lenders and Canadian Lenders effective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Requests for Loans</w:t>
      </w:r>
      <w:r>
        <w:rPr>
          <w:rFonts w:ascii="Arial" w:cs="Arial" w:eastAsia="Arial" w:hAnsi="Arial"/>
          <w:sz w:val="18"/>
          <w:szCs w:val="18"/>
          <w:color w:val="auto"/>
        </w:rPr>
        <w:t>. A requesting Borrower must give to the appropriate Agent written notice (or telephonic notice promptly confirmed in writing) of any requested Borrowing. Each such notice constitutes a “Borrowing Notice” hereunder and must:</w:t>
      </w:r>
    </w:p>
    <w:p>
      <w:pPr>
        <w:spacing w:after="0" w:line="170" w:lineRule="exact"/>
        <w:rPr>
          <w:sz w:val="20"/>
          <w:szCs w:val="20"/>
          <w:color w:val="auto"/>
        </w:rPr>
      </w:pPr>
    </w:p>
    <w:p>
      <w:pPr>
        <w:ind w:left="1320" w:hanging="664"/>
        <w:spacing w:after="0"/>
        <w:tabs>
          <w:tab w:leader="none" w:pos="13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specify (i) as to US Loans (A) the aggregate amount of any such Borrowing and the date on which Base Rate Loans are to be advanced, or</w:t>
      </w:r>
    </w:p>
    <w:p>
      <w:pPr>
        <w:spacing w:after="0" w:line="46" w:lineRule="exact"/>
        <w:rPr>
          <w:rFonts w:ascii="Arial" w:cs="Arial" w:eastAsia="Arial" w:hAnsi="Arial"/>
          <w:sz w:val="16"/>
          <w:szCs w:val="16"/>
          <w:color w:val="auto"/>
        </w:rPr>
      </w:pPr>
    </w:p>
    <w:p>
      <w:pPr>
        <w:ind w:right="200" w:firstLine="8"/>
        <w:spacing w:after="0" w:line="268" w:lineRule="auto"/>
        <w:tabs>
          <w:tab w:leader="none" w:pos="28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aggregate amount of any such Borrowing of new Eurodollar Loans, the date on which such Eurodollar Loans are to be advanced (which shall be the first day of the Interest Period which is to apply thereto), and the length of the applicable Interest Period, or (ii) as to Canadian Loans (A) the aggregate amount of any such Borrowing of new Canadian Prime Rate Loans (if Canadian Dollar-denominated Loans) or Canadian US Dollar Base Rate Loans (if Dollar-denominated Loans) and the date on which such Canadian Loans are to be advanced, or (B) the aggregate amount of any such Borrowing by way of Bankers’ Acceptances (subject to Section 2.12(f)), and the date on which such Bankers’ Acceptances are to be accepted and the maturity of such Bankers’ Acceptances (if Canadian Dollar-denominated Loans) or the aggregate amount of any such Borrowing of new Eurodollar Loans, the date on which such Eurodollar Loans are to be advanced (which shall be the first day of the Interest Period which is to apply thereto), and the length of the applicable Interest Period (if Dollar-denominated Loans); and</w:t>
      </w:r>
    </w:p>
    <w:p>
      <w:pPr>
        <w:spacing w:after="0" w:line="184" w:lineRule="exact"/>
        <w:rPr>
          <w:rFonts w:ascii="Arial" w:cs="Arial" w:eastAsia="Arial" w:hAnsi="Arial"/>
          <w:sz w:val="17"/>
          <w:szCs w:val="17"/>
          <w:color w:val="auto"/>
        </w:rPr>
      </w:pPr>
    </w:p>
    <w:p>
      <w:pPr>
        <w:ind w:left="1320" w:hanging="664"/>
        <w:spacing w:after="0"/>
        <w:tabs>
          <w:tab w:leader="none" w:pos="13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be received by the appropriate Agent not later than 11:00 a.m., New York, New York time or Toronto, Canada time, as the case may be, on</w:t>
      </w:r>
    </w:p>
    <w:p>
      <w:pPr>
        <w:spacing w:after="0" w:line="46" w:lineRule="exact"/>
        <w:rPr>
          <w:rFonts w:ascii="Arial" w:cs="Arial" w:eastAsia="Arial" w:hAnsi="Arial"/>
          <w:sz w:val="16"/>
          <w:szCs w:val="16"/>
          <w:color w:val="auto"/>
        </w:rPr>
      </w:pPr>
    </w:p>
    <w:p>
      <w:pPr>
        <w:ind w:right="220"/>
        <w:spacing w:after="0" w:line="290" w:lineRule="auto"/>
        <w:rPr>
          <w:rFonts w:ascii="Arial" w:cs="Arial" w:eastAsia="Arial" w:hAnsi="Arial"/>
          <w:sz w:val="16"/>
          <w:szCs w:val="16"/>
          <w:color w:val="auto"/>
        </w:rPr>
      </w:pPr>
      <w:r>
        <w:rPr>
          <w:rFonts w:ascii="Arial" w:cs="Arial" w:eastAsia="Arial" w:hAnsi="Arial"/>
          <w:sz w:val="17"/>
          <w:szCs w:val="17"/>
          <w:color w:val="auto"/>
        </w:rPr>
        <w:t>(i) the day on which any such Base Rate Loans, Canadian Prime Rate Loans or Canadian US Dollar Base Rate Loans are to be made, (ii) the third Business Day preceding the day on which any such Eurodollar Loans are to be made or any such Bankers’ Acceptances are to be issued; and</w:t>
      </w:r>
    </w:p>
    <w:p>
      <w:pPr>
        <w:spacing w:after="0" w:line="161" w:lineRule="exact"/>
        <w:rPr>
          <w:rFonts w:ascii="Arial" w:cs="Arial" w:eastAsia="Arial" w:hAnsi="Arial"/>
          <w:sz w:val="16"/>
          <w:szCs w:val="16"/>
          <w:color w:val="auto"/>
        </w:rPr>
      </w:pPr>
    </w:p>
    <w:p>
      <w:pPr>
        <w:ind w:right="60" w:firstLine="656"/>
        <w:spacing w:after="0" w:line="259" w:lineRule="auto"/>
        <w:tabs>
          <w:tab w:leader="none" w:pos="1307"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any requested Borrowing or portion thereof is to be utilized exclusively for working capital purposes (such Borrowing or such portion being called a “</w:t>
      </w:r>
      <w:r>
        <w:rPr>
          <w:rFonts w:ascii="Arial" w:cs="Arial" w:eastAsia="Arial" w:hAnsi="Arial"/>
          <w:sz w:val="18"/>
          <w:szCs w:val="18"/>
          <w:u w:val="single" w:color="auto"/>
          <w:color w:val="auto"/>
        </w:rPr>
        <w:t>Working Capital Borrowing</w:t>
      </w:r>
      <w:r>
        <w:rPr>
          <w:rFonts w:ascii="Arial" w:cs="Arial" w:eastAsia="Arial" w:hAnsi="Arial"/>
          <w:sz w:val="18"/>
          <w:szCs w:val="18"/>
          <w:color w:val="auto"/>
        </w:rPr>
        <w:t>”), such Borrower shall specify in the Borrowing Notice that such Borrowing or such portion is a Working Capital Borrowing. In addition, any repayment of a Loan that is intended as a repayment of all or any part of the outstanding amount of one or more Working Capital Borrowings shall be so identified to the appropriate Agent at the time of such repayment.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Each such written request or confirmation must be made in the form and substance of the “US Borrowing Notice” attached hereto as Exhibit B-1 or the “Canadian Borrowing Notice” attached hereto as Exhibit B-2, duly completed. Each such telephonic request shall be deemed a representation, warranty, acknowledgment and agreement by such Borrower as to the matters which are required to be set out in such written confirmation. Upon receipt of any such Borrowing Notice, the appropriate Agent shall give each US Lender or Canadian Lender, as the case may be, prompt notice of the terms thereof. If all conditions precedent to such new Loans have been met, each US Lender or Canadian Lender, as the case may be, will on the date requested promptly remit to the appropriate Agent at its office in Boston, Massachusetts or Toronto, Canada, as the case may be, the amount of such Lender’s new Loan in immediately available funds, and upon receipt of such funds, unless to its actual knowledge any conditions precedent to such Loans have been neither met nor waived as provided herein, such Agent shall promptly make such Loans available to the requesting Borrower. Unless an Agent shall have received prompt notice from a Lender that such Lender will not make available to such Borrower such Lender’s new Loan, such Agent may in its discretion assume that such Lender has made such Loan available to such Agent in accordance with this section, and such Agent may if it chooses, in reliance upon such assumption, make such Loan available to such Borrower. If and to the extent such Lender shall not so make its new Loan available to such Agent, such Lender and requesting Borrower severally agree to pay or repay to such Agent within three days after demand the amount of such Loan together with interest thereon, for each day from the date such amount was made available to such Borrower until the date such amount is paid or repaid to such Agent, with interest at (i) as to US Loans and Dollar-denominated Canadian Loans, the Federal Funds Rate, and as to Canadian Dollar-denominated Canadian Loans, the “Bank Rate” as set by the Bank of Canada, as quoted on Reuters page BOCFAD, if such Lender is making such payment, and (ii) the interest rate applicable at the time to the other new Loans made on such date, if such Borrower is making such repayment. If neither such Lender nor such Borrower pays or repays to such Agent such amount within such three-day period, such Agent shall be entitled to recover from such Borrower, on demand in lieu of the interest provided for in the preceding sentence, interest thereon at the Default Rate, calculated from the date such amount was made available to such Borrower. The failure of any Lender to make any new Loan to be made by it hereunder shall not relieve any other Lender of its obligation hereunder, if any, to make its new Loan, but no Lender shall be responsible for the failure of any other Lender to make any new Loan to be made by such other Lender. All Borrowings of US Loans shall be advanced in Dollars. Borrowings of Canadian Loans, at either Canadian Borrower’s option, may be advanced in Canadian Dollars or Dollars.</w:t>
      </w:r>
    </w:p>
    <w:p>
      <w:pPr>
        <w:sectPr>
          <w:pgSz w:w="11900" w:h="16838" w:orient="portrait"/>
          <w:cols w:equalWidth="0" w:num="1">
            <w:col w:w="11420"/>
          </w:cols>
          <w:pgMar w:left="240" w:top="125" w:right="239" w:bottom="0" w:gutter="0" w:footer="0" w:header="0"/>
        </w:sectPr>
      </w:pPr>
    </w:p>
    <w:bookmarkStart w:id="23" w:name="page24"/>
    <w:bookmarkEnd w:id="23"/>
    <w:p>
      <w:pPr>
        <w:ind w:right="80" w:firstLine="648"/>
        <w:spacing w:after="0" w:line="272"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Continuations and Conversions of Existing Loans</w:t>
      </w:r>
      <w:r>
        <w:rPr>
          <w:rFonts w:ascii="Arial" w:cs="Arial" w:eastAsia="Arial" w:hAnsi="Arial"/>
          <w:sz w:val="17"/>
          <w:szCs w:val="17"/>
          <w:color w:val="auto"/>
        </w:rPr>
        <w:t>. US Borrower may make the following elections with respect to US Loans already outstanding: (i) to Convert, in whole or in part, Base Rate Loans to Eurodollar Loans, (ii) to Convert, in whole or in part, Eurodollar Loans to Base Rate Loans on the last day of the Interest Period applicable thereto, and (iii) to Continue, in whole or in part, Eurodollar Loans beyond the expiration of such Interest Period by designating a new Interest Period to take effect at the time of such expiration. Subject to the terms of Section 2.13 with respect to Bankers’ Acceptances, each Canadian Borrower may make the following elections with respect to Canadian Advances already outstanding: (i) to Convert any Type of Canadian Advance to any other Type of Canadian Advance, provided that any such Conversion of a Bankers’ Acceptance must be made on the date of maturity thereof; and (ii) to rollover any existing Bankers’ Acceptance by designating the new maturity date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applicable thereto. In making such elections, such Borrower may combine existing US Loans to US Borrower or Canadian Advances to such Canadian Borrower made pursuant to separate Borrowings into one new Borrowing or divide existing US Loans to US Borrower or Canadian Advances to such Canadian Borrower made pursuant to one Borrowing into separate new Borrowings, provided that US Borrower may have no more than seven Borrowings of Eurodollar Loans outstanding at any time and neither Canadian Borrower may have more than seven BA’s and Eurodollar Loans in the aggregate outstanding at any time. To make any such election, such Borrower must give to the appropriate Agent written notice (or telephonic notice promptly confirmed in writing) of any such Conversion or Continuation of existing Loans or Canadian Advances, with a separate notice given for each new Borrowing. Each such notice constitutes a “Continuation/Conversion Notice” hereunder and must:</w:t>
      </w:r>
    </w:p>
    <w:p>
      <w:pPr>
        <w:spacing w:after="0" w:line="178" w:lineRule="exact"/>
        <w:rPr>
          <w:sz w:val="20"/>
          <w:szCs w:val="20"/>
          <w:color w:val="auto"/>
        </w:rPr>
      </w:pPr>
    </w:p>
    <w:p>
      <w:pPr>
        <w:ind w:left="2020" w:hanging="715"/>
        <w:spacing w:after="0"/>
        <w:tabs>
          <w:tab w:leader="none" w:pos="2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specify the existing US Loans or Canadian Advances which are to be Continued or Converted;</w:t>
      </w:r>
    </w:p>
    <w:p>
      <w:pPr>
        <w:spacing w:after="0" w:line="225" w:lineRule="exact"/>
        <w:rPr>
          <w:rFonts w:ascii="Arial" w:cs="Arial" w:eastAsia="Arial" w:hAnsi="Arial"/>
          <w:sz w:val="18"/>
          <w:szCs w:val="18"/>
          <w:color w:val="auto"/>
        </w:rPr>
      </w:pPr>
    </w:p>
    <w:p>
      <w:pPr>
        <w:ind w:left="660" w:right="180" w:firstLine="645"/>
        <w:spacing w:after="0" w:line="271" w:lineRule="auto"/>
        <w:tabs>
          <w:tab w:leader="none" w:pos="2023" w:val="left"/>
        </w:tabs>
        <w:numPr>
          <w:ilvl w:val="0"/>
          <w:numId w:val="36"/>
        </w:numPr>
        <w:rPr>
          <w:rFonts w:ascii="Arial" w:cs="Arial" w:eastAsia="Arial" w:hAnsi="Arial"/>
          <w:sz w:val="17"/>
          <w:szCs w:val="17"/>
          <w:color w:val="auto"/>
        </w:rPr>
      </w:pPr>
      <w:r>
        <w:rPr>
          <w:rFonts w:ascii="Arial" w:cs="Arial" w:eastAsia="Arial" w:hAnsi="Arial"/>
          <w:sz w:val="17"/>
          <w:szCs w:val="17"/>
          <w:color w:val="auto"/>
        </w:rPr>
        <w:t>specify (A) the aggregate amount of any Borrowing of Base Rate Loans, Canadian Prime Rate Loans (as to Canadian Dollar-denominated Canadian Loans) or Canadian US Dollar Base Rate Loans (as to Dollar-denominated Canadian Loans) into which such existing US Loans or Canadian Advances, as the case may be, are to be Continued or Converted and the date on which such Continuation or Conversion is to occur, (B) the aggregate amount of any Borrowing of Eurodollar Loans into which such existing Dollar-denominated Loans are to be Continued or Converted, the date on which such Continuation or Conversion is to occur (which shall be the first day of the Interest Period which is to apply to such Eurodollar Loans), and the length of the applicable Interest Period, or (C) the amount of any Borrowing of Bankers’ Acceptances into which such existing Canadian Dollar-denominated Canadian Advances are to be Continued or Converted, the date on which such Continuation or Conversion is to occur, and the maturity of such Bankers’ Acceptances; and</w:t>
      </w:r>
    </w:p>
    <w:p>
      <w:pPr>
        <w:spacing w:after="0" w:line="178" w:lineRule="exact"/>
        <w:rPr>
          <w:rFonts w:ascii="Arial" w:cs="Arial" w:eastAsia="Arial" w:hAnsi="Arial"/>
          <w:sz w:val="17"/>
          <w:szCs w:val="17"/>
          <w:color w:val="auto"/>
        </w:rPr>
      </w:pPr>
    </w:p>
    <w:p>
      <w:pPr>
        <w:ind w:left="660" w:right="80" w:firstLine="645"/>
        <w:spacing w:after="0" w:line="259" w:lineRule="auto"/>
        <w:tabs>
          <w:tab w:leader="none" w:pos="20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received by the appropriate Agent not later than 11:00 a.m. New York, New York time or Toronto, Canada time, as the case may be, on (i) the day on which any such Continuation or Conversion to Base Rate Loans, Canadian Prime Rate Loans or Canadian US Dollar Base Rate Loans is to occur, or (ii) the third Business Day preceding the day on which any such Continuation or Conversion to Eurodollar Loans or Bankers’ Acceptances is to occur.</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Each such written request or confirmation must be made in the form and substance of the “US Continuation/Conversion Notice” attached hereto as Exhibit C-1 or the “Canadian Continuation/Conversion Notice” attached hereto as Exhibit C-2, as appropriate, duly completed. Each such telephonic request shall be deemed a representation, warranty, acknowledgment and agreement by the requesting Borrower as to the matters which are required to be set out in such written confirmation. Upon receipt of any such Continuation/Conversion Notice, the appropriate Agent shall give each US Lender or Canadian Lender, as the case may be, prompt notice of the terms thereof. Each Continuation/Conversion Notice shall be irrevocable and binding on the requesting Borrower. During the continuance of any Default, US Borrower may not make any election to Convert existing US Loans into Eurodollar Loans or Continue existing US Loans as Eurodollar Loans beyond the expiration of their respective and corresponding Interest Period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then in effect, nor may either Canadian Borrower make any election to Convert existing Dollar-denominated Canadian Loans into Eurodollar Loans or Continue existing Dollar-denominated Canadian Loans as Eurodollar Loans beyond the expiration of their respective and corresponding Interest Period then in effect, or Convert existing Canadian Dollar-denominated Canadian Advances into Bankers’ Acceptances or to rollover existing Bankers’ Acceptances into new Bankers’ Acceptances. If (due to the existence of a Default or for any other reason) any Borrower fails to timely and properly give any Continuation/Conversion Notice with respect to a Borrowing of existing Eurodollar Loans or Bankers’ Acceptances at least three days prior to the end of the Interest Period applicable to such Eurodollar Loans or the maturity of such Bankers’ Acceptance, any such Eurodollar Loans, to the extent not prepaid at the end of such Interest Period, shall automatically be Converted into Base Rate Loans (or, as to Canadian Loans, Canadian US Dollar Base Rate Loans) at the end of such Interest Period, and any such Bankers’ Acceptances, to the extent not prepaid at such maturity, shall automatically be Converted into Canadian Prime Rate Loans at such maturity. No new funds shall be repaid by any Borrower or advanced by any Lender in connection with any Continuation or Conversion of existing US Loans or Canadian Advances pursuant to this section, and no such Continuation or Conversion shall be deemed to be a new advance of funds for any purpose; such Continuations and Conversions merely constitute a change in the interest rate applicable to such already outstanding US Loans or Canadian Advances.</w:t>
      </w:r>
    </w:p>
    <w:p>
      <w:pPr>
        <w:spacing w:after="0" w:line="18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Use of Proceeds</w:t>
      </w:r>
      <w:r>
        <w:rPr>
          <w:rFonts w:ascii="Arial" w:cs="Arial" w:eastAsia="Arial" w:hAnsi="Arial"/>
          <w:sz w:val="17"/>
          <w:szCs w:val="17"/>
          <w:color w:val="auto"/>
        </w:rPr>
        <w:t>. Borrowers shall use all Loans and Canadian Advances (a) to refinance outstanding indebtedness under the Existing Agreement including letters of credit issued thereunder, and (b) for fees and expenses related to this Agreement and the transactions contemplated hereby, capital expenditures of any Restricted Person, reimbursement obligations of Letters of Credit, working capital for operations and other general business purposes, including acquisitions. Borrowers shall use all Letters of Credit for its and its Subsidiaries’ general corporate purposes including in relation to the purchase or exchange by any Restricted Person of Petroleum Products. In no event shall the funds from any Loans, Canadian Advances or any Letters of Credit be used directly or indirectly by any Person for personal, family, household or agricultural purposes or for the purpose, whether immediate, incidental or ultimate, of purchasing, acquiring or carrying any “margin stock” (as such term is defined in Regulation U promulgated by the Board of Governors of the Federal Reserve System) or to extend credit to others directly or indirectly for the purpose of purchasing or carrying any such margin stock. Borrowers represent and warrant that they are not engaged principally, or as one of their important activities, in the business of extending credit to others for the purpose of purchasing or carrying such margin stock.</w:t>
      </w:r>
    </w:p>
    <w:p>
      <w:pPr>
        <w:spacing w:after="0" w:line="17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5"/>
          <w:szCs w:val="15"/>
          <w:u w:val="single" w:color="auto"/>
          <w:color w:val="auto"/>
        </w:rPr>
        <w:t>Interest Rates and Fees</w:t>
      </w:r>
      <w:r>
        <w:rPr>
          <w:rFonts w:ascii="Arial" w:cs="Arial" w:eastAsia="Arial" w:hAnsi="Arial"/>
          <w:sz w:val="15"/>
          <w:szCs w:val="15"/>
          <w:color w:val="auto"/>
        </w:rPr>
        <w:t>.</w:t>
      </w:r>
    </w:p>
    <w:p>
      <w:pPr>
        <w:spacing w:after="0" w:line="225" w:lineRule="exact"/>
        <w:rPr>
          <w:sz w:val="20"/>
          <w:szCs w:val="20"/>
          <w:color w:val="auto"/>
        </w:rPr>
      </w:pPr>
    </w:p>
    <w:p>
      <w:pPr>
        <w:ind w:left="1360" w:hanging="704"/>
        <w:spacing w:after="0"/>
        <w:tabs>
          <w:tab w:leader="none" w:pos="13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Interest Rates</w:t>
      </w:r>
      <w:r>
        <w:rPr>
          <w:rFonts w:ascii="Arial" w:cs="Arial" w:eastAsia="Arial" w:hAnsi="Arial"/>
          <w:sz w:val="18"/>
          <w:szCs w:val="18"/>
          <w:color w:val="auto"/>
        </w:rPr>
        <w:t>.</w:t>
      </w:r>
    </w:p>
    <w:p>
      <w:pPr>
        <w:sectPr>
          <w:pgSz w:w="11900" w:h="16838" w:orient="portrait"/>
          <w:cols w:equalWidth="0" w:num="1">
            <w:col w:w="11400"/>
          </w:cols>
          <w:pgMar w:left="240" w:top="125" w:right="259" w:bottom="0" w:gutter="0" w:footer="0" w:header="0"/>
        </w:sectPr>
      </w:pPr>
    </w:p>
    <w:bookmarkStart w:id="24" w:name="page25"/>
    <w:bookmarkEnd w:id="24"/>
    <w:p>
      <w:pPr>
        <w:ind w:right="240" w:firstLine="1305"/>
        <w:spacing w:after="0" w:line="279" w:lineRule="auto"/>
        <w:tabs>
          <w:tab w:leader="none" w:pos="2006" w:val="left"/>
        </w:tabs>
        <w:numPr>
          <w:ilvl w:val="0"/>
          <w:numId w:val="38"/>
        </w:numPr>
        <w:rPr>
          <w:rFonts w:ascii="Arial" w:cs="Arial" w:eastAsia="Arial" w:hAnsi="Arial"/>
          <w:sz w:val="17"/>
          <w:szCs w:val="17"/>
          <w:color w:val="auto"/>
        </w:rPr>
      </w:pPr>
      <w:r>
        <w:rPr>
          <w:rFonts w:ascii="Arial" w:cs="Arial" w:eastAsia="Arial" w:hAnsi="Arial"/>
          <w:sz w:val="17"/>
          <w:szCs w:val="17"/>
          <w:color w:val="auto"/>
        </w:rPr>
        <w:t>Each US Loan shall bear interest as follows: (A) unless the Default Rate shall apply, each Base Rate Loan shall bear interest on each day outstanding at the Base Rate plus the Applicable Margin in effect on such day, each Eurodollar Loan shall bear interest on each day during the related Interest Period at the related Eurodollar Rate plus the Applicable Margin in effect on such day, and each EMIR Loan to US Borrower shall bear interest on each day outstanding at the Eurodollar Market Index Rate plus the Applicable Margin in effect 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such day, and (B) during a Default Rate Period, all US Loans shall bear interest on each day outstanding at the applicable Default Rate.</w:t>
      </w:r>
    </w:p>
    <w:p>
      <w:pPr>
        <w:spacing w:after="0" w:line="225" w:lineRule="exact"/>
        <w:rPr>
          <w:sz w:val="20"/>
          <w:szCs w:val="20"/>
          <w:color w:val="auto"/>
        </w:rPr>
      </w:pPr>
    </w:p>
    <w:p>
      <w:pPr>
        <w:ind w:right="60" w:firstLine="1305"/>
        <w:spacing w:after="0" w:line="293" w:lineRule="auto"/>
        <w:tabs>
          <w:tab w:leader="none" w:pos="2011" w:val="left"/>
        </w:tabs>
        <w:numPr>
          <w:ilvl w:val="2"/>
          <w:numId w:val="39"/>
        </w:numPr>
        <w:rPr>
          <w:rFonts w:ascii="Arial" w:cs="Arial" w:eastAsia="Arial" w:hAnsi="Arial"/>
          <w:sz w:val="16"/>
          <w:szCs w:val="16"/>
          <w:color w:val="auto"/>
        </w:rPr>
      </w:pPr>
      <w:r>
        <w:rPr>
          <w:rFonts w:ascii="Arial" w:cs="Arial" w:eastAsia="Arial" w:hAnsi="Arial"/>
          <w:sz w:val="16"/>
          <w:szCs w:val="16"/>
          <w:color w:val="auto"/>
        </w:rPr>
        <w:t>Each Canadian Loan shall bear interest as follows: (A) unless the Default Rate shall apply, each Canadian Prime Rate Loan shall bear interest on each day outstanding at the Canadian Prime Rate plus the Applicable Margin in effect on such day, each Canadian US Dollar Base Rate Loan shall bear interest on each day outstanding at the Canadian US Dollar Base Rate plus the Applicable Margin in effect on such day, each Eurodollar Loan shall bear interest on each day during the related Interest Period at the related Eurodollar Rate plus the Applicable Margin in effect on such day, and each EMIR Loan shall bear interest on each day outstanding at the Eurodollar Market Index Rate plus the Applicable Margin in effect on such day, and (B) during a Default Rate Period, all Canadian Loans shall bear interest on each day outstanding at the applicable Default Rate.</w:t>
      </w:r>
    </w:p>
    <w:p>
      <w:pPr>
        <w:spacing w:after="0" w:line="164" w:lineRule="exact"/>
        <w:rPr>
          <w:rFonts w:ascii="Arial" w:cs="Arial" w:eastAsia="Arial" w:hAnsi="Arial"/>
          <w:sz w:val="16"/>
          <w:szCs w:val="16"/>
          <w:color w:val="auto"/>
        </w:rPr>
      </w:pPr>
    </w:p>
    <w:p>
      <w:pPr>
        <w:ind w:right="160" w:firstLine="1305"/>
        <w:spacing w:after="0" w:line="288" w:lineRule="auto"/>
        <w:tabs>
          <w:tab w:leader="none" w:pos="2016" w:val="left"/>
        </w:tabs>
        <w:numPr>
          <w:ilvl w:val="2"/>
          <w:numId w:val="39"/>
        </w:numPr>
        <w:rPr>
          <w:rFonts w:ascii="Arial" w:cs="Arial" w:eastAsia="Arial" w:hAnsi="Arial"/>
          <w:sz w:val="16"/>
          <w:szCs w:val="16"/>
          <w:color w:val="auto"/>
        </w:rPr>
      </w:pPr>
      <w:r>
        <w:rPr>
          <w:rFonts w:ascii="Arial" w:cs="Arial" w:eastAsia="Arial" w:hAnsi="Arial"/>
          <w:sz w:val="16"/>
          <w:szCs w:val="16"/>
          <w:color w:val="auto"/>
        </w:rPr>
        <w:t xml:space="preserve">Accrued and unpaid interest on each Loan shall be due and payable on each Interest Payment Date; </w:t>
      </w:r>
      <w:r>
        <w:rPr>
          <w:rFonts w:ascii="Arial" w:cs="Arial" w:eastAsia="Arial" w:hAnsi="Arial"/>
          <w:sz w:val="16"/>
          <w:szCs w:val="16"/>
          <w:u w:val="single" w:color="auto"/>
          <w:color w:val="auto"/>
        </w:rPr>
        <w:t>provided</w:t>
      </w:r>
      <w:r>
        <w:rPr>
          <w:rFonts w:ascii="Arial" w:cs="Arial" w:eastAsia="Arial" w:hAnsi="Arial"/>
          <w:sz w:val="16"/>
          <w:szCs w:val="16"/>
          <w:color w:val="auto"/>
        </w:rPr>
        <w:t>, during a Default Rate Period, accrued and unpaid interest on all Loans shall be due and payable within three Business Days following demand therefor by the relevant Agent to the relevant Borrower. If an Event of Default based upon Section 8.1(a), Section 8.1(b) or, with respect to any Borrower, based upon Section 8.1(h)(i), (h)</w:t>
      </w:r>
    </w:p>
    <w:p>
      <w:pPr>
        <w:ind w:right="500" w:firstLine="8"/>
        <w:spacing w:after="0" w:line="261" w:lineRule="auto"/>
        <w:tabs>
          <w:tab w:leader="none" w:pos="2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or (h)(iii) exists and the Loans are not bearing interest at the Default Rate, the past due principal and past due interest shall bear interest on each day outstanding at the applicable Default Rate.</w:t>
      </w:r>
    </w:p>
    <w:p>
      <w:pPr>
        <w:spacing w:after="0" w:line="183" w:lineRule="exact"/>
        <w:rPr>
          <w:rFonts w:ascii="Arial" w:cs="Arial" w:eastAsia="Arial" w:hAnsi="Arial"/>
          <w:sz w:val="18"/>
          <w:szCs w:val="18"/>
          <w:color w:val="auto"/>
        </w:rPr>
      </w:pPr>
    </w:p>
    <w:p>
      <w:pPr>
        <w:ind w:right="320" w:firstLine="1305"/>
        <w:spacing w:after="0" w:line="308" w:lineRule="auto"/>
        <w:tabs>
          <w:tab w:leader="none" w:pos="2006" w:val="left"/>
        </w:tabs>
        <w:numPr>
          <w:ilvl w:val="2"/>
          <w:numId w:val="40"/>
        </w:numPr>
        <w:rPr>
          <w:rFonts w:ascii="Arial" w:cs="Arial" w:eastAsia="Arial" w:hAnsi="Arial"/>
          <w:sz w:val="17"/>
          <w:szCs w:val="17"/>
          <w:color w:val="auto"/>
        </w:rPr>
      </w:pPr>
      <w:r>
        <w:rPr>
          <w:rFonts w:ascii="Arial" w:cs="Arial" w:eastAsia="Arial" w:hAnsi="Arial"/>
          <w:sz w:val="17"/>
          <w:szCs w:val="17"/>
          <w:color w:val="auto"/>
        </w:rPr>
        <w:t>The interest rate shall change whenever the applicable Base Rate, Eurodollar Rate, Canadian Prime Rate, Canadian US Dollar Base Rate or Applicable Margin changes. In no event shall the interest rate on any Loan exceed the Highest Lawful Rate.</w:t>
      </w:r>
    </w:p>
    <w:p>
      <w:pPr>
        <w:spacing w:after="0" w:line="146" w:lineRule="exact"/>
        <w:rPr>
          <w:rFonts w:ascii="Arial" w:cs="Arial" w:eastAsia="Arial" w:hAnsi="Arial"/>
          <w:sz w:val="17"/>
          <w:szCs w:val="17"/>
          <w:color w:val="auto"/>
        </w:rPr>
      </w:pPr>
    </w:p>
    <w:p>
      <w:pPr>
        <w:ind w:left="1360" w:hanging="704"/>
        <w:spacing w:after="0"/>
        <w:tabs>
          <w:tab w:leader="none" w:pos="1360"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Facility Fees; Reduction of Commitments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006" w:val="left"/>
        </w:tabs>
        <w:numPr>
          <w:ilvl w:val="2"/>
          <w:numId w:val="41"/>
        </w:numPr>
        <w:rPr>
          <w:rFonts w:ascii="Arial" w:cs="Arial" w:eastAsia="Arial" w:hAnsi="Arial"/>
          <w:sz w:val="18"/>
          <w:szCs w:val="18"/>
          <w:color w:val="auto"/>
        </w:rPr>
      </w:pPr>
      <w:r>
        <w:rPr>
          <w:rFonts w:ascii="Arial" w:cs="Arial" w:eastAsia="Arial" w:hAnsi="Arial"/>
          <w:sz w:val="18"/>
          <w:szCs w:val="18"/>
          <w:color w:val="auto"/>
        </w:rPr>
        <w:t>In consideration of each US Lender’s US Commitment, US Borrower will pay to Administrative Agent for the account of each US Lender a facility fee determined on a daily basis equal to the US Facility Fee Rate in effect on such day times such US Lender’s US Commitment on each day during the Commitment Period.</w:t>
      </w:r>
    </w:p>
    <w:p>
      <w:pPr>
        <w:spacing w:after="0" w:line="181" w:lineRule="exact"/>
        <w:rPr>
          <w:rFonts w:ascii="Arial" w:cs="Arial" w:eastAsia="Arial" w:hAnsi="Arial"/>
          <w:sz w:val="18"/>
          <w:szCs w:val="18"/>
          <w:color w:val="auto"/>
        </w:rPr>
      </w:pPr>
    </w:p>
    <w:p>
      <w:pPr>
        <w:ind w:right="140" w:firstLine="1305"/>
        <w:spacing w:after="0" w:line="259" w:lineRule="auto"/>
        <w:tabs>
          <w:tab w:leader="none" w:pos="2011" w:val="left"/>
        </w:tabs>
        <w:numPr>
          <w:ilvl w:val="2"/>
          <w:numId w:val="41"/>
        </w:numPr>
        <w:rPr>
          <w:rFonts w:ascii="Arial" w:cs="Arial" w:eastAsia="Arial" w:hAnsi="Arial"/>
          <w:sz w:val="18"/>
          <w:szCs w:val="18"/>
          <w:color w:val="auto"/>
        </w:rPr>
      </w:pPr>
      <w:r>
        <w:rPr>
          <w:rFonts w:ascii="Arial" w:cs="Arial" w:eastAsia="Arial" w:hAnsi="Arial"/>
          <w:sz w:val="18"/>
          <w:szCs w:val="18"/>
          <w:color w:val="auto"/>
        </w:rPr>
        <w:t>During a Canadian Allocation Period, in consideration of each Canadian Lender’s Canadian Commitment, Canadian Borrowers jointly and severally agree to pay to Canadian Administrative Agent for the account of each Canadian Lender a facility fee determined on a daily basis equal to the Canadian Commitment Fee Rate in effect on such day times such Canadian Lender’s Canadian Commitment on each day during such Canadian Allocation Period.</w:t>
      </w:r>
    </w:p>
    <w:p>
      <w:pPr>
        <w:spacing w:after="0" w:line="186" w:lineRule="exact"/>
        <w:rPr>
          <w:rFonts w:ascii="Arial" w:cs="Arial" w:eastAsia="Arial" w:hAnsi="Arial"/>
          <w:sz w:val="18"/>
          <w:szCs w:val="18"/>
          <w:color w:val="auto"/>
        </w:rPr>
      </w:pPr>
    </w:p>
    <w:p>
      <w:pPr>
        <w:ind w:right="180" w:firstLine="1305"/>
        <w:spacing w:after="0" w:line="257" w:lineRule="auto"/>
        <w:tabs>
          <w:tab w:leader="none" w:pos="2016" w:val="left"/>
        </w:tabs>
        <w:numPr>
          <w:ilvl w:val="2"/>
          <w:numId w:val="41"/>
        </w:numPr>
        <w:rPr>
          <w:rFonts w:ascii="Arial" w:cs="Arial" w:eastAsia="Arial" w:hAnsi="Arial"/>
          <w:sz w:val="18"/>
          <w:szCs w:val="18"/>
          <w:color w:val="auto"/>
        </w:rPr>
      </w:pPr>
      <w:r>
        <w:rPr>
          <w:rFonts w:ascii="Arial" w:cs="Arial" w:eastAsia="Arial" w:hAnsi="Arial"/>
          <w:sz w:val="18"/>
          <w:szCs w:val="18"/>
          <w:color w:val="auto"/>
        </w:rPr>
        <w:t>Each such facility fee shall be due and payable quarterly in arrears on the last day of each Fiscal Quarter and at the end of the Commitment Period. US Borrower shall have the right from time to time to permanently reduce the US Total Committed Amount or Canadian Total Committed Amount, as the case may be, provided that (A) notice of such reduction is given not less than two Business Days prior to such reduction, (B) the resulting US Total Committed Amount or Canadian Total Committed Amount is not less than the US Total Outstanding Amount or the Canadian Total Outstanding Amount, respectively, and (C) each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partial reduction shall be in an amount at least equal to $1,000,000 and in multiples of $1,000,000 in excess thereof.</w:t>
      </w:r>
    </w:p>
    <w:p>
      <w:pPr>
        <w:spacing w:after="0" w:line="225" w:lineRule="exact"/>
        <w:rPr>
          <w:sz w:val="20"/>
          <w:szCs w:val="20"/>
          <w:color w:val="auto"/>
        </w:rPr>
      </w:pPr>
    </w:p>
    <w:p>
      <w:pPr>
        <w:ind w:right="40" w:firstLine="656"/>
        <w:spacing w:after="0" w:line="269" w:lineRule="auto"/>
        <w:tabs>
          <w:tab w:leader="none" w:pos="1343"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Utilization Fee</w:t>
      </w:r>
      <w:r>
        <w:rPr>
          <w:rFonts w:ascii="Arial" w:cs="Arial" w:eastAsia="Arial" w:hAnsi="Arial"/>
          <w:sz w:val="17"/>
          <w:szCs w:val="17"/>
          <w:color w:val="auto"/>
        </w:rPr>
        <w:t xml:space="preserve">. US Borrower shall pay to Administrative Agent for the account of each US Lender in accordance with such US Lender’s US Percentage Share, a utilization fee determined on a daily basis equal to the Utilization Rate in effect on such day times the US Total Outstanding Amount on each day that the sum of (a) the US Total Outstanding Amount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Canadian Total Outstanding Amount exceeds fifty percent (50%) of the daily amount of the aggregate Commitments then in effect (or, if terminated, in effect immediately prior to such termination). Canadian Borrowers jointly and severally agree to pay to Canadian Administrative Agent for the account of each Canadian Lender in accordance with such Canadian Lender’s Canadian Percentage Share, a utilization fee determined on a daily basis equal to the Utilization Rate in effect on such day times the Canadian Total Outstanding Amount on each day that the sum of (a) the US Total Outstanding Amount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Canadian Total Outstanding Amount on each day exceeds fifty percent (50%) of the daily amount of the aggregate Commitments then in effect (or, if terminated, in effect immediately prior to such termination). Utilization fees shall accrue at all times that such excess outstandings are in effect, including at any time during which one or more of the conditions in Article IV is not met. Each such utilization fee shall be due and payable quarterly in arrears on the last day of each Fiscal Quarter and at the end of the Commitment Period. Each utilization fee shall be calculated quarterly in arrears.</w:t>
      </w:r>
    </w:p>
    <w:p>
      <w:pPr>
        <w:spacing w:after="0" w:line="182" w:lineRule="exact"/>
        <w:rPr>
          <w:rFonts w:ascii="Arial" w:cs="Arial" w:eastAsia="Arial" w:hAnsi="Arial"/>
          <w:sz w:val="17"/>
          <w:szCs w:val="17"/>
          <w:color w:val="auto"/>
        </w:rPr>
      </w:pPr>
    </w:p>
    <w:p>
      <w:pPr>
        <w:ind w:right="40" w:firstLine="656"/>
        <w:spacing w:after="0" w:line="273" w:lineRule="auto"/>
        <w:tabs>
          <w:tab w:leader="none" w:pos="1353"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Stamping Fees</w:t>
      </w:r>
      <w:r>
        <w:rPr>
          <w:rFonts w:ascii="Arial" w:cs="Arial" w:eastAsia="Arial" w:hAnsi="Arial"/>
          <w:sz w:val="17"/>
          <w:szCs w:val="17"/>
          <w:color w:val="auto"/>
        </w:rPr>
        <w:t>. In consideration of each Canadian Lender’s commitment to accept or participate in Bankers’ Acceptances under this Agreement, each Canadian Borrower will pay to Canadian Administrative Agent for the account of such Canadian Lender the Stamping Fee Rate multiplied by the face amount of each Bankers’ Acceptance accepted by such Canadian Lender on behalf of such Canadian Borrower under this Agreement calculated for the number of days in the term of such Bankers’ Acceptance. Such fee shall be due and payable on the date on which such Bankers’ Acceptances are accepted and shall be deducted from the Discount Proceeds paid to such Canadian Borrower. Such fee shall be non-refundable, notwithstanding any reduction in the Stamping Fee Rate during the term of such Bankers’ Acceptances.</w:t>
      </w:r>
    </w:p>
    <w:p>
      <w:pPr>
        <w:spacing w:after="0" w:line="178" w:lineRule="exact"/>
        <w:rPr>
          <w:rFonts w:ascii="Arial" w:cs="Arial" w:eastAsia="Arial" w:hAnsi="Arial"/>
          <w:sz w:val="17"/>
          <w:szCs w:val="17"/>
          <w:color w:val="auto"/>
        </w:rPr>
      </w:pPr>
    </w:p>
    <w:p>
      <w:pPr>
        <w:ind w:right="100" w:firstLine="656"/>
        <w:spacing w:after="0" w:line="342" w:lineRule="auto"/>
        <w:tabs>
          <w:tab w:leader="none" w:pos="1343"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Agents’ Fees</w:t>
      </w:r>
      <w:r>
        <w:rPr>
          <w:rFonts w:ascii="Arial" w:cs="Arial" w:eastAsia="Arial" w:hAnsi="Arial"/>
          <w:sz w:val="16"/>
          <w:szCs w:val="16"/>
          <w:color w:val="auto"/>
        </w:rPr>
        <w:t>. In addition to all other amounts due to Administrative Agent or Canadian Administrative Agent under the Loan Documents, US Borrower will pay to Administrative Agent agent fees pursuant to the Fee Letter described in clause (i) of the definition of the term “Fee Letters”.</w:t>
      </w:r>
    </w:p>
    <w:p>
      <w:pPr>
        <w:spacing w:after="0" w:line="12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[Intentionally deleted]</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u w:val="single" w:color="auto"/>
          <w:color w:val="auto"/>
        </w:rPr>
        <w:t>[Intentionally deleted]</w:t>
      </w:r>
    </w:p>
    <w:p>
      <w:pPr>
        <w:sectPr>
          <w:pgSz w:w="11900" w:h="16838" w:orient="portrait"/>
          <w:cols w:equalWidth="0" w:num="1">
            <w:col w:w="11420"/>
          </w:cols>
          <w:pgMar w:left="240" w:top="125" w:right="239" w:bottom="0" w:gutter="0" w:footer="0" w:header="0"/>
        </w:sectPr>
      </w:pPr>
    </w:p>
    <w:bookmarkStart w:id="25" w:name="page26"/>
    <w:bookmarkEnd w:id="25"/>
    <w:p>
      <w:pPr>
        <w:spacing w:after="0" w:line="3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u w:val="single" w:color="auto"/>
          <w:color w:val="auto"/>
        </w:rPr>
        <w:t>Optional Prepayments</w:t>
      </w:r>
    </w:p>
    <w:p>
      <w:pPr>
        <w:spacing w:after="0" w:line="225" w:lineRule="exact"/>
        <w:rPr>
          <w:sz w:val="20"/>
          <w:szCs w:val="20"/>
          <w:color w:val="auto"/>
        </w:rPr>
      </w:pPr>
    </w:p>
    <w:p>
      <w:pPr>
        <w:ind w:right="240" w:firstLine="656"/>
        <w:spacing w:after="0" w:line="264" w:lineRule="auto"/>
        <w:tabs>
          <w:tab w:leader="none" w:pos="134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US Loans</w:t>
      </w:r>
      <w:r>
        <w:rPr>
          <w:rFonts w:ascii="Arial" w:cs="Arial" w:eastAsia="Arial" w:hAnsi="Arial"/>
          <w:sz w:val="18"/>
          <w:szCs w:val="18"/>
          <w:color w:val="auto"/>
        </w:rPr>
        <w:t>. US Borrower may, upon three Business Days’ notice, as to Eurodollar Loans, or same Business Day’s notice, as to Base Rate Loans, to Administrative Agent (and Administrative Agent will promptly give notice to the other US Lenders) from time to time and without premium or penalty (other than any amounts due under Section 3.6 hereof with respect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to prepayments of any Eurodollar Loans) prepay the US Loans, in whole or in part, so long as the aggregate amounts of all partial prepayments of principal on</w:t>
      </w:r>
    </w:p>
    <w:p>
      <w:pPr>
        <w:spacing w:after="0" w:line="46" w:lineRule="exact"/>
        <w:rPr>
          <w:sz w:val="20"/>
          <w:szCs w:val="20"/>
          <w:color w:val="auto"/>
        </w:rPr>
      </w:pPr>
    </w:p>
    <w:p>
      <w:pPr>
        <w:ind w:right="80" w:firstLine="8"/>
        <w:spacing w:after="0" w:line="290" w:lineRule="auto"/>
        <w:tabs>
          <w:tab w:leader="none" w:pos="215" w:val="left"/>
        </w:tabs>
        <w:numPr>
          <w:ilvl w:val="0"/>
          <w:numId w:val="44"/>
        </w:numPr>
        <w:rPr>
          <w:rFonts w:ascii="Arial" w:cs="Arial" w:eastAsia="Arial" w:hAnsi="Arial"/>
          <w:sz w:val="17"/>
          <w:szCs w:val="17"/>
          <w:color w:val="auto"/>
        </w:rPr>
      </w:pPr>
      <w:r>
        <w:rPr>
          <w:rFonts w:ascii="Arial" w:cs="Arial" w:eastAsia="Arial" w:hAnsi="Arial"/>
          <w:sz w:val="17"/>
          <w:szCs w:val="17"/>
          <w:color w:val="auto"/>
        </w:rPr>
        <w:t>Eurodollar Loans equals $2,500,000 or any higher integral multiple of $250,000, and (ii) Base Rate Loans equals $250,000 or any higher integral multiple of $50,000. Upon receipt of any such notice, Administrative Agent shall give each US Lender prompt notice of the terms thereof.</w:t>
      </w:r>
    </w:p>
    <w:p>
      <w:pPr>
        <w:spacing w:after="0" w:line="161" w:lineRule="exact"/>
        <w:rPr>
          <w:rFonts w:ascii="Arial" w:cs="Arial" w:eastAsia="Arial" w:hAnsi="Arial"/>
          <w:sz w:val="17"/>
          <w:szCs w:val="17"/>
          <w:color w:val="auto"/>
        </w:rPr>
      </w:pPr>
    </w:p>
    <w:p>
      <w:pPr>
        <w:ind w:right="40" w:firstLine="656"/>
        <w:spacing w:after="0" w:line="255" w:lineRule="auto"/>
        <w:tabs>
          <w:tab w:leader="none" w:pos="1353"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Canadian Loans</w:t>
      </w:r>
      <w:r>
        <w:rPr>
          <w:rFonts w:ascii="Arial" w:cs="Arial" w:eastAsia="Arial" w:hAnsi="Arial"/>
          <w:sz w:val="18"/>
          <w:szCs w:val="18"/>
          <w:color w:val="auto"/>
        </w:rPr>
        <w:t>. Either Canadian Borrower may, upon three Business Days’ notice as to Eurodollar Loans, or same Business Day’s notice, as to Canadian Prime Rate Loans or Canadian US Dollar Base Rate Loans, to Canadian Administrative Agent (and Canadian Administrative Agent will promptly give notice to the other Canadian Lenders) from time to time and without premium or penalty (other than any amounts due under Section 3.6 hereof with respect to prepayments of any Eurodollar Loans) prepay its Canadian Loans, in whole or in part, so long as the aggregate amounts of all partial prepayments of principal on (i) Eurodollar Loans equals $2,500,000 or any higher integral multiple of $50,000, (ii) Canadian Prime Rate Loans equals C$250,000 or any higher integral multiple of C$50,000, and (iii) US Dollar Base Rate Loans equals $250,000 or any higher integral multiple of $50,000. No BA may be prepaid hereunder except in accordance with Section 2.15.</w:t>
      </w:r>
    </w:p>
    <w:p>
      <w:pPr>
        <w:spacing w:after="0" w:line="189" w:lineRule="exact"/>
        <w:rPr>
          <w:rFonts w:ascii="Arial" w:cs="Arial" w:eastAsia="Arial" w:hAnsi="Arial"/>
          <w:sz w:val="18"/>
          <w:szCs w:val="18"/>
          <w:color w:val="auto"/>
        </w:rPr>
      </w:pPr>
    </w:p>
    <w:p>
      <w:pPr>
        <w:ind w:right="80" w:firstLine="656"/>
        <w:spacing w:after="0" w:line="286" w:lineRule="auto"/>
        <w:tabs>
          <w:tab w:leader="none" w:pos="1343"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Swing Line Loans</w:t>
      </w:r>
      <w:r>
        <w:rPr>
          <w:rFonts w:ascii="Arial" w:cs="Arial" w:eastAsia="Arial" w:hAnsi="Arial"/>
          <w:sz w:val="16"/>
          <w:szCs w:val="16"/>
          <w:color w:val="auto"/>
        </w:rPr>
        <w:t xml:space="preserve">. Any Borrower may, upon notice to the Swing Line Lender (with a copy to Administrative Agent or Canadian Administrative Agent, as appropriate), at any time or from time to time, voluntarily prepay Swing Line Loans made to it in whole or in part without premium or penalty (other than any amounts due under Section 3.6 hereof with respect to prepayments of any Eurodollar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notice must be received by the Swing Line Lender and Administrative Agent or Canadian Administrative Agent not later than 1:00 p.m. on the date of the prepayment, and</w:t>
      </w:r>
    </w:p>
    <w:p>
      <w:pPr>
        <w:spacing w:after="0" w:line="1" w:lineRule="exact"/>
        <w:rPr>
          <w:rFonts w:ascii="Arial" w:cs="Arial" w:eastAsia="Arial" w:hAnsi="Arial"/>
          <w:sz w:val="16"/>
          <w:szCs w:val="16"/>
          <w:color w:val="auto"/>
        </w:rPr>
      </w:pPr>
    </w:p>
    <w:p>
      <w:pPr>
        <w:ind w:right="120" w:firstLine="8"/>
        <w:spacing w:after="0" w:line="255" w:lineRule="auto"/>
        <w:tabs>
          <w:tab w:leader="none" w:pos="26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such prepayment shall be in a minimum principal amount of $100,000. Each such notice shall specify the date and amount of such prepayment. If such notice is given by any Borrower, such Borrower shall make such prepayment and the payment amount specified in such notice shall be due and payable on the date specified therein.</w:t>
      </w:r>
    </w:p>
    <w:p>
      <w:pPr>
        <w:spacing w:after="0" w:line="190" w:lineRule="exact"/>
        <w:rPr>
          <w:rFonts w:ascii="Arial" w:cs="Arial" w:eastAsia="Arial" w:hAnsi="Arial"/>
          <w:sz w:val="18"/>
          <w:szCs w:val="18"/>
          <w:color w:val="auto"/>
        </w:rPr>
      </w:pPr>
    </w:p>
    <w:p>
      <w:pPr>
        <w:ind w:right="140" w:firstLine="656"/>
        <w:spacing w:after="0" w:line="264" w:lineRule="auto"/>
        <w:tabs>
          <w:tab w:leader="none" w:pos="1353"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Accrued and Unpaid Interest</w:t>
      </w:r>
      <w:r>
        <w:rPr>
          <w:rFonts w:ascii="Arial" w:cs="Arial" w:eastAsia="Arial" w:hAnsi="Arial"/>
          <w:sz w:val="18"/>
          <w:szCs w:val="18"/>
          <w:color w:val="auto"/>
        </w:rPr>
        <w:t>. Each prepayment of principal of a Loan under this section shall be accompanied by all interest then accrued and unpaid on the principal so prepaid. Any principal or interest prepaid pursuant to this section shall be in addition to, and not in lieu of, all payments otherwise required to be paid under the Loan Documents at the time of such prepayment.</w:t>
      </w:r>
    </w:p>
    <w:p>
      <w:pPr>
        <w:spacing w:after="0" w:line="181" w:lineRule="exact"/>
        <w:rPr>
          <w:rFonts w:ascii="Arial" w:cs="Arial" w:eastAsia="Arial" w:hAnsi="Arial"/>
          <w:sz w:val="18"/>
          <w:szCs w:val="18"/>
          <w:color w:val="auto"/>
        </w:rPr>
      </w:pPr>
    </w:p>
    <w:p>
      <w:pPr>
        <w:ind w:right="200" w:firstLine="656"/>
        <w:spacing w:after="0" w:line="277" w:lineRule="auto"/>
        <w:tabs>
          <w:tab w:leader="none" w:pos="1343"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Prepayment</w:t>
      </w:r>
      <w:r>
        <w:rPr>
          <w:rFonts w:ascii="Arial" w:cs="Arial" w:eastAsia="Arial" w:hAnsi="Arial"/>
          <w:sz w:val="18"/>
          <w:szCs w:val="18"/>
          <w:color w:val="auto"/>
        </w:rPr>
        <w:t>. Following notice by any Borrower pursuant to Section 2.8(a) or (b) above, such Borrower shall make such prepayment, and the prepayment amount specified in such notice shall be due and payable, on the date specified in such notice.</w:t>
      </w:r>
    </w:p>
    <w:p>
      <w:pPr>
        <w:spacing w:after="0" w:line="17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Mandatory Prepayments</w:t>
      </w:r>
      <w:r>
        <w:rPr>
          <w:rFonts w:ascii="Arial" w:cs="Arial" w:eastAsia="Arial" w:hAnsi="Arial"/>
          <w:sz w:val="16"/>
          <w:szCs w:val="16"/>
          <w:color w:val="auto"/>
        </w:rPr>
        <w:t>.</w:t>
      </w:r>
    </w:p>
    <w:p>
      <w:pPr>
        <w:spacing w:after="0" w:line="225" w:lineRule="exact"/>
        <w:rPr>
          <w:sz w:val="20"/>
          <w:szCs w:val="20"/>
          <w:color w:val="auto"/>
        </w:rPr>
      </w:pPr>
    </w:p>
    <w:p>
      <w:pPr>
        <w:ind w:right="240" w:firstLine="656"/>
        <w:spacing w:after="0" w:line="264" w:lineRule="auto"/>
        <w:tabs>
          <w:tab w:leader="none" w:pos="134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US Loans to US Borrower</w:t>
      </w:r>
      <w:r>
        <w:rPr>
          <w:rFonts w:ascii="Arial" w:cs="Arial" w:eastAsia="Arial" w:hAnsi="Arial"/>
          <w:sz w:val="18"/>
          <w:szCs w:val="18"/>
          <w:color w:val="auto"/>
        </w:rPr>
        <w:t>. If at any time the US Total Outstanding Amount exceeds the US Total Committed Amount (whether due to a reduction in the US Total Committed Amount in accordance with this Agreement, or otherwise), US Borrower shall immediately upon demand prepay the principal of the US Loans made to US Borrower in an amount at least equal to such excess.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56"/>
        <w:spacing w:after="0" w:line="264" w:lineRule="auto"/>
        <w:tabs>
          <w:tab w:leader="none" w:pos="1353"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Swing Line Loans</w:t>
      </w:r>
      <w:r>
        <w:rPr>
          <w:rFonts w:ascii="Arial" w:cs="Arial" w:eastAsia="Arial" w:hAnsi="Arial"/>
          <w:sz w:val="18"/>
          <w:szCs w:val="18"/>
          <w:color w:val="auto"/>
        </w:rPr>
        <w:t>. Each Borrower shall repay each Swing Line Loan made to it on the earlier to occur of (i) (A) with respect to a Loan other than a Eurodollar Loan, the date fifteen Business Days after such Loan is made and (B) with respect to a Eurodollar Loan, on the last day of the Interest Period that is applicable thereto, and (ii) the Maturity Date.</w:t>
      </w:r>
    </w:p>
    <w:p>
      <w:pPr>
        <w:spacing w:after="0" w:line="181" w:lineRule="exact"/>
        <w:rPr>
          <w:rFonts w:ascii="Arial" w:cs="Arial" w:eastAsia="Arial" w:hAnsi="Arial"/>
          <w:sz w:val="18"/>
          <w:szCs w:val="18"/>
          <w:color w:val="auto"/>
        </w:rPr>
      </w:pPr>
    </w:p>
    <w:p>
      <w:pPr>
        <w:ind w:right="80" w:firstLine="656"/>
        <w:spacing w:after="0" w:line="257" w:lineRule="auto"/>
        <w:tabs>
          <w:tab w:leader="none" w:pos="1343"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Canadian Loans</w:t>
      </w:r>
      <w:r>
        <w:rPr>
          <w:rFonts w:ascii="Arial" w:cs="Arial" w:eastAsia="Arial" w:hAnsi="Arial"/>
          <w:sz w:val="18"/>
          <w:szCs w:val="18"/>
          <w:color w:val="auto"/>
        </w:rPr>
        <w:t>. Except to the extent permitted by Section 2.9(e), if the Canadian Total Outstanding Amount ever exceeds the Canadian Total Committed Amount, each Canadian Borrower shall severally, but not jointly, immediately on demand prepay the principal of the Canadian Advances made to such Canadian Borrower (but shall not be required to prepay the principal of any Canadian Advances made to the other Canadian Borrower) in an aggregate amount at least equal to such excess. Any such excess shall be applied first to outstanding Canadian Loans to such Canadian Borrower, and then to prepay BA’s in accordance with Section 2.15.</w:t>
      </w:r>
    </w:p>
    <w:p>
      <w:pPr>
        <w:spacing w:after="0" w:line="188" w:lineRule="exact"/>
        <w:rPr>
          <w:rFonts w:ascii="Arial" w:cs="Arial" w:eastAsia="Arial" w:hAnsi="Arial"/>
          <w:sz w:val="18"/>
          <w:szCs w:val="18"/>
          <w:color w:val="auto"/>
        </w:rPr>
      </w:pPr>
    </w:p>
    <w:p>
      <w:pPr>
        <w:jc w:val="both"/>
        <w:ind w:right="180" w:firstLine="656"/>
        <w:spacing w:after="0" w:line="264" w:lineRule="auto"/>
        <w:tabs>
          <w:tab w:leader="none" w:pos="1353"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Working Capital Borrowings</w:t>
      </w:r>
      <w:r>
        <w:rPr>
          <w:rFonts w:ascii="Arial" w:cs="Arial" w:eastAsia="Arial" w:hAnsi="Arial"/>
          <w:sz w:val="18"/>
          <w:szCs w:val="18"/>
          <w:color w:val="auto"/>
        </w:rPr>
        <w:t>. For an economically meaningful period of time in each Fiscal Year, as reasonably determined by GP LLC, the aggregate outstanding principal balance of all Working Capital Borrowings shall be reduced to a relatively small amount as may be reasonably specified by GP LLC.</w:t>
      </w:r>
    </w:p>
    <w:p>
      <w:pPr>
        <w:spacing w:after="0" w:line="181" w:lineRule="exact"/>
        <w:rPr>
          <w:rFonts w:ascii="Arial" w:cs="Arial" w:eastAsia="Arial" w:hAnsi="Arial"/>
          <w:sz w:val="18"/>
          <w:szCs w:val="18"/>
          <w:color w:val="auto"/>
        </w:rPr>
      </w:pPr>
    </w:p>
    <w:p>
      <w:pPr>
        <w:ind w:right="20" w:firstLine="656"/>
        <w:spacing w:after="0" w:line="270" w:lineRule="auto"/>
        <w:tabs>
          <w:tab w:leader="none" w:pos="1343"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Currency Fluctuations</w:t>
      </w:r>
      <w:r>
        <w:rPr>
          <w:rFonts w:ascii="Arial" w:cs="Arial" w:eastAsia="Arial" w:hAnsi="Arial"/>
          <w:sz w:val="17"/>
          <w:szCs w:val="17"/>
          <w:color w:val="auto"/>
        </w:rPr>
        <w:t>. Notwithstanding any other provision of this Agreement, Canadian Administrative Agent shall have the right to calculate the outstanding Canadian Total Outstanding Amount for all purposes including making a determination from time to time of the available undrawn portion of the Canadian Total Committed Amount. If following such calculation, Canadian Administrative Agent determines that the Canadian Total Outstanding Amount is greater than 105% of the Canadian Total Committed Amount, then Canadian Administrative Agent shall so advise Canadian Borrowers and each Canadian Borrower shall severally, but not jointly repay, on the earlier of five Business Days after such advice and the next applicable Interest Payment Date immediately following such advice, an aggregate amount sufficient to eliminate such excess, together with all accrued interest on the amount so paid; provided, each Canadian Borrower’s obligation to make such repayment shall be limited to an amount not to exceed the Outstanding Amount of Canadian Advances made to such Canadian Borrower, plus accrued interest. Any such excess shall be applied first to outstanding Canadian Loans to such Canadian Borrower, and then to prepay BA’s in accordance with Section 2.15.</w:t>
      </w:r>
    </w:p>
    <w:p>
      <w:pPr>
        <w:spacing w:after="0" w:line="181" w:lineRule="exact"/>
        <w:rPr>
          <w:rFonts w:ascii="Arial" w:cs="Arial" w:eastAsia="Arial" w:hAnsi="Arial"/>
          <w:sz w:val="17"/>
          <w:szCs w:val="17"/>
          <w:color w:val="auto"/>
        </w:rPr>
      </w:pPr>
    </w:p>
    <w:p>
      <w:pPr>
        <w:jc w:val="both"/>
        <w:ind w:right="20" w:firstLine="656"/>
        <w:spacing w:after="0" w:line="264" w:lineRule="auto"/>
        <w:tabs>
          <w:tab w:leader="none" w:pos="136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Accrued and Unpaid Interest</w:t>
      </w:r>
      <w:r>
        <w:rPr>
          <w:rFonts w:ascii="Arial" w:cs="Arial" w:eastAsia="Arial" w:hAnsi="Arial"/>
          <w:sz w:val="18"/>
          <w:szCs w:val="18"/>
          <w:color w:val="auto"/>
        </w:rPr>
        <w:t>. Each prepayment of principal under this section shall be accompanied by all interest then accrued and unpaid on the principal so prepaid. Any principal or interest prepaid pursuant to this section shall be in addition to, and not in lieu of, all payments otherwise required to be paid under the Loan Documents at the time of such prepayment.</w:t>
      </w:r>
    </w:p>
    <w:p>
      <w:pPr>
        <w:spacing w:after="0" w:line="18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Letters of Credit</w:t>
      </w:r>
    </w:p>
    <w:p>
      <w:pPr>
        <w:sectPr>
          <w:pgSz w:w="11900" w:h="16874" w:orient="portrait"/>
          <w:cols w:equalWidth="0" w:num="1">
            <w:col w:w="11420"/>
          </w:cols>
          <w:pgMar w:left="240" w:top="125" w:right="239" w:bottom="0" w:gutter="0" w:footer="0" w:header="0"/>
        </w:sectPr>
      </w:pPr>
    </w:p>
    <w:bookmarkStart w:id="26" w:name="page27"/>
    <w:bookmarkEnd w:id="26"/>
    <w:p>
      <w:pPr>
        <w:ind w:left="1360" w:hanging="704"/>
        <w:spacing w:after="0"/>
        <w:tabs>
          <w:tab w:leader="none" w:pos="13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308" w:lineRule="auto"/>
        <w:tabs>
          <w:tab w:leader="none" w:pos="2006" w:val="left"/>
        </w:tabs>
        <w:numPr>
          <w:ilvl w:val="1"/>
          <w:numId w:val="48"/>
        </w:numPr>
        <w:rPr>
          <w:rFonts w:ascii="Arial" w:cs="Arial" w:eastAsia="Arial" w:hAnsi="Arial"/>
          <w:sz w:val="17"/>
          <w:szCs w:val="17"/>
          <w:color w:val="auto"/>
        </w:rPr>
      </w:pPr>
      <w:r>
        <w:rPr>
          <w:rFonts w:ascii="Arial" w:cs="Arial" w:eastAsia="Arial" w:hAnsi="Arial"/>
          <w:sz w:val="17"/>
          <w:szCs w:val="17"/>
          <w:color w:val="auto"/>
        </w:rPr>
        <w:t>Subject to the terms and conditions set forth herein, (A) each of US LC Issuer and Canadian LC Issuer agrees, in reliance upon the agreements of the Lenders set forth in this Section 2.10, (1) from time to time on any Business Day during the period from the Closing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Date until the Letter of Credit Expiration Date, to issue Letters of Credit denominated in Dollars (or, as to Canadian LC Issuer, Dollars or Canadian Dollars) for the account of US Borrower or either Canadian Borrower, respectively, and to amend or extend Letters of Credit previously issued by it, in accordance with subsection (b) below, and (2) to honor drawings under the Letters of Credit; and (B) the US Lenders and Canadian Lenders severally agree to participate in US Letters of Credit and Canadian Letters of Credit, respectively, issued for the account of US Borrower or Canadian Borrowers, respectively, and any drawings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LC Credit Extension with respect to any Letter of Credit, (x) as to US Letters of Credit, the US Total Outstanding Amount does not exceed the US Total Committed Amount, and as to Canadian Letters of Credit, the Canadian Total Outstanding Amount does not exceed the Canadian Total Committed Amount, and (y) as to US Letters of Credit, the aggregate Outstanding Amount of the US Loans of any US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US Lender’s US Percentage Share of the Outstanding Amount of all US LC Obligations shall not exceed such US Lender’s US Commitment, and as to Canadian Letters of Credit, the aggregate Outstanding Amount of the Canadian Advances of any Canadian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Canadian Lender’s Canadian Percentage Share of the Outstanding Amount of all Canadian LC Obligations shall not exceed such Canadian Lender’s Canadian Commitment. Each request by a Borrower for the issuance or amendment of a Letter of Credit shall be deemed to be a representation by such Borrower that the LC Credit Extension so requested complies with the conditions set forth in the provisos to the preceding sentence. Within the foregoing limits, and subject to the terms and conditions hereof, each Borrower’s ability to obtain Letters of Credit shall be fully revolving, and accordingly each such Borrower may, during the foregoing period, obtain Letters of Credit to replace Letters of Credit that have expired or that have been drawn upon and reimbursed. All Letters of Credit outstanding under the Existing Agreement as of the Closing Date shall be deemed to have been issued pursuant hereto, and from and after the Closing Date shall be subject to and governed by the terms and conditions hereof.</w:t>
      </w:r>
    </w:p>
    <w:p>
      <w:pPr>
        <w:spacing w:after="0" w:line="178" w:lineRule="exact"/>
        <w:rPr>
          <w:sz w:val="20"/>
          <w:szCs w:val="20"/>
          <w:color w:val="auto"/>
        </w:rPr>
      </w:pPr>
    </w:p>
    <w:p>
      <w:pPr>
        <w:ind w:left="2020" w:hanging="715"/>
        <w:spacing w:after="0"/>
        <w:tabs>
          <w:tab w:leader="none" w:pos="2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LC Issuer shall not issue any Letter of Credit, if:</w:t>
      </w:r>
    </w:p>
    <w:p>
      <w:pPr>
        <w:spacing w:after="0" w:line="225" w:lineRule="exact"/>
        <w:rPr>
          <w:rFonts w:ascii="Arial" w:cs="Arial" w:eastAsia="Arial" w:hAnsi="Arial"/>
          <w:sz w:val="18"/>
          <w:szCs w:val="18"/>
          <w:color w:val="auto"/>
        </w:rPr>
      </w:pPr>
    </w:p>
    <w:p>
      <w:pPr>
        <w:ind w:right="200" w:firstLine="1953"/>
        <w:spacing w:after="0" w:line="277" w:lineRule="auto"/>
        <w:tabs>
          <w:tab w:leader="none" w:pos="2645" w:val="left"/>
        </w:tabs>
        <w:numPr>
          <w:ilvl w:val="1"/>
          <w:numId w:val="49"/>
        </w:numPr>
        <w:rPr>
          <w:rFonts w:ascii="Arial" w:cs="Arial" w:eastAsia="Arial" w:hAnsi="Arial"/>
          <w:sz w:val="18"/>
          <w:szCs w:val="18"/>
          <w:color w:val="auto"/>
        </w:rPr>
      </w:pPr>
      <w:r>
        <w:rPr>
          <w:rFonts w:ascii="Arial" w:cs="Arial" w:eastAsia="Arial" w:hAnsi="Arial"/>
          <w:sz w:val="18"/>
          <w:szCs w:val="18"/>
          <w:color w:val="auto"/>
        </w:rPr>
        <w:t>subject to Section 2.10(b)(iii), the expiry date of such requested Letter of Credit would occur more than twelve months after the date of issuance or last extension, unless the Majority Lenders have approved such expiry date; or</w:t>
      </w:r>
    </w:p>
    <w:p>
      <w:pPr>
        <w:spacing w:after="0" w:line="170" w:lineRule="exact"/>
        <w:rPr>
          <w:rFonts w:ascii="Arial" w:cs="Arial" w:eastAsia="Arial" w:hAnsi="Arial"/>
          <w:sz w:val="18"/>
          <w:szCs w:val="18"/>
          <w:color w:val="auto"/>
        </w:rPr>
      </w:pPr>
    </w:p>
    <w:p>
      <w:pPr>
        <w:ind w:right="240" w:firstLine="1953"/>
        <w:spacing w:after="0" w:line="277" w:lineRule="auto"/>
        <w:tabs>
          <w:tab w:leader="none" w:pos="26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Letter of Credit Expiration Date, unless all the Lenders have approved such expiry date.</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LC Issuer shall not be under any obligation to issue any Letter of Credit if:</w:t>
      </w:r>
    </w:p>
    <w:p>
      <w:pPr>
        <w:spacing w:after="0" w:line="225" w:lineRule="exact"/>
        <w:rPr>
          <w:rFonts w:ascii="Arial" w:cs="Arial" w:eastAsia="Arial" w:hAnsi="Arial"/>
          <w:sz w:val="18"/>
          <w:szCs w:val="18"/>
          <w:color w:val="auto"/>
        </w:rPr>
      </w:pPr>
    </w:p>
    <w:p>
      <w:pPr>
        <w:ind w:right="200" w:firstLine="1953"/>
        <w:spacing w:after="0" w:line="297" w:lineRule="auto"/>
        <w:tabs>
          <w:tab w:leader="none" w:pos="2645" w:val="left"/>
        </w:tabs>
        <w:numPr>
          <w:ilvl w:val="1"/>
          <w:numId w:val="49"/>
        </w:numPr>
        <w:rPr>
          <w:rFonts w:ascii="Arial" w:cs="Arial" w:eastAsia="Arial" w:hAnsi="Arial"/>
          <w:sz w:val="16"/>
          <w:szCs w:val="16"/>
          <w:color w:val="auto"/>
        </w:rPr>
      </w:pPr>
      <w:r>
        <w:rPr>
          <w:rFonts w:ascii="Arial" w:cs="Arial" w:eastAsia="Arial" w:hAnsi="Arial"/>
          <w:sz w:val="16"/>
          <w:szCs w:val="16"/>
          <w:color w:val="auto"/>
        </w:rPr>
        <w:t>any order, judgment or decree of any Governmental Authority or arbitrator having jurisdiction over it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or direct the LC Issuer refrain from, the issuance of letters of credit generally or such Letter of Credit in particular or shall impose upon the LC Issuer with respect to such Letter of Credit any restriction, reserve or capital requirement (for which the LC Issuer is not otherwise permitted hereunder to be compensated hereunder) not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effect on the Closing Date, or shall impose upon the LC Issuer any unreimbursed loss, cost or expense which was not applicable on the Closing Date (for which the LC Issuer is otherwise permitted hereunder to be compensated hereunder) and which the LC Issuer in good faith deems material to it;</w:t>
      </w:r>
    </w:p>
    <w:p>
      <w:pPr>
        <w:spacing w:after="0" w:line="124" w:lineRule="exact"/>
        <w:rPr>
          <w:sz w:val="20"/>
          <w:szCs w:val="20"/>
          <w:color w:val="auto"/>
        </w:rPr>
      </w:pPr>
    </w:p>
    <w:p>
      <w:pPr>
        <w:ind w:firstLine="1953"/>
        <w:spacing w:after="0" w:line="264" w:lineRule="auto"/>
        <w:tabs>
          <w:tab w:leader="none" w:pos="2680" w:val="left"/>
        </w:tabs>
        <w:numPr>
          <w:ilvl w:val="2"/>
          <w:numId w:val="50"/>
        </w:numPr>
        <w:rPr>
          <w:rFonts w:ascii="Arial" w:cs="Arial" w:eastAsia="Arial" w:hAnsi="Arial"/>
          <w:sz w:val="18"/>
          <w:szCs w:val="18"/>
          <w:color w:val="auto"/>
        </w:rPr>
      </w:pPr>
      <w:r>
        <w:rPr>
          <w:rFonts w:ascii="Arial" w:cs="Arial" w:eastAsia="Arial" w:hAnsi="Arial"/>
          <w:sz w:val="18"/>
          <w:szCs w:val="18"/>
          <w:color w:val="auto"/>
        </w:rPr>
        <w:t>except as otherwise agreed by Administrative Agent or Canadian Administrative Agent, as applicable, and the LC Issuer, such Letter of Credit is in an initial stated amount less than $100,000 (as to US Letters of Credit and Dollar-denominated Canadian Letters of Credit) or C$100,000 (as to Canadian Dollar-denominated Canadian Letters of Credit);</w:t>
      </w:r>
    </w:p>
    <w:p>
      <w:pPr>
        <w:spacing w:after="0" w:line="181" w:lineRule="exact"/>
        <w:rPr>
          <w:rFonts w:ascii="Arial" w:cs="Arial" w:eastAsia="Arial" w:hAnsi="Arial"/>
          <w:sz w:val="18"/>
          <w:szCs w:val="18"/>
          <w:color w:val="auto"/>
        </w:rPr>
      </w:pPr>
    </w:p>
    <w:p>
      <w:pPr>
        <w:jc w:val="both"/>
        <w:ind w:right="480" w:firstLine="1953"/>
        <w:spacing w:after="0" w:line="342" w:lineRule="auto"/>
        <w:tabs>
          <w:tab w:leader="none" w:pos="2680" w:val="left"/>
        </w:tabs>
        <w:numPr>
          <w:ilvl w:val="2"/>
          <w:numId w:val="50"/>
        </w:numPr>
        <w:rPr>
          <w:rFonts w:ascii="Arial" w:cs="Arial" w:eastAsia="Arial" w:hAnsi="Arial"/>
          <w:sz w:val="16"/>
          <w:szCs w:val="16"/>
          <w:color w:val="auto"/>
        </w:rPr>
      </w:pPr>
      <w:r>
        <w:rPr>
          <w:rFonts w:ascii="Arial" w:cs="Arial" w:eastAsia="Arial" w:hAnsi="Arial"/>
          <w:sz w:val="16"/>
          <w:szCs w:val="16"/>
          <w:color w:val="auto"/>
        </w:rPr>
        <w:t>except as otherwise agreed by Administrative Agent or Canadian Administrative Agent, as applicable, and the LC Issuer, such Letter of Credit is to be denominated in a currency other than Dollars (or, as to Canadian Letters of Credit, Dollars or Canadian Dollars); or</w:t>
      </w:r>
    </w:p>
    <w:p>
      <w:pPr>
        <w:spacing w:after="0" w:line="123" w:lineRule="exact"/>
        <w:rPr>
          <w:rFonts w:ascii="Arial" w:cs="Arial" w:eastAsia="Arial" w:hAnsi="Arial"/>
          <w:sz w:val="16"/>
          <w:szCs w:val="16"/>
          <w:color w:val="auto"/>
        </w:rPr>
      </w:pPr>
    </w:p>
    <w:p>
      <w:pPr>
        <w:ind w:left="2660" w:hanging="707"/>
        <w:spacing w:after="0"/>
        <w:tabs>
          <w:tab w:leader="none" w:pos="2660" w:val="left"/>
        </w:tabs>
        <w:numPr>
          <w:ilvl w:val="2"/>
          <w:numId w:val="50"/>
        </w:numPr>
        <w:rPr>
          <w:rFonts w:ascii="Arial" w:cs="Arial" w:eastAsia="Arial" w:hAnsi="Arial"/>
          <w:sz w:val="17"/>
          <w:szCs w:val="17"/>
          <w:color w:val="auto"/>
        </w:rPr>
      </w:pPr>
      <w:r>
        <w:rPr>
          <w:rFonts w:ascii="Arial" w:cs="Arial" w:eastAsia="Arial" w:hAnsi="Arial"/>
          <w:sz w:val="17"/>
          <w:szCs w:val="17"/>
          <w:color w:val="auto"/>
        </w:rPr>
        <w:t>such Letter of Credit contains any provisions for automatic reinstatement of the stated amount after any drawing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thereunder.</w:t>
      </w:r>
    </w:p>
    <w:p>
      <w:pPr>
        <w:spacing w:after="0" w:line="210" w:lineRule="exact"/>
        <w:rPr>
          <w:rFonts w:ascii="Arial" w:cs="Arial" w:eastAsia="Arial" w:hAnsi="Arial"/>
          <w:sz w:val="17"/>
          <w:szCs w:val="17"/>
          <w:color w:val="auto"/>
        </w:rPr>
      </w:pPr>
    </w:p>
    <w:p>
      <w:pPr>
        <w:ind w:right="340" w:firstLine="1305"/>
        <w:spacing w:after="0" w:line="277" w:lineRule="auto"/>
        <w:tabs>
          <w:tab w:leader="none" w:pos="2006"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 LC Issuer shall not amend any Letter of Credit if the LC Issuer would not be permitted at such time to issue such Letter of Credit in its amended form under the terms hereof.</w:t>
      </w:r>
    </w:p>
    <w:p>
      <w:pPr>
        <w:spacing w:after="0" w:line="170" w:lineRule="exact"/>
        <w:rPr>
          <w:rFonts w:ascii="Arial" w:cs="Arial" w:eastAsia="Arial" w:hAnsi="Arial"/>
          <w:sz w:val="18"/>
          <w:szCs w:val="18"/>
          <w:color w:val="auto"/>
        </w:rPr>
      </w:pPr>
    </w:p>
    <w:p>
      <w:pPr>
        <w:jc w:val="both"/>
        <w:ind w:right="300" w:firstLine="1305"/>
        <w:spacing w:after="0" w:line="264" w:lineRule="auto"/>
        <w:tabs>
          <w:tab w:leader="none" w:pos="200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181" w:lineRule="exact"/>
        <w:rPr>
          <w:rFonts w:ascii="Arial" w:cs="Arial" w:eastAsia="Arial" w:hAnsi="Arial"/>
          <w:sz w:val="18"/>
          <w:szCs w:val="18"/>
          <w:color w:val="auto"/>
        </w:rPr>
      </w:pPr>
    </w:p>
    <w:p>
      <w:pPr>
        <w:ind w:right="100" w:firstLine="1305"/>
        <w:spacing w:after="0" w:line="257" w:lineRule="auto"/>
        <w:tabs>
          <w:tab w:leader="none" w:pos="2006"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An LC Issuer shall act on behalf of the Lenders with respect to any Letters of Credit issued by it and the documents associated therewith, and an LC Issuer shall have all of the benefits and immunities (A) provided to the Agents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included the LC Issuer with respect to such acts or omissions, and (B) as additionally provided herein with respect to the LC Issuer.</w:t>
      </w:r>
    </w:p>
    <w:p>
      <w:pPr>
        <w:spacing w:after="0" w:line="188" w:lineRule="exact"/>
        <w:rPr>
          <w:rFonts w:ascii="Arial" w:cs="Arial" w:eastAsia="Arial" w:hAnsi="Arial"/>
          <w:sz w:val="18"/>
          <w:szCs w:val="18"/>
          <w:color w:val="auto"/>
        </w:rPr>
      </w:pPr>
    </w:p>
    <w:p>
      <w:pPr>
        <w:ind w:left="1360" w:hanging="704"/>
        <w:spacing w:after="0"/>
        <w:tabs>
          <w:tab w:leader="none" w:pos="13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of Letters of Credit; Auto-Extension Letters of Credit</w:t>
      </w:r>
      <w:r>
        <w:rPr>
          <w:rFonts w:ascii="Arial" w:cs="Arial" w:eastAsia="Arial" w:hAnsi="Arial"/>
          <w:sz w:val="18"/>
          <w:szCs w:val="18"/>
          <w:color w:val="auto"/>
        </w:rPr>
        <w:t>.</w:t>
      </w:r>
    </w:p>
    <w:p>
      <w:pPr>
        <w:sectPr>
          <w:pgSz w:w="11900" w:h="16838" w:orient="portrait"/>
          <w:cols w:equalWidth="0" w:num="1">
            <w:col w:w="11420"/>
          </w:cols>
          <w:pgMar w:left="240" w:top="341" w:right="239" w:bottom="32" w:gutter="0" w:footer="0" w:header="0"/>
        </w:sectPr>
      </w:pPr>
    </w:p>
    <w:bookmarkStart w:id="27" w:name="page28"/>
    <w:bookmarkEnd w:id="27"/>
    <w:p>
      <w:pPr>
        <w:spacing w:after="0" w:line="88" w:lineRule="exact"/>
        <w:rPr>
          <w:sz w:val="20"/>
          <w:szCs w:val="20"/>
          <w:color w:val="auto"/>
        </w:rPr>
      </w:pPr>
    </w:p>
    <w:p>
      <w:pPr>
        <w:ind w:right="60" w:firstLine="1305"/>
        <w:spacing w:after="0" w:line="276" w:lineRule="auto"/>
        <w:tabs>
          <w:tab w:leader="none" w:pos="2006" w:val="left"/>
        </w:tabs>
        <w:numPr>
          <w:ilvl w:val="0"/>
          <w:numId w:val="53"/>
        </w:numPr>
        <w:rPr>
          <w:rFonts w:ascii="Arial" w:cs="Arial" w:eastAsia="Arial" w:hAnsi="Arial"/>
          <w:sz w:val="17"/>
          <w:szCs w:val="17"/>
          <w:color w:val="auto"/>
        </w:rPr>
      </w:pPr>
      <w:r>
        <w:rPr>
          <w:rFonts w:ascii="Arial" w:cs="Arial" w:eastAsia="Arial" w:hAnsi="Arial"/>
          <w:sz w:val="17"/>
          <w:szCs w:val="17"/>
          <w:color w:val="auto"/>
        </w:rPr>
        <w:t>Each Letter of Credit shall be issued or amended, as the case may be, upon the request of a Borrower delivered to the appropriate LC Issuer (with a copy to the relevant Agent) in the form of a printed LC Application, appropriately completed and signed by a Responsible Officer of such Borrower or an electronic LC Application initiated by such Borrower pursuant to such LC Issuer’s online electronic letter of credit application/request system. Such LC Application must be received by the appropriate LC Issuer and the relevant Agent (A) not later than 11:00 a.m. (New York, New York time) at least two Business Days prior to the proposed issuance date or date of amendment, as the case may be,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of any Letter of Credit denominated in Dollars, and (B) not later than 11:00 a.m. (Toronto, Canada time) at least two Business Days prior to the proposed issuance date or date of amendment, as the case may be, of any Letter of Credit denominated in Canadian Dollars; or in each case such later date and time as the appropriate Agent and LC Issuer may agree in a particular instance in their sole discretion. In the case of a request for an initial issuance of a Letter of Credit, such LC Application shall specify in form and detail satisfactory to the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any modification in respect of Rule 3.14 of the ISP, and (H) such other matters as the LC Issuer may reasonably require. In the case of a request for an amendment of any outstanding Letter of Credit, such LC Application shall specify in form and detail satisfactory to the LC Issuer (A) the Letter of Credit to be amended; (B) the proposed date of amendment thereof (which shall be a Business Day); (C) the nature of the proposed amendment (including any modification in respect of Rule 3.14 of the ISP); and (D) such other matters as the LC Issuer may reasonably require. Additionally, such Borrower shall furnish to such LC Issuer and Agent such other documents and information pertaining to such requested Letter of Credit issuance or amendment, including any Issuer Documents, as such LC Issuer or Agent may reasonably require.</w:t>
      </w:r>
    </w:p>
    <w:p>
      <w:pPr>
        <w:spacing w:after="0" w:line="169" w:lineRule="exact"/>
        <w:rPr>
          <w:sz w:val="20"/>
          <w:szCs w:val="20"/>
          <w:color w:val="auto"/>
        </w:rPr>
      </w:pPr>
    </w:p>
    <w:p>
      <w:pPr>
        <w:ind w:firstLine="1305"/>
        <w:spacing w:after="0" w:line="269" w:lineRule="auto"/>
        <w:tabs>
          <w:tab w:leader="none" w:pos="2011"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Promptly after receipt of any LC Application, an LC Issuer will confirm with the relevant Agent (by telephone or in writing) that such Agent has received a copy of such LC Application and, if not, the LC Issuer will provide such Agent with a copy thereof. Unless the LC Issuer has received written notice from such Agent (who hereby agrees to provide contemporaneous notice to the relevant Borrower) or any Restricted Person, at least one Business Day prior to the requested date of issuance or amendment of the applicable Letter of Credit, that one or more applicable conditions contained in Article IV shall not then be satisfied, specifying in reasonable detail the relevant condition or conditions not then satisfied, and the basis for such assertion, and such condition or conditions, as applicable, remain unsatisfied on such requested date of issuance or amendment, then, subject to the terms and conditions hereof, the LC Issuer shall, on the requested date, issue a Letter of Credit for the account of such Borrower or enter into the applicable amendment, as the case may be, in each case in accordance with the LC Issuer’s usual and customary business practices. Immediately upon the issuance of each US Letter of Credit or Canadian Letter of Credit, each US Lender or Canadian Lender shall be respectively deemed to, and hereby irrevocably and unconditionally agrees to, purchase from such LC Issuer a risk participation in such Letter of Credit in an amount equal to the product of such Lender’s US Percentage Share or Canadian Percentage Share, as applicable,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amount of such Letter of Credit.</w:t>
      </w:r>
    </w:p>
    <w:p>
      <w:pPr>
        <w:spacing w:after="0" w:line="182" w:lineRule="exact"/>
        <w:rPr>
          <w:rFonts w:ascii="Arial" w:cs="Arial" w:eastAsia="Arial" w:hAnsi="Arial"/>
          <w:sz w:val="17"/>
          <w:szCs w:val="17"/>
          <w:color w:val="auto"/>
        </w:rPr>
      </w:pPr>
    </w:p>
    <w:p>
      <w:pPr>
        <w:ind w:right="60" w:firstLine="1305"/>
        <w:spacing w:after="0" w:line="255" w:lineRule="auto"/>
        <w:tabs>
          <w:tab w:leader="none" w:pos="2016"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any Borrower so requests in any applicable LC Application, an LC Issuer may, in its sole and absolute discretion, agree to issue a Letter of Credit that has automatic extension provisions (each, an “</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Auto-Extension Letter of Credit must permit such LC Issuer to deny any such extension at least once in each twelve-month period (commencing with the date of issuance of such Letter of Credit) by giving written prior notice to the beneficiary thereof not later than a day (the “</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in each such twelve-month period to be agreed upon by such requesting Borrower and such LC Issuer at the time such Letter of Credit is issued. The LC Issuer of any Auto-Extension Letter of Credit hereby agrees to contemporaneously furnish to the appropriate Borrower a copy of any denial of the extension of such Auto-Extension Letter of Credit. Unless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 xml:space="preserve">otherwise directed by such LC Issuer, a Borrower shall not be required to make a specific request to an LC Issuer for any such extension. Once an Auto-Extension Letter of Credit has been issued, the US Lenders or Canadian Lenders, as the case may be, shall be deemed to have authorized (but may not require) the US LC Issuer or Canadian LC Issuer to permit the extension of such Letter of Credit at any time to an expiry date not later than the Letter of Credit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 (iii) of Section 2.10(a) or otherwise), or (B) it has received notice (which may be by telephone or in writing) on or before the day that is five Business Days before the Non-Extension Notice Date (1) from the relevant Agent </w:t>
      </w:r>
      <w:r>
        <w:rPr>
          <w:rFonts w:ascii="Arial" w:cs="Arial" w:eastAsia="Arial" w:hAnsi="Arial"/>
          <w:sz w:val="15"/>
          <w:szCs w:val="15"/>
          <w:color w:val="auto"/>
        </w:rPr>
        <w:t>(who hereby agrees to provide contemporaneous notice to the</w:t>
      </w:r>
      <w:r>
        <w:rPr>
          <w:rFonts w:ascii="Arial" w:cs="Arial" w:eastAsia="Arial" w:hAnsi="Arial"/>
          <w:sz w:val="16"/>
          <w:szCs w:val="16"/>
          <w:color w:val="auto"/>
        </w:rPr>
        <w:t xml:space="preserve"> </w:t>
      </w:r>
      <w:r>
        <w:rPr>
          <w:rFonts w:ascii="Arial" w:cs="Arial" w:eastAsia="Arial" w:hAnsi="Arial"/>
          <w:sz w:val="15"/>
          <w:szCs w:val="15"/>
          <w:color w:val="auto"/>
        </w:rPr>
        <w:t>relevant Borrower) that the Majority Lenders have elected not to permit such extension or (2) from the relevant Agent (who hereby agrees to provide contemporaneous notice to the relevant Borrower) or Borrower that one or more of the applicable conditions specified in Article IV is not then satisfied, specifying in reasonable detail the relevant condition or conditions not then satisfied, and such condition or conditions, as applicable, are unsatisfied on such extension date, and the basis for such assertion, and in each such case directing the LC Issuer not to permit such extension.</w:t>
      </w:r>
    </w:p>
    <w:p>
      <w:pPr>
        <w:spacing w:after="0" w:line="170" w:lineRule="exact"/>
        <w:rPr>
          <w:sz w:val="20"/>
          <w:szCs w:val="20"/>
          <w:color w:val="auto"/>
        </w:rPr>
      </w:pPr>
    </w:p>
    <w:p>
      <w:pPr>
        <w:ind w:right="80" w:firstLine="656"/>
        <w:spacing w:after="0" w:line="264" w:lineRule="auto"/>
        <w:tabs>
          <w:tab w:leader="none" w:pos="1358"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an LC Issuer will also deliver to the appropriate Borrower and the relevant Agent a true and complete copy of such Letter of Credit or amendment.</w:t>
      </w:r>
    </w:p>
    <w:p>
      <w:pPr>
        <w:spacing w:after="0" w:line="181" w:lineRule="exact"/>
        <w:rPr>
          <w:sz w:val="20"/>
          <w:szCs w:val="20"/>
          <w:color w:val="auto"/>
        </w:rPr>
      </w:pPr>
    </w:p>
    <w:p>
      <w:pPr>
        <w:ind w:left="1360" w:hanging="704"/>
        <w:spacing w:after="0"/>
        <w:tabs>
          <w:tab w:leader="none" w:pos="136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Drawings and Reimbursements; Funding of Participations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87" w:lineRule="auto"/>
        <w:tabs>
          <w:tab w:leader="none" w:pos="2006" w:val="left"/>
        </w:tabs>
        <w:numPr>
          <w:ilvl w:val="1"/>
          <w:numId w:val="56"/>
        </w:numPr>
        <w:rPr>
          <w:rFonts w:ascii="Arial" w:cs="Arial" w:eastAsia="Arial" w:hAnsi="Arial"/>
          <w:sz w:val="16"/>
          <w:szCs w:val="16"/>
          <w:color w:val="auto"/>
        </w:rPr>
      </w:pPr>
      <w:r>
        <w:rPr>
          <w:rFonts w:ascii="Arial" w:cs="Arial" w:eastAsia="Arial" w:hAnsi="Arial"/>
          <w:sz w:val="16"/>
          <w:szCs w:val="16"/>
          <w:color w:val="auto"/>
        </w:rPr>
        <w:t>Upon receipt from the beneficiary of any Letter of Credit of any notice of a drawing under such Letter of Credit, the LC Issuer shall notify US Borrower and, if not US Borrower, the appropriate Canadian Borrower and the relevant Agent thereof. In the case of a Canadian Letter of Credit denominated in Canadian Dollars, the appropriate Canadian Borrower shall reimburse the Canadian LC Issuer in Canadian Dollars, unless the Canadian LC Issuer and such Canadian Borrower otherwise agree that such Canadian Borrower will reimburse the Canadian LC Issuer in Dollars, in which case the Canadian LC Issuer shall notify such Canadian Borrower of the Dollar Equivalent of the amount of the related drawing. If an LC Issuer shall give notice to the applicable Borrower prior to 11:00 a.m. (New York, New York or Toronto, Canada time, as applicable) on the date of any payment by such LC Issuer under a Letter of Credit (such date, an “</w:t>
      </w:r>
      <w:r>
        <w:rPr>
          <w:rFonts w:ascii="Arial" w:cs="Arial" w:eastAsia="Arial" w:hAnsi="Arial"/>
          <w:sz w:val="16"/>
          <w:szCs w:val="16"/>
          <w:u w:val="single" w:color="auto"/>
          <w:color w:val="auto"/>
        </w:rPr>
        <w:t>Honor Date</w:t>
      </w:r>
      <w:r>
        <w:rPr>
          <w:rFonts w:ascii="Arial" w:cs="Arial" w:eastAsia="Arial" w:hAnsi="Arial"/>
          <w:sz w:val="16"/>
          <w:szCs w:val="16"/>
          <w:color w:val="auto"/>
        </w:rPr>
        <w:t>”), the account party Borrower shall reimburse such LC Issuer through the relevant Agent in an amount equal to the amount of such drawing and in the applicable currency (and if such LC Issuer shall give notice to such applicable Borrower at or after such time, such account party Borrower shall reimburse such LC Issuer by such time on the following Business Day). If a Borrower fails to so reimburse the LC Issuer by the applicable time, the relevant Agent shall promptly notify each US Lender or Canadian Lender, as appropriate, of the Honor Date, the amount of the unreimbursed drawing (the “</w:t>
      </w:r>
      <w:r>
        <w:rPr>
          <w:rFonts w:ascii="Arial" w:cs="Arial" w:eastAsia="Arial" w:hAnsi="Arial"/>
          <w:sz w:val="16"/>
          <w:szCs w:val="16"/>
          <w:u w:val="single" w:color="auto"/>
          <w:color w:val="auto"/>
        </w:rPr>
        <w:t>Unreimbursed Amount</w:t>
      </w:r>
      <w:r>
        <w:rPr>
          <w:rFonts w:ascii="Arial" w:cs="Arial" w:eastAsia="Arial" w:hAnsi="Arial"/>
          <w:sz w:val="16"/>
          <w:szCs w:val="16"/>
          <w:color w:val="auto"/>
        </w:rPr>
        <w:t>”), and the amount of such Lender’s US Percentage Share or Canadian Percentage Share, as</w:t>
      </w:r>
    </w:p>
    <w:p>
      <w:pPr>
        <w:sectPr>
          <w:pgSz w:w="11900" w:h="16926" w:orient="portrait"/>
          <w:cols w:equalWidth="0" w:num="1">
            <w:col w:w="11420"/>
          </w:cols>
          <w:pgMar w:left="240" w:top="125" w:right="239" w:bottom="0" w:gutter="0" w:footer="0" w:header="0"/>
        </w:sectPr>
      </w:pPr>
    </w:p>
    <w:bookmarkStart w:id="28" w:name="page29"/>
    <w:bookmarkEnd w:id="28"/>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applicable, thereof. In such event, such Borrower shall be deemed to have requested a Borrowing of Base Rate Loans (or Canadian Prime Rate Loans or US Dollar Base Rate Loans, as to Canadian Dollar- or Dollar-denominated Canadian Letters of Credit, respectively) to be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disbursed on the Honor Date in an amount equal to the Unreimbursed Amount, without regard to the minimum and multiples specified in Section 2.1 for the principal amount of Base Rate Loans (or Canadian Prime Rate Loans or US Dollar Base Rate Loans, as the case may be), but subject to the amount of the unutilized portion of the US Total Committed Amount or Canadian Total Committed Amount, as applicable, and the conditions set forth in Article IV (without giving effect to Borrower’s failure to so reimburse such LC Issuer as provided in this Section 2.10(c)(i) above). Any notice given by an LC Issuer or an Agent pursuant to this Section 2.10(c)(i) may be given by telephone if immediately confirmed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lack of such an immediate confirmation shall not affect the conclusiveness or binding effect of such notice.</w:t>
      </w:r>
    </w:p>
    <w:p>
      <w:pPr>
        <w:spacing w:after="0" w:line="178" w:lineRule="exact"/>
        <w:rPr>
          <w:sz w:val="20"/>
          <w:szCs w:val="20"/>
          <w:color w:val="auto"/>
        </w:rPr>
      </w:pPr>
    </w:p>
    <w:p>
      <w:pPr>
        <w:ind w:firstLine="1305"/>
        <w:spacing w:after="0" w:line="269" w:lineRule="auto"/>
        <w:tabs>
          <w:tab w:leader="none" w:pos="2011" w:val="left"/>
        </w:tabs>
        <w:numPr>
          <w:ilvl w:val="0"/>
          <w:numId w:val="57"/>
        </w:numPr>
        <w:rPr>
          <w:rFonts w:ascii="Arial" w:cs="Arial" w:eastAsia="Arial" w:hAnsi="Arial"/>
          <w:sz w:val="17"/>
          <w:szCs w:val="17"/>
          <w:color w:val="auto"/>
        </w:rPr>
      </w:pPr>
      <w:r>
        <w:rPr>
          <w:rFonts w:ascii="Arial" w:cs="Arial" w:eastAsia="Arial" w:hAnsi="Arial"/>
          <w:sz w:val="17"/>
          <w:szCs w:val="17"/>
          <w:color w:val="auto"/>
        </w:rPr>
        <w:t>Each US Lender or Canadian Lender, as appropriate, shall upon any notice pursuant to Section 2.10(c)(i) prior to 11:00 a.m. (New York, New York or Toronto, Canada time, as applicable), make funds available to the relevant Agent, as the case may be, for the account of the appropriate LC Issuer, in Dollars (or, as to Canadian Dollar-denominated Canadian Letters of Credit, in Canadian Dollars), at the relevant Agent’s Applicable Lending Office for Dollar denominated (or Canadian Dollar-denominated) payments in an amount equal to such Lender’s US Percentage Share or Canadian Percentage Share of the Unreimbursed Amount not later than 1:00 p.m. (New York, New York time) on the Business Day specified in such notice by the relevant Agent (and, if such notice pursuant to Section 2.10(c)(i) is at or after 11:00 a.m. (New York, New York or Toronto, Canada time, as applicable), each such Lender shall make such funds available not later than 1:00 p.m. (New York, New York time) on the following Business Day), whereupon, subject to the provisions of Section 2.10(c)(iii), each such Lender that so makes funds available shall be deemed to have made a Base Rate Loan (or, as to Canadian Lenders, a Canadian Prime Rate Loan (as to Canadian Dollar funds), or a Canadian US Dollar Base Rate Loan (as to Dollar funds), to such Borrower in such amount. The relevant Agent shall remit the funds so received to such LC Issuer in Dollars (or, as to Canadian Dollar-denominated Canadian Letters of Credit, in Canadian Dollars).</w:t>
      </w:r>
    </w:p>
    <w:p>
      <w:pPr>
        <w:spacing w:after="0" w:line="182" w:lineRule="exact"/>
        <w:rPr>
          <w:rFonts w:ascii="Arial" w:cs="Arial" w:eastAsia="Arial" w:hAnsi="Arial"/>
          <w:sz w:val="17"/>
          <w:szCs w:val="17"/>
          <w:color w:val="auto"/>
        </w:rPr>
      </w:pPr>
    </w:p>
    <w:p>
      <w:pPr>
        <w:ind w:right="60" w:firstLine="1305"/>
        <w:spacing w:after="0" w:line="288" w:lineRule="auto"/>
        <w:tabs>
          <w:tab w:leader="none" w:pos="2016" w:val="left"/>
        </w:tabs>
        <w:numPr>
          <w:ilvl w:val="0"/>
          <w:numId w:val="57"/>
        </w:numPr>
        <w:rPr>
          <w:rFonts w:ascii="Arial" w:cs="Arial" w:eastAsia="Arial" w:hAnsi="Arial"/>
          <w:sz w:val="16"/>
          <w:szCs w:val="16"/>
          <w:color w:val="auto"/>
        </w:rPr>
      </w:pPr>
      <w:r>
        <w:rPr>
          <w:rFonts w:ascii="Arial" w:cs="Arial" w:eastAsia="Arial" w:hAnsi="Arial"/>
          <w:sz w:val="16"/>
          <w:szCs w:val="16"/>
          <w:color w:val="auto"/>
        </w:rPr>
        <w:t>With respect to any Unreimbursed Amount that is not fully refinanced by a Borrowing of Base Rate Loans (or Canadian Prime Rate Loans or Canadian US Dollar Base Rate Loans, as set forth above) because the conditions set forth in Article IV (without giving effect to Borrower’s failure to reimburse such LC Issuer as provided in Section 2.10(c)(i)) cannot be satisfied, because LC Issuer’s notice pursuant to Section 2.10(c)(i) is at or after 11:00 a.m. (New York, New York or Toronto, Canada time, as applicable) or for any other reason, such Borrower shall be deemed to have incurred from the LC Issuer an LC Borrowing in the amount of the Unreimbursed Amount that is not so refinanced, which LC Borrowing shall be due and payable on the second Business Day following the corresponding Honor Date (together with interest) and shall bear interest on the amount thereof from time to time outstanding at the Base Rate in effect from time to time, and if not repaid by 11:00 a.m. (New York, New York time) on such second succeeding Business Day, shall thereafter bear interest on the amount thereof from time to time outstanding at the Default Rate. In such event, each Lender’s payment to the relevant Agent for the account of the LC Issuer pursuant to Section 2.10(c)(ii) shall be deemed payment in respect of its participation in such LC Borrowing and shall constitute an LC Advance from such Lender in satisfaction of its participation obligation under this Section 2.10.</w:t>
      </w:r>
    </w:p>
    <w:p>
      <w:pPr>
        <w:spacing w:after="0" w:line="169" w:lineRule="exact"/>
        <w:rPr>
          <w:rFonts w:ascii="Arial" w:cs="Arial" w:eastAsia="Arial" w:hAnsi="Arial"/>
          <w:sz w:val="16"/>
          <w:szCs w:val="16"/>
          <w:color w:val="auto"/>
        </w:rPr>
      </w:pPr>
    </w:p>
    <w:p>
      <w:pPr>
        <w:ind w:right="260" w:firstLine="1305"/>
        <w:spacing w:after="0" w:line="277" w:lineRule="auto"/>
        <w:tabs>
          <w:tab w:leader="none" w:pos="2006"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Until a Lender funds its Loan or LC Advance pursuant to this Section 2.10(c) to reimburse an LC Issuer for any amount drawn under any Letter of Credit, interest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respect of such Lender’s US Percentage Share or Canadian Percentage Share, as applicable, of such amount shall be solely for the account of such LC Issuer.</w:t>
      </w:r>
    </w:p>
    <w:p>
      <w:pPr>
        <w:spacing w:after="0" w:line="248" w:lineRule="exact"/>
        <w:rPr>
          <w:sz w:val="20"/>
          <w:szCs w:val="20"/>
          <w:color w:val="auto"/>
        </w:rPr>
      </w:pPr>
    </w:p>
    <w:p>
      <w:pPr>
        <w:ind w:firstLine="1305"/>
        <w:spacing w:after="0" w:line="270" w:lineRule="auto"/>
        <w:tabs>
          <w:tab w:leader="none" w:pos="2001" w:val="left"/>
        </w:tabs>
        <w:numPr>
          <w:ilvl w:val="1"/>
          <w:numId w:val="58"/>
        </w:numPr>
        <w:rPr>
          <w:rFonts w:ascii="Arial" w:cs="Arial" w:eastAsia="Arial" w:hAnsi="Arial"/>
          <w:sz w:val="17"/>
          <w:szCs w:val="17"/>
          <w:color w:val="auto"/>
        </w:rPr>
      </w:pPr>
      <w:r>
        <w:rPr>
          <w:rFonts w:ascii="Arial" w:cs="Arial" w:eastAsia="Arial" w:hAnsi="Arial"/>
          <w:sz w:val="17"/>
          <w:szCs w:val="17"/>
          <w:color w:val="auto"/>
        </w:rPr>
        <w:t xml:space="preserve">Each Lender’s obligation to make Loans or LC Advances to reimburse an LC Issuer for amounts drawn under Letters of Credit, as contemplated by this Section 2.10(c), shall be absolute and unconditional and shall not be affected by any circumstance, including (A) any setoff, counterclaim, recoupment, defense or other right which such Lender may have against an LC Issuer, any Borrower, any Restricted Person or any other Person for any reason whatsoever; (B) the occurrence or continuance of a Default, or (C) any other occurrence, event or condition, whether or not similar to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each Lender’s obligation to make Loans pursuant to this Section 2.10(c) is subject to the amount of unutilized portion of the US Total Committed Amount or Canadian Total Committed Amount, as applicable, and the conditions set forth in Article IV (without giving effect to Borrower’s failure to so reimburse such LC Issuer pursuant to Section 2.10(c)(i) above). No such making of an LC Advance shall relieve or otherwise impair the obligation of a Borrower to reimburse an LC Issuer for the amount of any payment made by the LC Issuer under any Letter of Credit issued at the request of such Borrower, together with interest as provided herein.</w:t>
      </w:r>
    </w:p>
    <w:p>
      <w:pPr>
        <w:spacing w:after="0" w:line="181" w:lineRule="exact"/>
        <w:rPr>
          <w:rFonts w:ascii="Arial" w:cs="Arial" w:eastAsia="Arial" w:hAnsi="Arial"/>
          <w:sz w:val="17"/>
          <w:szCs w:val="17"/>
          <w:color w:val="auto"/>
        </w:rPr>
      </w:pPr>
    </w:p>
    <w:p>
      <w:pPr>
        <w:ind w:firstLine="1305"/>
        <w:spacing w:after="0" w:line="291" w:lineRule="auto"/>
        <w:tabs>
          <w:tab w:leader="none" w:pos="2006" w:val="left"/>
        </w:tabs>
        <w:numPr>
          <w:ilvl w:val="1"/>
          <w:numId w:val="58"/>
        </w:numPr>
        <w:rPr>
          <w:rFonts w:ascii="Arial" w:cs="Arial" w:eastAsia="Arial" w:hAnsi="Arial"/>
          <w:sz w:val="16"/>
          <w:szCs w:val="16"/>
          <w:color w:val="auto"/>
        </w:rPr>
      </w:pPr>
      <w:r>
        <w:rPr>
          <w:rFonts w:ascii="Arial" w:cs="Arial" w:eastAsia="Arial" w:hAnsi="Arial"/>
          <w:sz w:val="16"/>
          <w:szCs w:val="16"/>
          <w:color w:val="auto"/>
        </w:rPr>
        <w:t>If any Lender fails to make available to the relevant Agent for the account of an LC Issuer any amount required to be paid by such Lender pursuant to the foregoing provisions of this Section 2.10(c) by the time specified in Section 2.10(c)(ii), the LC Issuer shall be entitled to recover from such Lender (acting through the relevant Agent), on demand, such amount with interest thereon for the period from the date such payment is required to the date on which such payment is immediately available to the LC Issuer at a rate per annum equal to the greater of (a) the Federal Funds Rate as to US Lenders, and at the “Bank Rate” as set by the Bank of Canada, as quoted on Reuters page BOCFAD, as to Canadian Lenders, and (b) a rate determined by the LC Issuer in accordance with banking industry rules on interbank compensation. A certificate of the LC Issuer submitted to any Lender (through the relevant Agent) with respect to any amounts owing under this clause (vi) shall be conclusive absent manifest error.</w:t>
      </w:r>
    </w:p>
    <w:p>
      <w:pPr>
        <w:spacing w:after="0" w:line="167" w:lineRule="exact"/>
        <w:rPr>
          <w:rFonts w:ascii="Arial" w:cs="Arial" w:eastAsia="Arial" w:hAnsi="Arial"/>
          <w:sz w:val="16"/>
          <w:szCs w:val="16"/>
          <w:color w:val="auto"/>
        </w:rPr>
      </w:pPr>
    </w:p>
    <w:p>
      <w:pPr>
        <w:ind w:left="1360" w:hanging="704"/>
        <w:spacing w:after="0"/>
        <w:tabs>
          <w:tab w:leader="none" w:pos="136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305"/>
        <w:spacing w:after="0" w:line="255" w:lineRule="auto"/>
        <w:tabs>
          <w:tab w:leader="none" w:pos="2006" w:val="left"/>
        </w:tabs>
        <w:numPr>
          <w:ilvl w:val="1"/>
          <w:numId w:val="59"/>
        </w:numPr>
        <w:rPr>
          <w:rFonts w:ascii="Arial" w:cs="Arial" w:eastAsia="Arial" w:hAnsi="Arial"/>
          <w:sz w:val="18"/>
          <w:szCs w:val="18"/>
          <w:color w:val="auto"/>
        </w:rPr>
      </w:pPr>
      <w:r>
        <w:rPr>
          <w:rFonts w:ascii="Arial" w:cs="Arial" w:eastAsia="Arial" w:hAnsi="Arial"/>
          <w:sz w:val="18"/>
          <w:szCs w:val="18"/>
          <w:color w:val="auto"/>
        </w:rPr>
        <w:t>At any time after an LC Issuer has made a payment under any Letter of Credit and has received from any Lender such Lender’s LC Advance in respect of such payment in accordance with Section 2.10(c), if the relevant Agent receives for the account of the LC Issuer any payment in respect of the related Unreimbursed Amount or interest thereon (whether directly from the appropriate Borrower or otherwise, including proceeds of Cash Collateral applied thereto by the relevant Agent), the relevant Agent will distribute to such Lender its US Percentage Share or Canadian Percentage Share, as applicable, thereof (appropriately adjusted, in the case of interest payments, to reflect the period of time during which such Lender’s LC Advance was outstanding) in the same funds as those received by such Agent.</w:t>
      </w:r>
    </w:p>
    <w:p>
      <w:pPr>
        <w:spacing w:after="0" w:line="193" w:lineRule="exact"/>
        <w:rPr>
          <w:rFonts w:ascii="Arial" w:cs="Arial" w:eastAsia="Arial" w:hAnsi="Arial"/>
          <w:sz w:val="18"/>
          <w:szCs w:val="18"/>
          <w:color w:val="auto"/>
        </w:rPr>
      </w:pPr>
    </w:p>
    <w:p>
      <w:pPr>
        <w:ind w:right="380" w:firstLine="1305"/>
        <w:spacing w:after="0" w:line="264" w:lineRule="auto"/>
        <w:tabs>
          <w:tab w:leader="none" w:pos="2011"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any payment received by the relevant Agent for the account of an LC Issuer pursuant to Section 2.10(c)(i) is required to be returned under any of the circumstances described in the second paragraph of Section 10.12 (including pursuant to any settlement entered into by an LC Issuer in its discretion), each Lender shall pay to the relevant Agent for the</w:t>
      </w:r>
    </w:p>
    <w:p>
      <w:pPr>
        <w:sectPr>
          <w:pgSz w:w="11900" w:h="16918" w:orient="portrait"/>
          <w:cols w:equalWidth="0" w:num="1">
            <w:col w:w="11400"/>
          </w:cols>
          <w:pgMar w:left="240" w:top="125" w:right="259" w:bottom="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account of such LC Issuer its US Percentage Share or Canadian Percentage Share, as applicable, thereof on demand of the relevant Agent, plus interest thereon from the date of such demand to the date such amount is returned by such Lender, at a rate per annum equal to (A) the Federal Funds Rate, as to US Letters of Credit or Dollar-denominated Canadian Letters of Credit, or (B) the “Bank Rate” as set by the Bank of Canada, as quoted on Reuters page BOCFAD, as to Canadian Dollar-denominated Canadian Letters of Credit, from time to time in effect. The obligations of the Lenders under this clause shall survive the payment in full of the Obligations and the termination of this Agreement.</w:t>
      </w:r>
    </w:p>
    <w:p>
      <w:pPr>
        <w:spacing w:after="0" w:line="188" w:lineRule="exact"/>
        <w:rPr>
          <w:sz w:val="20"/>
          <w:szCs w:val="20"/>
          <w:color w:val="auto"/>
        </w:rPr>
      </w:pPr>
    </w:p>
    <w:p>
      <w:pPr>
        <w:ind w:right="160" w:firstLine="656"/>
        <w:spacing w:after="0" w:line="264" w:lineRule="auto"/>
        <w:tabs>
          <w:tab w:leader="none" w:pos="1343"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each Borrower to reimburse an LC Issuer for each drawing under each Letter of Credit issued at the request of such Borrower and to repay each LC Borrowing shall be absolute, unconditional and irrevocable, and shall be paid strictly in accordance with the terms of this Agreement under all circumstances, including the following:</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225" w:lineRule="exact"/>
        <w:rPr>
          <w:rFonts w:ascii="Arial" w:cs="Arial" w:eastAsia="Arial" w:hAnsi="Arial"/>
          <w:sz w:val="18"/>
          <w:szCs w:val="18"/>
          <w:color w:val="auto"/>
        </w:rPr>
      </w:pPr>
    </w:p>
    <w:p>
      <w:pPr>
        <w:ind w:right="200" w:firstLine="1305"/>
        <w:spacing w:after="0" w:line="259" w:lineRule="auto"/>
        <w:tabs>
          <w:tab w:leader="none" w:pos="2011"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such Borrower or any Restricted Person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spacing w:after="0" w:line="186" w:lineRule="exact"/>
        <w:rPr>
          <w:rFonts w:ascii="Arial" w:cs="Arial" w:eastAsia="Arial" w:hAnsi="Arial"/>
          <w:sz w:val="18"/>
          <w:szCs w:val="18"/>
          <w:color w:val="auto"/>
        </w:rPr>
      </w:pPr>
    </w:p>
    <w:p>
      <w:pPr>
        <w:ind w:right="40" w:firstLine="1305"/>
        <w:spacing w:after="0" w:line="264" w:lineRule="auto"/>
        <w:tabs>
          <w:tab w:leader="none" w:pos="2016"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1" w:lineRule="exact"/>
        <w:rPr>
          <w:rFonts w:ascii="Arial" w:cs="Arial" w:eastAsia="Arial" w:hAnsi="Arial"/>
          <w:sz w:val="18"/>
          <w:szCs w:val="18"/>
          <w:color w:val="auto"/>
        </w:rPr>
      </w:pPr>
    </w:p>
    <w:p>
      <w:pPr>
        <w:ind w:right="60" w:firstLine="1305"/>
        <w:spacing w:after="0" w:line="279" w:lineRule="auto"/>
        <w:tabs>
          <w:tab w:leader="none" w:pos="2006" w:val="left"/>
        </w:tabs>
        <w:numPr>
          <w:ilvl w:val="1"/>
          <w:numId w:val="60"/>
        </w:numPr>
        <w:rPr>
          <w:rFonts w:ascii="Arial" w:cs="Arial" w:eastAsia="Arial" w:hAnsi="Arial"/>
          <w:sz w:val="17"/>
          <w:szCs w:val="17"/>
          <w:color w:val="auto"/>
        </w:rPr>
      </w:pPr>
      <w:r>
        <w:rPr>
          <w:rFonts w:ascii="Arial" w:cs="Arial" w:eastAsia="Arial" w:hAnsi="Arial"/>
          <w:sz w:val="17"/>
          <w:szCs w:val="17"/>
          <w:color w:val="auto"/>
        </w:rPr>
        <w:t>any payment by any LC Issuer under such Letter of Credit against presentation of a draft or certificate that does not strictly comply with the terms of such Letter of Credit; or any payment made by any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71" w:lineRule="exact"/>
        <w:rPr>
          <w:rFonts w:ascii="Arial" w:cs="Arial" w:eastAsia="Arial" w:hAnsi="Arial"/>
          <w:sz w:val="17"/>
          <w:szCs w:val="17"/>
          <w:color w:val="auto"/>
        </w:rPr>
      </w:pPr>
    </w:p>
    <w:p>
      <w:pPr>
        <w:ind w:right="340" w:firstLine="1305"/>
        <w:spacing w:after="0" w:line="277" w:lineRule="auto"/>
        <w:tabs>
          <w:tab w:leader="none" w:pos="2001"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the Canadian Dollar to a Canadian Borrower or any Subsidiary or in the relevant currency markets generally; or</w:t>
      </w:r>
    </w:p>
    <w:p>
      <w:pPr>
        <w:spacing w:after="0" w:line="170" w:lineRule="exact"/>
        <w:rPr>
          <w:rFonts w:ascii="Arial" w:cs="Arial" w:eastAsia="Arial" w:hAnsi="Arial"/>
          <w:sz w:val="18"/>
          <w:szCs w:val="18"/>
          <w:color w:val="auto"/>
        </w:rPr>
      </w:pPr>
    </w:p>
    <w:p>
      <w:pPr>
        <w:ind w:firstLine="1305"/>
        <w:spacing w:after="0" w:line="308" w:lineRule="auto"/>
        <w:tabs>
          <w:tab w:leader="none" w:pos="2006" w:val="left"/>
        </w:tabs>
        <w:numPr>
          <w:ilvl w:val="1"/>
          <w:numId w:val="60"/>
        </w:numPr>
        <w:rPr>
          <w:rFonts w:ascii="Arial" w:cs="Arial" w:eastAsia="Arial" w:hAnsi="Arial"/>
          <w:sz w:val="17"/>
          <w:szCs w:val="17"/>
          <w:color w:val="auto"/>
        </w:rPr>
      </w:pPr>
      <w:r>
        <w:rPr>
          <w:rFonts w:ascii="Arial" w:cs="Arial" w:eastAsia="Arial" w:hAnsi="Arial"/>
          <w:sz w:val="17"/>
          <w:szCs w:val="17"/>
          <w:color w:val="auto"/>
        </w:rPr>
        <w:t>any other circumstance or happening whatsoever, whether or not similar to any of the foregoing, including any other circumstance that might otherwise constitute a defense available to, or a discharge of, such Borrower or any Restricted Person or any Subsidiary.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Each Borrower shall promptly examine a copy of each Letter of Credit requested by it and each amendment thereto that is delivered to it and, in the event of any claim of noncompliance with such Borrower’s instructions or other irregularity, such Borrower will immediately notify the appropriate LC Issuer, and the LC Issuer will correct such claim in conformity with such Borrower’s instructions or as otherwise agreed between such Borrower and such LC Issuer, subject to the terms hereof. Each Borrower shall be conclusively deemed to have waived any such claim against the LC Issuer and its correspondents with respect to any Letter of Credit issued at such Borrower’s request unless such notice is given as aforesaid.</w:t>
      </w:r>
    </w:p>
    <w:p>
      <w:pPr>
        <w:spacing w:after="0" w:line="173" w:lineRule="exact"/>
        <w:rPr>
          <w:sz w:val="20"/>
          <w:szCs w:val="20"/>
          <w:color w:val="auto"/>
        </w:rPr>
      </w:pPr>
    </w:p>
    <w:p>
      <w:pPr>
        <w:ind w:right="40" w:firstLine="656"/>
        <w:spacing w:after="0" w:line="285" w:lineRule="auto"/>
        <w:tabs>
          <w:tab w:leader="none" w:pos="1368"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Role of LC Issuer</w:t>
      </w:r>
      <w:r>
        <w:rPr>
          <w:rFonts w:ascii="Arial" w:cs="Arial" w:eastAsia="Arial" w:hAnsi="Arial"/>
          <w:sz w:val="16"/>
          <w:szCs w:val="16"/>
          <w:color w:val="auto"/>
        </w:rPr>
        <w:t xml:space="preserve">. Each Lender and each Borrower agrees that, in paying any drawing under a Letter of Credit, no LC Issuer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Agents, any of their respective Related Parties nor any correspondent, participant or assignee of an LC Issuer shall be liable to any Lender for (i) any action taken or omitted in connection herewith at the request or with the approval of the Lenders or the Majority Lenders, as applicable; (ii) any action taken or omitted in the absence of gross negligence, willful misconduct; or (iii) the due execution, effectiveness, validity or enforceability of any document or instrument related to any Letter of Credit or Issuer Document. Each Borrower hereby assumes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assumption is not intended to, and shall not, preclude a Borrower’s pursuing such rights and remedies as it may have against the beneficiary or transferee at law or under any other agreement. None of the LC Issuers, the Agents, any of their respective Related Parties nor any correspondent, participant or assignee of an LC Issuer shall be liable or responsible for any of the matters described in clauses (i) through (v) of Section 2.10(e);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anything in such clauses to the contrary notwithstanding, a Borrower may have a claim against an LC Issuer, and an LC Issuer may be liable to such Borrower, to the extent, but only to the extent, of any direct, as opposed to consequential or exemplary, damages suffered by such Borrower which such Borrower proves were caused by an LC Issuer’s willful misconduct, gross negligence or material breach of any of its obligations hereunder or under any Issuer Document or under any Letter of Credit issued on such Borrower’s behalf after the presentation to such LC Issuer by the beneficiary of a sight draft and certificate(s) strictly complying with the terms and conditions of a Letter of Credit. In furtherance and not in limitation of the foregoing, an LC Issuer may accept documents that appear on their face to be in order, without responsibility for further investigation, regardless of any notice or information to the contrary, and an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388" w:lineRule="exact"/>
        <w:rPr>
          <w:rFonts w:ascii="Arial" w:cs="Arial" w:eastAsia="Arial" w:hAnsi="Arial"/>
          <w:sz w:val="16"/>
          <w:szCs w:val="16"/>
          <w:color w:val="auto"/>
        </w:rPr>
      </w:pPr>
    </w:p>
    <w:p>
      <w:pPr>
        <w:ind w:left="1360" w:hanging="704"/>
        <w:spacing w:after="0"/>
        <w:tabs>
          <w:tab w:leader="none" w:pos="1360"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91" w:lineRule="auto"/>
        <w:tabs>
          <w:tab w:leader="none" w:pos="2006" w:val="left"/>
        </w:tabs>
        <w:numPr>
          <w:ilvl w:val="2"/>
          <w:numId w:val="61"/>
        </w:numPr>
        <w:rPr>
          <w:rFonts w:ascii="Arial" w:cs="Arial" w:eastAsia="Arial" w:hAnsi="Arial"/>
          <w:sz w:val="16"/>
          <w:szCs w:val="16"/>
          <w:color w:val="auto"/>
        </w:rPr>
      </w:pPr>
      <w:r>
        <w:rPr>
          <w:rFonts w:ascii="Arial" w:cs="Arial" w:eastAsia="Arial" w:hAnsi="Arial"/>
          <w:sz w:val="16"/>
          <w:szCs w:val="16"/>
          <w:color w:val="auto"/>
        </w:rPr>
        <w:t>Within one Business Day following the request of the relevant Agent, (A) if an LC Issuer has honored any full or partial drawing request under any Letter of Credit and such drawing has resulted in an LC Borrowing that remains outstanding for more than two Business Days thereafter, or</w:t>
      </w:r>
    </w:p>
    <w:p>
      <w:pPr>
        <w:ind w:left="300" w:hanging="292"/>
        <w:spacing w:after="0"/>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as of the Letter of Credit Expiration Date, any LC Obligation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32" w:gutter="0" w:footer="0" w:header="0"/>
        </w:sectPr>
      </w:pPr>
    </w:p>
    <w:bookmarkStart w:id="30" w:name="page31"/>
    <w:bookmarkEnd w:id="30"/>
    <w:p>
      <w:pPr>
        <w:ind w:right="340"/>
        <w:spacing w:after="0" w:line="277" w:lineRule="auto"/>
        <w:rPr>
          <w:sz w:val="20"/>
          <w:szCs w:val="20"/>
          <w:color w:val="auto"/>
        </w:rPr>
      </w:pPr>
      <w:r>
        <w:rPr>
          <w:rFonts w:ascii="Arial" w:cs="Arial" w:eastAsia="Arial" w:hAnsi="Arial"/>
          <w:sz w:val="18"/>
          <w:szCs w:val="18"/>
          <w:color w:val="auto"/>
        </w:rPr>
        <w:t>with respect to any Borrower for any reason remains outstanding, such Borrower shall, in each case, immediately Cash Collateralize the then Outstanding Amount of all such LC Obligations.</w:t>
      </w:r>
    </w:p>
    <w:p>
      <w:pPr>
        <w:spacing w:after="0" w:line="170" w:lineRule="exact"/>
        <w:rPr>
          <w:sz w:val="20"/>
          <w:szCs w:val="20"/>
          <w:color w:val="auto"/>
        </w:rPr>
      </w:pPr>
    </w:p>
    <w:p>
      <w:pPr>
        <w:ind w:right="320" w:firstLine="1305"/>
        <w:spacing w:after="0" w:line="264" w:lineRule="auto"/>
        <w:tabs>
          <w:tab w:leader="none" w:pos="2011"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Canadian Administrative Agent may, at any time and from time to time after the initial deposit of non Canadian Dollar-denominated Cash Collateral securing any Canadian Dollar-denominated Canadian Letter of Credit, request that additional Cash Collateral be provided in order to protect against the results of exchange rate fluctuations.</w:t>
      </w:r>
    </w:p>
    <w:p>
      <w:pPr>
        <w:spacing w:after="0" w:line="181" w:lineRule="exact"/>
        <w:rPr>
          <w:rFonts w:ascii="Arial" w:cs="Arial" w:eastAsia="Arial" w:hAnsi="Arial"/>
          <w:sz w:val="18"/>
          <w:szCs w:val="18"/>
          <w:color w:val="auto"/>
        </w:rPr>
      </w:pPr>
    </w:p>
    <w:p>
      <w:pPr>
        <w:ind w:right="60" w:firstLine="1305"/>
        <w:spacing w:after="0" w:line="291" w:lineRule="auto"/>
        <w:tabs>
          <w:tab w:leader="none" w:pos="2016" w:val="left"/>
        </w:tabs>
        <w:numPr>
          <w:ilvl w:val="0"/>
          <w:numId w:val="63"/>
        </w:numPr>
        <w:rPr>
          <w:rFonts w:ascii="Arial" w:cs="Arial" w:eastAsia="Arial" w:hAnsi="Arial"/>
          <w:sz w:val="16"/>
          <w:szCs w:val="16"/>
          <w:color w:val="auto"/>
        </w:rPr>
      </w:pPr>
      <w:r>
        <w:rPr>
          <w:rFonts w:ascii="Arial" w:cs="Arial" w:eastAsia="Arial" w:hAnsi="Arial"/>
          <w:sz w:val="16"/>
          <w:szCs w:val="16"/>
          <w:color w:val="auto"/>
        </w:rPr>
        <w:t>For purposes of this Agreement, “Cash Collateralize” means to pledge and deposit with or deliver to the relevant Agent, for the benefit of the appropriate LC Issuer and Lenders, as collateral for the applicable LC Obligations, cash or deposit account balances pursuant to documentation in form and substance satisfactory to the relevant Agent and such LC Issuer (which documents are hereby consented to by the Lenders). Derivatives of such term have corresponding meanings. US Borrower hereby grants to Administrative Agent, and each Canadian Borrower hereby grants to Canadian Administrative Agent, for the benefit of the US LC Issuer and US Lenders, and the Canadian LC Issuer and the Canadian Lenders, respectively, as applicable and to the extent of each of their respective interests in any such cash or deposit account balances, a security interest in all such cash, deposit accounts and all balances therein and all proceeds of the foregoing. Cash Collateral shall be maintained in blocked, interest bearing deposit accounts at Administrative Agent.</w:t>
      </w:r>
    </w:p>
    <w:p>
      <w:pPr>
        <w:spacing w:after="0" w:line="16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When the LC Borrowing giving rise to the posting of Cash Collateral has been discharged or such Borrower otherwise has no LC Obligations outstanding, and no other event of the nature described in Section 2.10(g)(i)(A) then exists, any Lien on any Cash Collateral shall automatically terminate and the relevant Agent will promptly return such Cash Collateral to the Borrower originally pledging such Cash Collateral.</w:t>
      </w:r>
    </w:p>
    <w:p>
      <w:pPr>
        <w:spacing w:after="0" w:line="166" w:lineRule="exact"/>
        <w:rPr>
          <w:sz w:val="20"/>
          <w:szCs w:val="20"/>
          <w:color w:val="auto"/>
        </w:rPr>
      </w:pPr>
    </w:p>
    <w:p>
      <w:pPr>
        <w:ind w:firstLine="656"/>
        <w:spacing w:after="0" w:line="279" w:lineRule="auto"/>
        <w:tabs>
          <w:tab w:leader="none" w:pos="1353"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Applicability of ISP</w:t>
      </w:r>
      <w:r>
        <w:rPr>
          <w:rFonts w:ascii="Arial" w:cs="Arial" w:eastAsia="Arial" w:hAnsi="Arial"/>
          <w:sz w:val="17"/>
          <w:szCs w:val="17"/>
          <w:color w:val="auto"/>
        </w:rPr>
        <w:t>. Unless otherwise expressly agreed by an LC Issuer and a Borrower when a Letter of Credit is issued (including any such agreement applicable to any Letter of Credit outstanding under the Existing Agreement as of the Closing Date), (i) the rules of the ISP shall apply to each standby Letter of Credit, and (ii) the rules of the Uniform Customs and Practice for Documentary Credits, as most recently published by the International Chamber of Commerce at the time of issuance shall apply to each commercial or documentary Letter of Credit.</w:t>
      </w:r>
    </w:p>
    <w:p>
      <w:pPr>
        <w:spacing w:after="0" w:line="171" w:lineRule="exact"/>
        <w:rPr>
          <w:rFonts w:ascii="Arial" w:cs="Arial" w:eastAsia="Arial" w:hAnsi="Arial"/>
          <w:sz w:val="17"/>
          <w:szCs w:val="17"/>
          <w:color w:val="auto"/>
        </w:rPr>
      </w:pPr>
    </w:p>
    <w:p>
      <w:pPr>
        <w:ind w:right="20" w:firstLine="656"/>
        <w:spacing w:after="0" w:line="272" w:lineRule="auto"/>
        <w:tabs>
          <w:tab w:leader="none" w:pos="1358"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Letter of Credit Fees</w:t>
      </w:r>
      <w:r>
        <w:rPr>
          <w:rFonts w:ascii="Arial" w:cs="Arial" w:eastAsia="Arial" w:hAnsi="Arial"/>
          <w:sz w:val="17"/>
          <w:szCs w:val="17"/>
          <w:color w:val="auto"/>
        </w:rPr>
        <w:t>. Each Borrower shall pay, solely with respect to the Letters of Credit issued at the request of such Borrower, to the relevant Agent for the account of each US Lender or Canadian Lender, as appropriate, in accordance with such Lender’s US Percentage Share or Canadian Percentage Share, respectively, a Letter of Credit fee (the “</w:t>
      </w:r>
      <w:r>
        <w:rPr>
          <w:rFonts w:ascii="Arial" w:cs="Arial" w:eastAsia="Arial" w:hAnsi="Arial"/>
          <w:sz w:val="17"/>
          <w:szCs w:val="17"/>
          <w:u w:val="single" w:color="auto"/>
          <w:color w:val="auto"/>
        </w:rPr>
        <w:t>Letter of Credit Fee</w:t>
      </w:r>
      <w:r>
        <w:rPr>
          <w:rFonts w:ascii="Arial" w:cs="Arial" w:eastAsia="Arial" w:hAnsi="Arial"/>
          <w:sz w:val="17"/>
          <w:szCs w:val="17"/>
          <w:color w:val="auto"/>
        </w:rPr>
        <w:t xml:space="preserve">”) for each Letter of Credit equal to the Applicable Margin for Eurodollar Loans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Dollar Equivalent of the daily amount available to be drawn under such Letter of Credit. For purposes of computing the daily amount available to be drawn under any Letter of Credit, the amount of such Letter of Credit shall be determined in accordance with Section 1.6. Letter of Credit Fees shall be computed on a quarterly basis in arrears and shall be due and payable on the first Business Day after the end of each March, June, September and December. If there is any change in such Applicable Margin during any quarter, the daily amount available to be drawn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under each Letter of Credit shall be computed and multiplied by such Applicable Margin separately for each period during such quarter that such Applicable Margin was in effect.</w:t>
      </w:r>
    </w:p>
    <w:p>
      <w:pPr>
        <w:spacing w:after="0" w:line="170" w:lineRule="exact"/>
        <w:rPr>
          <w:sz w:val="20"/>
          <w:szCs w:val="20"/>
          <w:color w:val="auto"/>
        </w:rPr>
      </w:pPr>
    </w:p>
    <w:p>
      <w:pPr>
        <w:ind w:right="20" w:firstLine="656"/>
        <w:spacing w:after="0" w:line="270" w:lineRule="auto"/>
        <w:tabs>
          <w:tab w:leader="none" w:pos="1358"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Fronting Fee and Documentary and Processing Charges Payable to LC Issuer</w:t>
      </w:r>
      <w:r>
        <w:rPr>
          <w:rFonts w:ascii="Arial" w:cs="Arial" w:eastAsia="Arial" w:hAnsi="Arial"/>
          <w:sz w:val="17"/>
          <w:szCs w:val="17"/>
          <w:color w:val="auto"/>
        </w:rPr>
        <w:t>. Each Borrower shall pay directly to the appropriate LC Issuer for its own account a fronting fee solely with respect to each Letter of Credit requested by such Borrower, at such rate as agreed to by Borrower and such LC Issuer, computed on the Dollar Equivalent of the daily amount available to be drawn under such Letter of Credit on a quarterly basis in arrears, and due and payable on the first Business Day after the end of each March, June, September and December. For purposes of computing the daily amount available to be drawn under any Letter of Credit, the amount of such Letter of Credit shall be determined in accordance with Section 1.6. In addition, each Borrower shall pay directly to each LC Issuer for its own account the customary issuance, presentation, amendment and other processing fees, and other standard costs and charges, of such LC Issuer relating to letters of credit as from time to time in effect, effective schedules of which will be provided to US Borrower upon request. Such customary fees and standard costs and charges are due and payable quarterly in arrears on the first Business Day after the end of each March, June, September and December and are nonrefundable.</w:t>
      </w:r>
    </w:p>
    <w:p>
      <w:pPr>
        <w:spacing w:after="0" w:line="181" w:lineRule="exact"/>
        <w:rPr>
          <w:rFonts w:ascii="Arial" w:cs="Arial" w:eastAsia="Arial" w:hAnsi="Arial"/>
          <w:sz w:val="17"/>
          <w:szCs w:val="17"/>
          <w:color w:val="auto"/>
        </w:rPr>
      </w:pPr>
    </w:p>
    <w:p>
      <w:pPr>
        <w:ind w:right="340" w:firstLine="656"/>
        <w:spacing w:after="0" w:line="277" w:lineRule="auto"/>
        <w:tabs>
          <w:tab w:leader="none" w:pos="1353"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w:t>
      </w:r>
    </w:p>
    <w:p>
      <w:pPr>
        <w:spacing w:after="0" w:line="170" w:lineRule="exact"/>
        <w:rPr>
          <w:rFonts w:ascii="Arial" w:cs="Arial" w:eastAsia="Arial" w:hAnsi="Arial"/>
          <w:sz w:val="18"/>
          <w:szCs w:val="18"/>
          <w:color w:val="auto"/>
        </w:rPr>
      </w:pPr>
    </w:p>
    <w:p>
      <w:pPr>
        <w:ind w:firstLine="656"/>
        <w:spacing w:after="0" w:line="285" w:lineRule="auto"/>
        <w:tabs>
          <w:tab w:leader="none" w:pos="1358"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Transferees of Letters of Credit</w:t>
      </w:r>
      <w:r>
        <w:rPr>
          <w:rFonts w:ascii="Arial" w:cs="Arial" w:eastAsia="Arial" w:hAnsi="Arial"/>
          <w:sz w:val="16"/>
          <w:szCs w:val="16"/>
          <w:color w:val="auto"/>
        </w:rPr>
        <w:t xml:space="preserve">. If any Letter of Credit provides that it is transferable, the LC Issuer thereof shall have no duty to determine the proper identity of anyone appearing as transferee of such Letter of Credit, nor shall such LC Issuer be charged with responsibility of any nature or character for the validity or correctness of any transfer or successive transfers, and payment by such LC Issuer to any purported transferee or transferees as determined by such LC Issuer is hereby authorized and approved, and the Borrower requesting such Letter of Credit releases each Lender Party from, and agrees to hold each Lender Party harmless and indemnified against, any liability or claim in connection with or arising out of the foregoing, </w:t>
      </w:r>
      <w:r>
        <w:rPr>
          <w:rFonts w:ascii="Arial" w:cs="Arial" w:eastAsia="Arial" w:hAnsi="Arial"/>
          <w:sz w:val="16"/>
          <w:szCs w:val="16"/>
          <w:b w:val="1"/>
          <w:bCs w:val="1"/>
          <w:color w:val="auto"/>
        </w:rPr>
        <w:t>WHICH</w:t>
      </w:r>
    </w:p>
    <w:p>
      <w:pPr>
        <w:spacing w:after="0" w:line="2" w:lineRule="exact"/>
        <w:rPr>
          <w:rFonts w:ascii="Arial" w:cs="Arial" w:eastAsia="Arial" w:hAnsi="Arial"/>
          <w:sz w:val="16"/>
          <w:szCs w:val="16"/>
          <w:color w:val="auto"/>
        </w:rPr>
      </w:pPr>
    </w:p>
    <w:p>
      <w:pPr>
        <w:ind w:right="20"/>
        <w:spacing w:after="0" w:line="254" w:lineRule="auto"/>
        <w:rPr>
          <w:rFonts w:ascii="Arial" w:cs="Arial" w:eastAsia="Arial" w:hAnsi="Arial"/>
          <w:sz w:val="16"/>
          <w:szCs w:val="16"/>
          <w:color w:val="auto"/>
        </w:rPr>
      </w:pPr>
      <w:r>
        <w:rPr>
          <w:rFonts w:ascii="Arial" w:cs="Arial" w:eastAsia="Arial" w:hAnsi="Arial"/>
          <w:sz w:val="18"/>
          <w:szCs w:val="18"/>
          <w:b w:val="1"/>
          <w:bCs w:val="1"/>
          <w:color w:val="auto"/>
        </w:rPr>
        <w:t>INDEMNITY SHALL APPLY WHETHER OR NOT ANY SUCH LIABILITY OR CLAIM IS IN ANY WAY OR TO ANY EXTENT CAUSED, IN WHOLE OR IN PART, BY ANY NEGLIGENT ACT OR OMISSION OF ANY KIND BY ANY LENDER PARTY</w:t>
      </w:r>
      <w:r>
        <w:rPr>
          <w:rFonts w:ascii="Arial" w:cs="Arial" w:eastAsia="Arial" w:hAnsi="Arial"/>
          <w:sz w:val="18"/>
          <w:szCs w:val="18"/>
          <w:color w:val="auto"/>
        </w:rPr>
        <w:t>, provided only that no Lender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entitled to indemnification for that portion, if any, of any liability or claim which is proximately caused by its own individual gross negligence or willful misconduct, as determined in a final judgment.</w:t>
      </w:r>
    </w:p>
    <w:p>
      <w:pPr>
        <w:spacing w:after="0" w:line="190"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color w:val="auto"/>
        </w:rPr>
        <w:t xml:space="preserve">Section 2.10A. </w:t>
      </w:r>
      <w:r>
        <w:rPr>
          <w:rFonts w:ascii="Arial" w:cs="Arial" w:eastAsia="Arial" w:hAnsi="Arial"/>
          <w:sz w:val="16"/>
          <w:szCs w:val="16"/>
          <w:u w:val="single" w:color="auto"/>
          <w:color w:val="auto"/>
        </w:rPr>
        <w:t>Swing Line Loans.</w:t>
      </w:r>
    </w:p>
    <w:p>
      <w:pPr>
        <w:spacing w:after="0" w:line="225" w:lineRule="exact"/>
        <w:rPr>
          <w:sz w:val="20"/>
          <w:szCs w:val="20"/>
          <w:color w:val="auto"/>
        </w:rPr>
      </w:pPr>
    </w:p>
    <w:p>
      <w:pPr>
        <w:ind w:right="20" w:firstLine="656"/>
        <w:spacing w:after="0" w:line="297" w:lineRule="auto"/>
        <w:tabs>
          <w:tab w:leader="none" w:pos="1343"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The Swing Line</w:t>
      </w:r>
      <w:r>
        <w:rPr>
          <w:rFonts w:ascii="Arial" w:cs="Arial" w:eastAsia="Arial" w:hAnsi="Arial"/>
          <w:sz w:val="16"/>
          <w:szCs w:val="16"/>
          <w:color w:val="auto"/>
        </w:rPr>
        <w:t>. Subject to the terms and conditions set forth herein, the Swing Line Lender agrees, in reliance upon the agreements of the other Lenders set forth in this Section 2.10A, to make loans (each such loan, a “</w:t>
      </w:r>
      <w:r>
        <w:rPr>
          <w:rFonts w:ascii="Arial" w:cs="Arial" w:eastAsia="Arial" w:hAnsi="Arial"/>
          <w:sz w:val="16"/>
          <w:szCs w:val="16"/>
          <w:u w:val="single" w:color="auto"/>
          <w:color w:val="auto"/>
        </w:rPr>
        <w:t>Swing Line Loan</w:t>
      </w:r>
      <w:r>
        <w:rPr>
          <w:rFonts w:ascii="Arial" w:cs="Arial" w:eastAsia="Arial" w:hAnsi="Arial"/>
          <w:sz w:val="16"/>
          <w:szCs w:val="16"/>
          <w:color w:val="auto"/>
        </w:rPr>
        <w:t>”) to US Borrower or to either Canadian Borrower from time to time on any Business Day during the Commitment Period in an aggregate amount not to exceed at any time outstanding the amount of the Swing Line Sublimit applicable to it, notwithstanding the fact that such Swing Line Loans, when aggregated with the Outstanding Amount of other US Loans and US LC Obligations, or of other Canadian Loans and Canadian Obligations, as the case may be, of the Lender acting as Swing Line Lender, may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289" w:gutter="0" w:footer="0" w:header="0"/>
        </w:sectPr>
      </w:pPr>
    </w:p>
    <w:bookmarkStart w:id="31" w:name="page32"/>
    <w:bookmarkEnd w:id="31"/>
    <w:p>
      <w:pPr>
        <w:spacing w:after="0" w:line="7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exceed the amount of such Lender’s US Commitment or Canadian Commitment, respectively;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giving effect to any Swing Line Loan, (i) the US Total Outstanding Amount or Canadian Total Outstanding Amount, as appropriate, shall not exceed the US Total Committed Amount or Canadian Total Committed Amount, respectively, and (ii) the Outstanding Amount of US Loans or Canadian Loans by any US Lender or Canadian Lender, respectively,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US Lender’s US Percentage Share of the Outstanding Amount of US LC Obligations or such Canadian Lender’s Canadian Percentage Share of the Outstanding Amount of Canadian LC Obligations, as the case may be,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US Lender’s US Percentage Share of the Outstanding Amount of all Swing Line Loans made to US Borrower or such Canadian Lender’s Canadian Percentage Share of the Outstanding Amount of all Swing Line loans made to either Canadian Borrower, as the case may be, shall not exceed such US Lender’s US Commitment or such Canadian Lender’s Canadian Commitment, respectively,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Borrower shall not use the proceeds of any Swing Line Loan to refinance any outstanding Swing Line Loan. The obligation of each Borrower to repay to the Swing Line Lender Swing Line Loans made by such Swing Line Lender to such Borrower, together with interest accruing in connection therewith, shall be evidenced by a single promissory note (herein called the Swing Line Lender’s “</w:t>
      </w:r>
      <w:r>
        <w:rPr>
          <w:rFonts w:ascii="Arial" w:cs="Arial" w:eastAsia="Arial" w:hAnsi="Arial"/>
          <w:sz w:val="16"/>
          <w:szCs w:val="16"/>
          <w:u w:val="single" w:color="auto"/>
          <w:color w:val="auto"/>
        </w:rPr>
        <w:t>Swing Line</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Note</w:t>
      </w:r>
      <w:r>
        <w:rPr>
          <w:rFonts w:ascii="Arial" w:cs="Arial" w:eastAsia="Arial" w:hAnsi="Arial"/>
          <w:sz w:val="16"/>
          <w:szCs w:val="16"/>
          <w:color w:val="auto"/>
        </w:rPr>
        <w:t xml:space="preserve">”) made by each Borrower payable to the order of the Swing Line Lender in the form of Exhibit A-3 with appropriate insertions. The amount of principal owing on any Swing Line Note at any given time shall be the aggregate amount of all Swing Line Loans theretofore made by the Swing Line Lender to such Borrower minus all payments of principal theretofore received by the Swing Line Lender on such Swing Line Note. Interest on each Swing Line Note shall accrue and be due and payable as provided herein and therein. Each Swing Line Note shall be due and payable as provided herein and therein, and shall be due and payable in full on the Maturity Date. Within the foregoing limits, and subject to the other terms and conditions hereof, any Borrower may borrow under this Section 2.10A, prepay under Section 2.8(c), and reborrow under this Section 2.10A. US Borrower may request Base Rate Loans, EMIR Loans or Eurodollar Loans with an Interest Period not exceeding fifteen (15) days. Either Canadian Borrower may request (i) Dollar-denominated Canadian US Dollar Base Rate Loans, EMIR Loans or Eurodollar Loans with an Interest Period not exceeding fifteen (15) days, or (ii) Canadian Dollar-denominated Canadian Prime Rate Loans. Immediately upon the making of a Swing Line Loan to US Borrower or either Canadian Borrower, each US Lender or Canadian Lender, as the case may be, shall be deemed to, and hereby irrevocably and unconditionally agrees to, purchase from the Swing Line Lender a risk participation in such Swing Line Loan in an amount equal to the product of such US Lender’s US Percentage Share, or such Canadian Lender’s Canadian Percentage Share, as appropriate,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amount of such Swing Line Loan.</w:t>
      </w:r>
    </w:p>
    <w:p>
      <w:pPr>
        <w:spacing w:after="0" w:line="398" w:lineRule="exact"/>
        <w:rPr>
          <w:sz w:val="20"/>
          <w:szCs w:val="20"/>
          <w:color w:val="auto"/>
        </w:rPr>
      </w:pPr>
    </w:p>
    <w:p>
      <w:pPr>
        <w:ind w:right="120" w:firstLine="656"/>
        <w:spacing w:after="0" w:line="255" w:lineRule="auto"/>
        <w:tabs>
          <w:tab w:leader="none" w:pos="1353"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Borrowing Procedures</w:t>
      </w:r>
      <w:r>
        <w:rPr>
          <w:rFonts w:ascii="Arial" w:cs="Arial" w:eastAsia="Arial" w:hAnsi="Arial"/>
          <w:sz w:val="18"/>
          <w:szCs w:val="18"/>
          <w:color w:val="auto"/>
        </w:rPr>
        <w:t>. Each Swing Line Borrowing shall be made upon a Borrower’s irrevocable notice to the Swing Line Lender and Administrative Agent or Canadian Administrative Agent, as applicable, which may be given by telephone. Each such notice must be received by the Swing Line Lender and Administrative Agent or Canadian Administrative Agent not later than 1:00 p.m. on the requested borrowing date (or, for Eurodollar Loans, not later than 1:00 p.m. on the third Business Day prior to the requested borrowing date), and shall specify (i) the amount to be borrowed, which shall be a minimum of $1,000,000 (or, if denominated in Canadian Dollars, C$1,000,000), (ii) the requested borrowing date, which shall be a Business Day, (iii) for Eurodollar Loans, the length of the applicable Interest Period, (iv) for Swing Line Loans to US Borrower, whether such Swing Line Loans are Base Rate Loans, EMIR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Loans or Eurodollar Loans, and (v) for Swing Line Loans to a Canadian Borrower (1) whether such Swing Line Loans are Dollar-denominated or Canadian Dollar-denominated, (2) if Dollar-denominated, whether such Swing Line Loans are Canadian US Dollar Base Rate Loans, EMIR Loans or Eurodollar Loans, and (3) if such Loans are Eurodollar Loans, the information described in clause (iii) above. Either Canadian Borrower may request Dollar-denominated or Canadian Dollar-denominated Swing Line Loans. Each such telephonic notice must be confirmed promptly by delivery to the Swing Line Lender and Administrative Agent or Canadian Administrative Agent, as appropriate, of a written Swing Line Loan Notice, appropriately completed and signed by a Responsible Officer of such Borrower. Promptly after receipt by the Swing Line Lender of any telephonic Swing Line Loan Notice, the Swing Line Lender will confirm with Administrative Agent or Canadian Administrative Agent, as appropriate (by telephone or in writing) that Administrative Agent or Canadian Administrative Agent has also received such Swing Line Loan Notice and, if not, the Swing Line Lender will notify Administrative Agent or Canadian Administrative Agent, as appropriate (by telephone or in writing) of the contents thereof. Unless the Swing Line Lender has received notice (by telephone or in writing) from Administrative Agent or Canadian Administrative Agent (including at the request of any Lender) prior to 2:00 p.m. on the date of the proposed Swing Line Borrowing (A) directing the Swing Line Lender not to make such Swing Line Loan as a result of the limitations set forth in the proviso to the first sentence of </w:t>
      </w:r>
      <w:r>
        <w:rPr>
          <w:rFonts w:ascii="Arial" w:cs="Arial" w:eastAsia="Arial" w:hAnsi="Arial"/>
          <w:sz w:val="17"/>
          <w:szCs w:val="17"/>
          <w:u w:val="single" w:color="auto"/>
          <w:color w:val="auto"/>
        </w:rPr>
        <w:t>Section 2.10A(a)</w:t>
      </w:r>
      <w:r>
        <w:rPr>
          <w:rFonts w:ascii="Arial" w:cs="Arial" w:eastAsia="Arial" w:hAnsi="Arial"/>
          <w:sz w:val="17"/>
          <w:szCs w:val="17"/>
          <w:color w:val="auto"/>
        </w:rPr>
        <w:t xml:space="preserve">, or (B) that one or more of the applicable conditions specified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is not then satisfied, then, subject to the terms and conditions hereof, the Swing Line Lender will, not later than 3:00 p.m. on the borrowing date specified in such Swing Line Loan Notice, make the amount of its Swing Line Loan available to such Borrower.</w:t>
      </w:r>
    </w:p>
    <w:p>
      <w:pPr>
        <w:spacing w:after="0" w:line="185" w:lineRule="exact"/>
        <w:rPr>
          <w:sz w:val="20"/>
          <w:szCs w:val="20"/>
          <w:color w:val="auto"/>
        </w:rPr>
      </w:pPr>
    </w:p>
    <w:p>
      <w:pPr>
        <w:ind w:left="1360" w:hanging="704"/>
        <w:spacing w:after="0"/>
        <w:tabs>
          <w:tab w:leader="none" w:pos="13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Refinancing of Swing Line Loans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86" w:lineRule="auto"/>
        <w:tabs>
          <w:tab w:leader="none" w:pos="2006"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Swing Line Lender at any time in its sole and absolute discretion may request, on behalf of any Borrower with any outstanding Swing Line Loans (which hereby irrevocably authorizes the Swing Line Lender to so request on its behalf), that each US Lender make a Base Rate Loan (whether originally a Base Rate Loan, EMIR Loan or Eurodollar Loan, which, if originally an EMIR Loan or Eurodollar Loan, shall be deemed to have been Converted to a Base Rate Loan on such date), or each Canadian Lender make a Canadian US Dollar Base Rate Loan (whether originally a Canadian US Dollar Base Rate Loan, EMIR Loan or Eurodollar Loan, which, if originally an EMIR Loan or Eurodollar Loan, shall be deemed to have been Converted to a Base Rate Loan on such date) or Canadian Prime Rate Loan (if originally made in Canadian Dollars), as applicable, in an amount equal to such US Lender’s US Percentage Share or such Canadian Lender’s Canadian Percentage Share, respectively, of the amount of Swing Line Loans then outstanding. Such request shall be made in writing (which written request shall be deemed to be a Borrowing for purposes hereof) and in accordance with the requirements of Section 2.2, without regard to the minimum and multiples specified therein for the principal amount of Base Rate Loans, Canadian US Dollar Base Rate Loans or Canadian Prime Rate Loans, as the case may be, but subject to the unutilized portion of the US Commitment or Canadian Commitment, as the case may be, and the conditions set forth in Section 4.2. The Swing Line Lender shall furnish such Borrower with a copy of the applicable Borrowing Notice promptly after delivering such notice to Administrative Agent or Canadian Administrative Agent, as appropriate. Each US Lender or Canadian Lender, as the case may be, shall make an amount equal to its respective US Percentage Share or Canadian Percentage Share of the amount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specified in such Borrowing Notice available to Administrative Agent or Canadian Administrative Agent, as appropriate, in immediately available funds for the account of the Swing Line Lender not later than 1:00 p.m. on the day specified in such Borrowing Notice, whereupon, subject to Section 2.10A(c)(ii), each Lender that so makes funds available shall be deemed to have made a Base Rate Loan, Canadian US Dollar Base Rate Loan or Canadian Prime Rate Loan, as the case may be, to such Borrower in such amount. Administrative Agent or Canadian Administrative Agent shall remit the funds so received to the Swing Line Lender.</w:t>
      </w:r>
    </w:p>
    <w:p>
      <w:pPr>
        <w:sectPr>
          <w:pgSz w:w="11900" w:h="16911" w:orient="portrait"/>
          <w:cols w:equalWidth="0" w:num="1">
            <w:col w:w="11420"/>
          </w:cols>
          <w:pgMar w:left="240" w:top="341" w:right="239" w:bottom="0" w:gutter="0" w:footer="0" w:header="0"/>
        </w:sectPr>
      </w:pPr>
    </w:p>
    <w:bookmarkStart w:id="32" w:name="page33"/>
    <w:bookmarkEnd w:id="32"/>
    <w:p>
      <w:pPr>
        <w:spacing w:after="0" w:line="114" w:lineRule="exact"/>
        <w:rPr>
          <w:sz w:val="20"/>
          <w:szCs w:val="20"/>
          <w:color w:val="auto"/>
        </w:rPr>
      </w:pPr>
    </w:p>
    <w:p>
      <w:pPr>
        <w:ind w:right="100" w:firstLine="1305"/>
        <w:spacing w:after="0" w:line="297" w:lineRule="auto"/>
        <w:tabs>
          <w:tab w:leader="none" w:pos="2011" w:val="left"/>
        </w:tabs>
        <w:numPr>
          <w:ilvl w:val="1"/>
          <w:numId w:val="69"/>
        </w:numPr>
        <w:rPr>
          <w:rFonts w:ascii="Arial" w:cs="Arial" w:eastAsia="Arial" w:hAnsi="Arial"/>
          <w:sz w:val="16"/>
          <w:szCs w:val="16"/>
          <w:color w:val="auto"/>
        </w:rPr>
      </w:pPr>
      <w:r>
        <w:rPr>
          <w:rFonts w:ascii="Arial" w:cs="Arial" w:eastAsia="Arial" w:hAnsi="Arial"/>
          <w:sz w:val="16"/>
          <w:szCs w:val="16"/>
          <w:color w:val="auto"/>
        </w:rPr>
        <w:t>If for any reason any Swing Line Loan cannot be refinanced by such a Borrowing in accordance with Section 2.10A(c)(i), or pursuant to a Borrowing requested in accordance with Section 2.2, as the case may be, the request for Loans submitted by the Swing Line Lender as set forth in Section 2.10A(c)(i) shall be deemed to be a request by the Swing Line Lender that each of the US Lenders or Canadian Lenders, as the case may be, fund its risk participation in the relevant Swing Line Loan and each such Lender’s payment to Administrative Agent or Canadian Administrative Agent, as appropriate, for the account of the Swing Line Lender pursuant to Section 2.10A(c)(i) shall be deemed payment in respect of such participation.</w:t>
      </w:r>
    </w:p>
    <w:p>
      <w:pPr>
        <w:spacing w:after="0" w:line="158" w:lineRule="exact"/>
        <w:rPr>
          <w:rFonts w:ascii="Arial" w:cs="Arial" w:eastAsia="Arial" w:hAnsi="Arial"/>
          <w:sz w:val="16"/>
          <w:szCs w:val="16"/>
          <w:color w:val="auto"/>
        </w:rPr>
      </w:pPr>
    </w:p>
    <w:p>
      <w:pPr>
        <w:jc w:val="both"/>
        <w:ind w:right="340" w:firstLine="1305"/>
        <w:spacing w:after="0" w:line="291" w:lineRule="auto"/>
        <w:tabs>
          <w:tab w:leader="none" w:pos="2016" w:val="left"/>
        </w:tabs>
        <w:numPr>
          <w:ilvl w:val="1"/>
          <w:numId w:val="69"/>
        </w:numPr>
        <w:rPr>
          <w:rFonts w:ascii="Arial" w:cs="Arial" w:eastAsia="Arial" w:hAnsi="Arial"/>
          <w:sz w:val="16"/>
          <w:szCs w:val="16"/>
          <w:color w:val="auto"/>
        </w:rPr>
      </w:pPr>
      <w:r>
        <w:rPr>
          <w:rFonts w:ascii="Arial" w:cs="Arial" w:eastAsia="Arial" w:hAnsi="Arial"/>
          <w:sz w:val="16"/>
          <w:szCs w:val="16"/>
          <w:color w:val="auto"/>
        </w:rPr>
        <w:t>If any Lender fails to make available to Administrative Agent or Canadian Administrative Agent for the account of the Swing Line Lender any amount required to be paid by such Lender pursuant to the foregoing provisions of this Section 2.10A(c) by the time specified in Section</w:t>
      </w:r>
    </w:p>
    <w:p>
      <w:pPr>
        <w:ind w:right="200"/>
        <w:spacing w:after="0" w:line="290" w:lineRule="auto"/>
        <w:rPr>
          <w:rFonts w:ascii="Arial" w:cs="Arial" w:eastAsia="Arial" w:hAnsi="Arial"/>
          <w:sz w:val="16"/>
          <w:szCs w:val="16"/>
          <w:color w:val="auto"/>
        </w:rPr>
      </w:pPr>
      <w:r>
        <w:rPr>
          <w:rFonts w:ascii="Arial" w:cs="Arial" w:eastAsia="Arial" w:hAnsi="Arial"/>
          <w:sz w:val="16"/>
          <w:szCs w:val="16"/>
          <w:color w:val="auto"/>
        </w:rPr>
        <w:t>2.10A(c)(i), the Swing Line Lender shall be entitled to recover from such Lender (acting through Administrative Agent or Canadian Administrative Agent), on demand, such amount with interest thereon for the period from the date such payment is required to the date on which such payment is immediately available to the Swing Line Lender at a rate per annum equal to the greater of the Federal Funds Rate (or, as to Canadian Dollar-denominated Swing Line Loans, the “Bank Rate” as set by the Bank of Canada, as quoted on Reuters page BOCFAD) and a rate determined by the Swing Line Lender in accordance with banking industry rules on interbank compensation. A certificate of the Swing Line Lender submitted to any Lender (through Administrative Agent or Canadian Administrative Agent) with respect to any amounts owing under this clause (iii) shall be conclusive absent manifest error.</w:t>
      </w:r>
    </w:p>
    <w:p>
      <w:pPr>
        <w:spacing w:after="0" w:line="164" w:lineRule="exact"/>
        <w:rPr>
          <w:rFonts w:ascii="Arial" w:cs="Arial" w:eastAsia="Arial" w:hAnsi="Arial"/>
          <w:sz w:val="16"/>
          <w:szCs w:val="16"/>
          <w:color w:val="auto"/>
        </w:rPr>
      </w:pPr>
    </w:p>
    <w:p>
      <w:pPr>
        <w:ind w:right="20" w:firstLine="1305"/>
        <w:spacing w:after="0" w:line="255" w:lineRule="auto"/>
        <w:tabs>
          <w:tab w:leader="none" w:pos="2006"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Each Lender’s obligation to make Loans or to purchase and fund risk participations in Swing Line Loans pursuant to this Section 2.10A shall be absolute and unconditional and shall not be affected by any circumstance, including (A) any setoff, counterclaim, recoupment, defense or other right which such Lender may have against the Swing Line Lender, any Borrower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Lender’s obligation to make Loans pursuant to this Section 2.10A(c) is subject to the conditions set forth in Section 4.2. No such funding of risk participations shall relieve or otherwise impair the obligation of any Borrower to repay Swing Line Loans made to it, together with interest as provided herein.</w:t>
      </w:r>
    </w:p>
    <w:p>
      <w:pPr>
        <w:spacing w:after="0" w:line="189" w:lineRule="exact"/>
        <w:rPr>
          <w:rFonts w:ascii="Arial" w:cs="Arial" w:eastAsia="Arial" w:hAnsi="Arial"/>
          <w:sz w:val="18"/>
          <w:szCs w:val="18"/>
          <w:color w:val="auto"/>
        </w:rPr>
      </w:pPr>
    </w:p>
    <w:p>
      <w:pPr>
        <w:ind w:left="1360" w:hanging="704"/>
        <w:spacing w:after="0"/>
        <w:tabs>
          <w:tab w:leader="none" w:pos="13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305"/>
        <w:spacing w:after="0" w:line="308" w:lineRule="auto"/>
        <w:tabs>
          <w:tab w:leader="none" w:pos="2006" w:val="left"/>
        </w:tabs>
        <w:numPr>
          <w:ilvl w:val="1"/>
          <w:numId w:val="70"/>
        </w:numPr>
        <w:rPr>
          <w:rFonts w:ascii="Arial" w:cs="Arial" w:eastAsia="Arial" w:hAnsi="Arial"/>
          <w:sz w:val="17"/>
          <w:szCs w:val="17"/>
          <w:color w:val="auto"/>
        </w:rPr>
      </w:pPr>
      <w:r>
        <w:rPr>
          <w:rFonts w:ascii="Arial" w:cs="Arial" w:eastAsia="Arial" w:hAnsi="Arial"/>
          <w:sz w:val="17"/>
          <w:szCs w:val="17"/>
          <w:color w:val="auto"/>
        </w:rPr>
        <w:t>At any time after a Lender has purchased and funded a risk participation in a Swing Line Loan, if the Swing Line Lender receives any payment on account of such Swing Line Loan, the Swing Line Lender will distribute to such Lender its US Percentage Share 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Canadian Percentage Share, as the case may be, of such payment (appropriately adjusted, in the case of interest payments, to reflect the period of time during which such Lender’s risk participation was funded) in the same funds as those received by the Swing Line Lender.</w:t>
      </w:r>
    </w:p>
    <w:p>
      <w:pPr>
        <w:spacing w:after="0" w:line="170" w:lineRule="exact"/>
        <w:rPr>
          <w:sz w:val="20"/>
          <w:szCs w:val="20"/>
          <w:color w:val="auto"/>
        </w:rPr>
      </w:pPr>
    </w:p>
    <w:p>
      <w:pPr>
        <w:ind w:right="20" w:firstLine="1305"/>
        <w:spacing w:after="0" w:line="271" w:lineRule="auto"/>
        <w:tabs>
          <w:tab w:leader="none" w:pos="2011" w:val="left"/>
        </w:tabs>
        <w:numPr>
          <w:ilvl w:val="1"/>
          <w:numId w:val="71"/>
        </w:numPr>
        <w:rPr>
          <w:rFonts w:ascii="Arial" w:cs="Arial" w:eastAsia="Arial" w:hAnsi="Arial"/>
          <w:sz w:val="17"/>
          <w:szCs w:val="17"/>
          <w:color w:val="auto"/>
        </w:rPr>
      </w:pPr>
      <w:r>
        <w:rPr>
          <w:rFonts w:ascii="Arial" w:cs="Arial" w:eastAsia="Arial" w:hAnsi="Arial"/>
          <w:sz w:val="17"/>
          <w:szCs w:val="17"/>
          <w:color w:val="auto"/>
        </w:rPr>
        <w:t>If any payment received by the Swing Line Lender in respect of principal or interest on any Swing Line Loan is required to be returned by the Swing Line Lender under any of the circumstances described in the second paragraph of Section 10.12 (including pursuant to any settlement entered into by the Swing Line Lender in its discretion), each Lender shall pay to the Swing Line Lender its appropriate US Percentage Share or Canadian Percentage Share thereof on demand of Administrative Agent or Canadian Administrative Agent, plus interest thereon from the date of such demand to the date such amount is returned, at a rate per annum equal to the Federal Funds Rate (or, as to Canadian Dollar-denominated Swing Line Loans, the “Bank Rate” as set by the Bank of Canada, as quoted on Reuters page BOCFAD. Administrative Agent or Canadian Administrative Agent, as appropriate, will make such demand upon the request of the Swing Line Lender. The obligations of the Lenders under this clause shall survive the payment in full of the Obligations and the termination of this Agreement.</w:t>
      </w:r>
    </w:p>
    <w:p>
      <w:pPr>
        <w:spacing w:after="0" w:line="178" w:lineRule="exact"/>
        <w:rPr>
          <w:rFonts w:ascii="Arial" w:cs="Arial" w:eastAsia="Arial" w:hAnsi="Arial"/>
          <w:sz w:val="17"/>
          <w:szCs w:val="17"/>
          <w:color w:val="auto"/>
        </w:rPr>
      </w:pPr>
    </w:p>
    <w:p>
      <w:pPr>
        <w:ind w:right="140" w:firstLine="656"/>
        <w:spacing w:after="0" w:line="279" w:lineRule="auto"/>
        <w:tabs>
          <w:tab w:leader="none" w:pos="1343"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Interest for Account of Swing Line Lender</w:t>
      </w:r>
      <w:r>
        <w:rPr>
          <w:rFonts w:ascii="Arial" w:cs="Arial" w:eastAsia="Arial" w:hAnsi="Arial"/>
          <w:sz w:val="17"/>
          <w:szCs w:val="17"/>
          <w:color w:val="auto"/>
        </w:rPr>
        <w:t>. The Swing Line Lender shall be responsible for invoicing each Borrower for interest on the Swing Line Loans made to it. Until a Lender funds its Base Rate Loan or risk participation pursuant to this Section 2.10A to refinance such US Lender’s US Percentage Share or such Canadian Lender’s Canadian Percentage Share, as appropriate, of any Swing Line Loan, interest in respect of such US Percentage Share or Canadian Percentage Share shall be solely for the account of the Swing Line Lender.</w:t>
      </w:r>
    </w:p>
    <w:p>
      <w:pPr>
        <w:spacing w:after="0" w:line="171" w:lineRule="exact"/>
        <w:rPr>
          <w:rFonts w:ascii="Arial" w:cs="Arial" w:eastAsia="Arial" w:hAnsi="Arial"/>
          <w:sz w:val="17"/>
          <w:szCs w:val="17"/>
          <w:color w:val="auto"/>
        </w:rPr>
      </w:pPr>
    </w:p>
    <w:p>
      <w:pPr>
        <w:ind w:right="280" w:firstLine="656"/>
        <w:spacing w:after="0" w:line="277" w:lineRule="auto"/>
        <w:tabs>
          <w:tab w:leader="none" w:pos="136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Each Borrower shall make all payments of principal and interest in respect of the Swing Line Loans made to it directly to the Swing Line Lender.</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Creation of Bankers’ Acceptances</w:t>
      </w:r>
      <w:r>
        <w:rPr>
          <w:rFonts w:ascii="Arial" w:cs="Arial" w:eastAsia="Arial" w:hAnsi="Arial"/>
          <w:sz w:val="18"/>
          <w:szCs w:val="18"/>
          <w:color w:val="auto"/>
        </w:rPr>
        <w:t>. Upon receipt of a Borrowing Notice requesting a Borrowing by way of Bankers’ Acceptances, and subject to the provisions of this Agreement, each Canadian Lender shall accept, in accordance with its Canadian Percentage Share of the requested Borrowing from time to time such Bankers’ Acceptances as either Canadian Borrower shall request provided that:</w:t>
      </w:r>
    </w:p>
    <w:p>
      <w:pPr>
        <w:spacing w:after="0" w:line="181" w:lineRule="exact"/>
        <w:rPr>
          <w:sz w:val="20"/>
          <w:szCs w:val="20"/>
          <w:color w:val="auto"/>
        </w:rPr>
      </w:pPr>
    </w:p>
    <w:p>
      <w:pPr>
        <w:ind w:left="1360" w:hanging="704"/>
        <w:spacing w:after="0"/>
        <w:tabs>
          <w:tab w:leader="none" w:pos="13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Bankers’ Acceptances shall be issued on a Business Day;</w:t>
      </w:r>
    </w:p>
    <w:p>
      <w:pPr>
        <w:spacing w:after="0" w:line="225" w:lineRule="exact"/>
        <w:rPr>
          <w:rFonts w:ascii="Arial" w:cs="Arial" w:eastAsia="Arial" w:hAnsi="Arial"/>
          <w:sz w:val="18"/>
          <w:szCs w:val="18"/>
          <w:color w:val="auto"/>
        </w:rPr>
      </w:pPr>
    </w:p>
    <w:p>
      <w:pPr>
        <w:ind w:right="480" w:firstLine="656"/>
        <w:spacing w:after="0" w:line="277" w:lineRule="auto"/>
        <w:tabs>
          <w:tab w:leader="none" w:pos="13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Bankers’ Acceptance shall have a term of one, two, three or six months (excluding days of grace), as selected by such Canadian Borrower in the relevant Borrowing Notice provided that each Bankers’ Acceptance shall mature on a Business Day;</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face amount of each Bankers’ Acceptance shall be not less than C$3,000,000 and in multiples of C$100,000 for any amounts in excess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 and</w:t>
      </w:r>
    </w:p>
    <w:p>
      <w:pPr>
        <w:spacing w:after="0" w:line="210" w:lineRule="exact"/>
        <w:rPr>
          <w:rFonts w:ascii="Arial" w:cs="Arial" w:eastAsia="Arial" w:hAnsi="Arial"/>
          <w:sz w:val="16"/>
          <w:szCs w:val="16"/>
          <w:color w:val="auto"/>
        </w:rPr>
      </w:pPr>
    </w:p>
    <w:p>
      <w:pPr>
        <w:ind w:left="1360" w:hanging="704"/>
        <w:spacing w:after="0"/>
        <w:tabs>
          <w:tab w:leader="none" w:pos="13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Bankers’ Acceptance shall be in a form acceptable to Canadian Administrative Agent.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Terms of Acceptance by Canadian Lenders</w:t>
      </w:r>
      <w:r>
        <w:rPr>
          <w:rFonts w:ascii="Arial" w:cs="Arial" w:eastAsia="Arial" w:hAnsi="Arial"/>
          <w:sz w:val="16"/>
          <w:szCs w:val="16"/>
          <w:color w:val="auto"/>
        </w:rPr>
        <w:t>.</w:t>
      </w:r>
    </w:p>
    <w:p>
      <w:pPr>
        <w:spacing w:after="0" w:line="225" w:lineRule="exact"/>
        <w:rPr>
          <w:sz w:val="20"/>
          <w:szCs w:val="20"/>
          <w:color w:val="auto"/>
        </w:rPr>
      </w:pPr>
    </w:p>
    <w:p>
      <w:pPr>
        <w:ind w:right="200" w:firstLine="656"/>
        <w:spacing w:after="0" w:line="312" w:lineRule="auto"/>
        <w:tabs>
          <w:tab w:leader="none" w:pos="1343"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Delivery and Payment</w:t>
      </w:r>
      <w:r>
        <w:rPr>
          <w:rFonts w:ascii="Arial" w:cs="Arial" w:eastAsia="Arial" w:hAnsi="Arial"/>
          <w:sz w:val="16"/>
          <w:szCs w:val="16"/>
          <w:color w:val="auto"/>
        </w:rPr>
        <w:t>. Subject to Sections 2.13 and 2.14 and only if a valid appointment pursuant to Section 2.12(d) is not in place, each Canadian Borrower shall pre-sign and deliver to each Canadian Lender bankers’ acceptance drafts in sufficient quantity to meet each Canadian Borrower’s requirements for anticipated Borrowings by way of Bankers’ Acceptances. Each Canadian Borrower shall, at its option, provide for payment to Canadian</w:t>
      </w:r>
    </w:p>
    <w:p>
      <w:pPr>
        <w:sectPr>
          <w:pgSz w:w="11900" w:h="16952" w:orient="portrait"/>
          <w:cols w:equalWidth="0" w:num="1">
            <w:col w:w="11420"/>
          </w:cols>
          <w:pgMar w:left="240" w:top="341" w:right="239" w:bottom="0" w:gutter="0" w:footer="0" w:header="0"/>
        </w:sectPr>
      </w:pPr>
    </w:p>
    <w:bookmarkStart w:id="33" w:name="page34"/>
    <w:bookmarkEnd w:id="33"/>
    <w:p>
      <w:pPr>
        <w:spacing w:after="0" w:line="1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Administrative Agent for the benefit of Canadian Lenders of each Bankers’ Acceptance on the date on which a Bankers’ Acceptance matures, either by payment of the full face amount thereof or through utilization of a Conversion to another Type of Borrowing in accordance with this Agreement, or through a combination thereof. Each Canadian Borrower waives presentment for payment of Bankers’ Acceptances by Canadian Lenders and shall not claim from Canadian Lenders any days of grace for the payment at maturity of Bankers’ Acceptances. Any amount owing by a Canadian Borrower in respect of any Bankers’ Acceptance which is not paid in accordance with the foregoing, shall, as and from the date on which such Bankers’ Acceptance matures, be deemed to be outstanding hereunder as a Canadian Prime Rate Loan.</w:t>
      </w:r>
    </w:p>
    <w:p>
      <w:pPr>
        <w:spacing w:after="0" w:line="193" w:lineRule="exact"/>
        <w:rPr>
          <w:sz w:val="20"/>
          <w:szCs w:val="20"/>
          <w:color w:val="auto"/>
        </w:rPr>
      </w:pPr>
    </w:p>
    <w:p>
      <w:pPr>
        <w:ind w:right="180" w:firstLine="656"/>
        <w:spacing w:after="0" w:line="259" w:lineRule="auto"/>
        <w:tabs>
          <w:tab w:leader="none" w:pos="1353"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Canadian Administrative Agent and Canadian Lenders shall not be liable for any damage, loss or improper use of any bankers’ acceptance draft endorsed in blank except for any loss arising by reason of Canadian Administrative Agent or a Canadian Lender failing to use the same standard of care in the custody of such bankers’ acceptance drafts as Canadian Administrative Agent or such Canadian Lender use in the custody of their own property of a similar nature.</w:t>
      </w:r>
    </w:p>
    <w:p>
      <w:pPr>
        <w:spacing w:after="0" w:line="186" w:lineRule="exact"/>
        <w:rPr>
          <w:rFonts w:ascii="Arial" w:cs="Arial" w:eastAsia="Arial" w:hAnsi="Arial"/>
          <w:sz w:val="18"/>
          <w:szCs w:val="18"/>
          <w:color w:val="auto"/>
        </w:rPr>
      </w:pPr>
    </w:p>
    <w:p>
      <w:pPr>
        <w:ind w:right="120" w:firstLine="656"/>
        <w:spacing w:after="0" w:line="277" w:lineRule="auto"/>
        <w:tabs>
          <w:tab w:leader="none" w:pos="1343"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Bankers’ Acceptances Purchased by Canadian Lenders</w:t>
      </w:r>
      <w:r>
        <w:rPr>
          <w:rFonts w:ascii="Arial" w:cs="Arial" w:eastAsia="Arial" w:hAnsi="Arial"/>
          <w:sz w:val="18"/>
          <w:szCs w:val="18"/>
          <w:color w:val="auto"/>
        </w:rPr>
        <w:t xml:space="preserve"> . Each Canadian Lender shall purchase Bankers’ Acceptances accepted by it for an amount equal to the Discount Proceeds.</w:t>
      </w:r>
    </w:p>
    <w:p>
      <w:pPr>
        <w:spacing w:after="0" w:line="170" w:lineRule="exact"/>
        <w:rPr>
          <w:rFonts w:ascii="Arial" w:cs="Arial" w:eastAsia="Arial" w:hAnsi="Arial"/>
          <w:sz w:val="18"/>
          <w:szCs w:val="18"/>
          <w:color w:val="auto"/>
        </w:rPr>
      </w:pPr>
    </w:p>
    <w:p>
      <w:pPr>
        <w:ind w:firstLine="656"/>
        <w:spacing w:after="0" w:line="271" w:lineRule="auto"/>
        <w:tabs>
          <w:tab w:leader="none" w:pos="1353"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Power of Attorney</w:t>
      </w:r>
      <w:r>
        <w:rPr>
          <w:rFonts w:ascii="Arial" w:cs="Arial" w:eastAsia="Arial" w:hAnsi="Arial"/>
          <w:sz w:val="17"/>
          <w:szCs w:val="17"/>
          <w:color w:val="auto"/>
        </w:rPr>
        <w:t>. To facilitate the procedures contemplated in this Agreement, each Canadian Borrower appoints each Canadian Lender from time to time as the attorney-in-fact of such Canadian Borrower to execute, endorse and deliver on behalf of such Canadian Borrower drafts or depository bills in the form or forms prescribed by such Canadian Lender for Bankers’ Acceptances denominated in Canadian Dollars. Each Bankers’ Acceptance executed and delivered by a Canadian Lender on behalf of a Canadian Borrower shall be as binding upon such Canadian Borrower as if it had been executed and delivered by a duly authorized officer of such Canadian Borrower. The foregoing appointment shall cease to be effective, in respect of any Canadian Lender regarding a Canadian Borrower, three Business Days following receipt by such Canadian Lender of a written notice from such Canadian Borrower revoking such appointment (which notice shall be copied to Canadian Administrative Agent); provided that any such revocation shall not affect Bankers’ Acceptances previously executed and delivered by such Canadian Lender pursuant to such appointment.</w:t>
      </w:r>
    </w:p>
    <w:p>
      <w:pPr>
        <w:spacing w:after="0" w:line="178" w:lineRule="exact"/>
        <w:rPr>
          <w:rFonts w:ascii="Arial" w:cs="Arial" w:eastAsia="Arial" w:hAnsi="Arial"/>
          <w:sz w:val="17"/>
          <w:szCs w:val="17"/>
          <w:color w:val="auto"/>
        </w:rPr>
      </w:pPr>
    </w:p>
    <w:p>
      <w:pPr>
        <w:ind w:left="1360" w:hanging="704"/>
        <w:spacing w:after="0"/>
        <w:tabs>
          <w:tab w:leader="none" w:pos="136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Pro-Rata Treatment of Canadian Advances</w:t>
      </w:r>
      <w:r>
        <w:rPr>
          <w:rFonts w:ascii="Arial" w:cs="Arial" w:eastAsia="Arial" w:hAnsi="Arial"/>
          <w:sz w:val="18"/>
          <w:szCs w:val="18"/>
          <w:color w:val="auto"/>
        </w:rPr>
        <w:t>.</w:t>
      </w:r>
    </w:p>
    <w:p>
      <w:pPr>
        <w:spacing w:after="0" w:line="225" w:lineRule="exact"/>
        <w:rPr>
          <w:sz w:val="20"/>
          <w:szCs w:val="20"/>
          <w:color w:val="auto"/>
        </w:rPr>
      </w:pPr>
    </w:p>
    <w:p>
      <w:pPr>
        <w:ind w:right="200" w:firstLine="1305"/>
        <w:spacing w:after="0" w:line="308" w:lineRule="auto"/>
        <w:tabs>
          <w:tab w:leader="none" w:pos="2006" w:val="left"/>
        </w:tabs>
        <w:numPr>
          <w:ilvl w:val="0"/>
          <w:numId w:val="76"/>
        </w:numPr>
        <w:rPr>
          <w:rFonts w:ascii="Arial" w:cs="Arial" w:eastAsia="Arial" w:hAnsi="Arial"/>
          <w:sz w:val="17"/>
          <w:szCs w:val="17"/>
          <w:color w:val="auto"/>
        </w:rPr>
      </w:pPr>
      <w:r>
        <w:rPr>
          <w:rFonts w:ascii="Arial" w:cs="Arial" w:eastAsia="Arial" w:hAnsi="Arial"/>
          <w:sz w:val="17"/>
          <w:szCs w:val="17"/>
          <w:color w:val="auto"/>
        </w:rPr>
        <w:t>Each Canadian Advance shall be made available by each Canadian Lender and all repayments and reductions in respect thereof shall be made and applied in a manner so that the Canadian Advances outstanding hereunder to each Canadian Lender will, to the extent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possible, thereafter be pro rata in accordance with such Canadian Lender’s Canadian Percentage Share. Canadian Administrative Agent is authorized by Canadian Borrowers and each Canadian Lender to determine, in its sole and unfettered discretion, the portion of each Canadian Advance and each Type of Canadian Advance to be made available by each Canadian Lender to such Canadian Borrower and the application of repayments and reductions of Canadian Advances to give effect to the provisions of this section, provided that no Canadian Lender shall, as a result of any such determination, have a Canadian Percentage Share of the aggregate Canadian Advances which is in excess of its Canadian Percentage Share of the Canadian Total Committed Amount.</w:t>
      </w:r>
    </w:p>
    <w:p>
      <w:pPr>
        <w:spacing w:after="0" w:line="158" w:lineRule="exact"/>
        <w:rPr>
          <w:sz w:val="20"/>
          <w:szCs w:val="20"/>
          <w:color w:val="auto"/>
        </w:rPr>
      </w:pPr>
    </w:p>
    <w:p>
      <w:pPr>
        <w:ind w:right="40" w:firstLine="1305"/>
        <w:spacing w:after="0" w:line="270" w:lineRule="auto"/>
        <w:tabs>
          <w:tab w:leader="none" w:pos="2011" w:val="left"/>
        </w:tabs>
        <w:numPr>
          <w:ilvl w:val="1"/>
          <w:numId w:val="77"/>
        </w:numPr>
        <w:rPr>
          <w:rFonts w:ascii="Arial" w:cs="Arial" w:eastAsia="Arial" w:hAnsi="Arial"/>
          <w:sz w:val="17"/>
          <w:szCs w:val="17"/>
          <w:color w:val="auto"/>
        </w:rPr>
      </w:pPr>
      <w:r>
        <w:rPr>
          <w:rFonts w:ascii="Arial" w:cs="Arial" w:eastAsia="Arial" w:hAnsi="Arial"/>
          <w:sz w:val="17"/>
          <w:szCs w:val="17"/>
          <w:color w:val="auto"/>
        </w:rPr>
        <w:t>In the event it is not practicable to allocate Bankers’ Acceptances to each Canadian Lender such that the aggregate amount of Bankers’ Acceptances required to be purchased by such Canadian Lender hereunder is in a whole multiple of C$100,000, Canadian Administrative Agent is authorized by each Canadian Borrower and each Canadian Lender to make such allocation as Canadian Administrative Agent determines in its sole and unfettered discretion may be equitable in the circumstances and, if the aggregate amount of such Bankers’ Acceptances is not a whole multiple of C$100,000, then Canadian Administrative Agent may allocate (on a basis considered by it to be equitable) the excess of such Canadian Advance over the next lowest whole multiple of C$100,000 to one Canadian Lender, which shall purchase a Bankers’ Acceptance with a face amount equal to the excess and having the same term as the corresponding Bankers’ Acceptances. In no event shall the portion of the outstanding Borrowings by way of Bankers’ Acceptances of a Canadian Lender exceed such Canadian Lenders’ Canadian Percentage Share of the aggregate Borrowings by way of Bankers’ Acceptances by more than C$100,000 as a result of such exercise of discretion by Canadian Administrative Agent.</w:t>
      </w:r>
    </w:p>
    <w:p>
      <w:pPr>
        <w:spacing w:after="0" w:line="181" w:lineRule="exact"/>
        <w:rPr>
          <w:rFonts w:ascii="Arial" w:cs="Arial" w:eastAsia="Arial" w:hAnsi="Arial"/>
          <w:sz w:val="17"/>
          <w:szCs w:val="17"/>
          <w:color w:val="auto"/>
        </w:rPr>
      </w:pPr>
    </w:p>
    <w:p>
      <w:pPr>
        <w:ind w:firstLine="656"/>
        <w:spacing w:after="0" w:line="289" w:lineRule="auto"/>
        <w:tabs>
          <w:tab w:leader="none" w:pos="1368"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BA Equivalent Advances</w:t>
      </w:r>
      <w:r>
        <w:rPr>
          <w:rFonts w:ascii="Arial" w:cs="Arial" w:eastAsia="Arial" w:hAnsi="Arial"/>
          <w:sz w:val="16"/>
          <w:szCs w:val="16"/>
          <w:color w:val="auto"/>
        </w:rPr>
        <w:t xml:space="preserve">. Each Canadian Lender may, in lieu of accepting a BA on the date of any Borrowing, make a BA Equivalent Advance. The amount of each BA Equivalent Advance shall be equal to the Discount Proceeds (with reference to the applicable BA Discount Rate) which would be realized from a hypothetical sale of those BAs which, but for this subsection, would have been sold to such Canadian Lender. If such Canadian Lender does not otherwise have a BA Discount Rate applicable to it, the applicable BA Discount Rate will be calculated as though such Canadian Lender was listed on Schedule II or Schedule III of the </w:t>
      </w:r>
      <w:r>
        <w:rPr>
          <w:rFonts w:ascii="Arial" w:cs="Arial" w:eastAsia="Arial" w:hAnsi="Arial"/>
          <w:sz w:val="16"/>
          <w:szCs w:val="16"/>
          <w:i w:val="1"/>
          <w:iCs w:val="1"/>
          <w:color w:val="auto"/>
        </w:rPr>
        <w:t>Bank Act</w:t>
      </w:r>
      <w:r>
        <w:rPr>
          <w:rFonts w:ascii="Arial" w:cs="Arial" w:eastAsia="Arial" w:hAnsi="Arial"/>
          <w:sz w:val="16"/>
          <w:szCs w:val="16"/>
          <w:color w:val="auto"/>
        </w:rPr>
        <w:t xml:space="preserve"> (Canada). Any BA Equivalent Advance shall be made on the relevant date of any Borrowing, and shall remain outstanding for the term of the corresponding BA. On the maturity date of the corresponding BA, such BA Equivalent Advance shall be repaid in an amount equal to the face amount of a draft that would have been accepted by such Canadian Lender if such Canadian Lender had accepted and purchase BA hereunder. Each BA Equivalent Advance made pursuant to this subsection shall be deemed to be a BA accepted and purchased by such Canadian Lender pursuant to the terms hereof, and except in this subsection, any reference to a BA shall include such BA Equivalent Advance.</w:t>
      </w:r>
    </w:p>
    <w:p>
      <w:pPr>
        <w:spacing w:after="0" w:line="16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u w:val="single" w:color="auto"/>
          <w:color w:val="auto"/>
        </w:rPr>
        <w:t>General Procedures for Bankers’ Acceptances</w:t>
      </w:r>
      <w:r>
        <w:rPr>
          <w:rFonts w:ascii="Arial" w:cs="Arial" w:eastAsia="Arial" w:hAnsi="Arial"/>
          <w:sz w:val="16"/>
          <w:szCs w:val="16"/>
          <w:color w:val="auto"/>
        </w:rPr>
        <w:t>.</w:t>
      </w:r>
    </w:p>
    <w:p>
      <w:pPr>
        <w:spacing w:after="0" w:line="225" w:lineRule="exact"/>
        <w:rPr>
          <w:sz w:val="20"/>
          <w:szCs w:val="20"/>
          <w:color w:val="auto"/>
        </w:rPr>
      </w:pPr>
    </w:p>
    <w:p>
      <w:pPr>
        <w:jc w:val="both"/>
        <w:ind w:right="60" w:firstLine="656"/>
        <w:spacing w:after="0" w:line="264" w:lineRule="auto"/>
        <w:tabs>
          <w:tab w:leader="none" w:pos="1343"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Continuations</w:t>
      </w:r>
      <w:r>
        <w:rPr>
          <w:rFonts w:ascii="Arial" w:cs="Arial" w:eastAsia="Arial" w:hAnsi="Arial"/>
          <w:sz w:val="18"/>
          <w:szCs w:val="18"/>
          <w:color w:val="auto"/>
        </w:rPr>
        <w:t>. In the case of a Continuation of maturing Bankers’ Acceptances of a Canadian Borrower, each Canadian Lender in order to satisfy the continuing liability of such Canadian Borrower to the Canadian Lender for the face amount of the maturing Bankers’ Acceptances, shall retain for its own account the Net Proceeds of each new Bankers’ Acceptance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issued by it in connection with such Continuation; and each Canadian Borrower shall, on the maturity date of the maturing Bankers’ Acceptances of such Canadian Borrower, pay to Canadian Administrative Agent for the benefit of Canadian Lenders an amount equal to the difference between the face amount of such maturing Bankers’ Acceptances and the aggregate Net Proceeds of such new Bankers’ Acceptances.</w:t>
      </w:r>
    </w:p>
    <w:p>
      <w:pPr>
        <w:spacing w:after="0" w:line="166" w:lineRule="exact"/>
        <w:rPr>
          <w:sz w:val="20"/>
          <w:szCs w:val="20"/>
          <w:color w:val="auto"/>
        </w:rPr>
      </w:pPr>
    </w:p>
    <w:p>
      <w:pPr>
        <w:ind w:firstLine="656"/>
        <w:spacing w:after="0" w:line="312" w:lineRule="auto"/>
        <w:tabs>
          <w:tab w:leader="none" w:pos="1353"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Conversion from Canadian Prime Rate Loans or Canadian US Dollar Base Rate Loans</w:t>
      </w:r>
      <w:r>
        <w:rPr>
          <w:rFonts w:ascii="Arial" w:cs="Arial" w:eastAsia="Arial" w:hAnsi="Arial"/>
          <w:sz w:val="16"/>
          <w:szCs w:val="16"/>
          <w:color w:val="auto"/>
        </w:rPr>
        <w:t>. In the case of a Conversion from a Borrowing of Canadian Prime Rate Loans or Canadian US Dollar Base Rate Loans to a Canadian Borrower into a Borrowing by way of Bankers’ Acceptances to be accepted by a Canadian Lender pursuant to Section 2.12, such Canadian Lender, in order to satisfy the continuing liability of such Canadian Borrower to it for</w:t>
      </w:r>
    </w:p>
    <w:p>
      <w:pPr>
        <w:sectPr>
          <w:pgSz w:w="11900" w:h="16952" w:orient="portrait"/>
          <w:cols w:equalWidth="0" w:num="1">
            <w:col w:w="11400"/>
          </w:cols>
          <w:pgMar w:left="240" w:top="125" w:right="259" w:bottom="0" w:gutter="0" w:footer="0" w:header="0"/>
        </w:sectPr>
      </w:pPr>
    </w:p>
    <w:bookmarkStart w:id="34" w:name="page35"/>
    <w:bookmarkEnd w:id="34"/>
    <w:p>
      <w:pPr>
        <w:ind w:right="120"/>
        <w:spacing w:after="0" w:line="276" w:lineRule="auto"/>
        <w:rPr>
          <w:sz w:val="20"/>
          <w:szCs w:val="20"/>
          <w:color w:val="auto"/>
        </w:rPr>
      </w:pPr>
      <w:r>
        <w:rPr>
          <w:rFonts w:ascii="Arial" w:cs="Arial" w:eastAsia="Arial" w:hAnsi="Arial"/>
          <w:sz w:val="17"/>
          <w:szCs w:val="17"/>
          <w:color w:val="auto"/>
        </w:rPr>
        <w:t>the principal amount of the Canadian Prime Rate Loans or Canadian US Dollar Base Rate Loans being converted, shall retain for its own account the Discount Proceeds of each new Bankers’ Acceptance issued by it in connection with such Conversion; and such Canadian Borrower shall, on the date of issuance of the Bankers’ Acceptances, pay to Canadian Administrative Agent for the benefit of Canadian Lenders an amount equal to the difference between the aggregate principal amount of the Canadian Prime Rate Loans or Canadian US Dollar Base Rate Loans being converted owing to the Canadian Lenders and the aggregate Discount Proceeds of such Bankers’ Acceptances.</w:t>
      </w:r>
    </w:p>
    <w:p>
      <w:pPr>
        <w:spacing w:after="0" w:line="173" w:lineRule="exact"/>
        <w:rPr>
          <w:sz w:val="20"/>
          <w:szCs w:val="20"/>
          <w:color w:val="auto"/>
        </w:rPr>
      </w:pPr>
    </w:p>
    <w:p>
      <w:pPr>
        <w:ind w:right="180" w:firstLine="656"/>
        <w:spacing w:after="0" w:line="264" w:lineRule="auto"/>
        <w:tabs>
          <w:tab w:leader="none" w:pos="1343"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Authorization</w:t>
      </w:r>
      <w:r>
        <w:rPr>
          <w:rFonts w:ascii="Arial" w:cs="Arial" w:eastAsia="Arial" w:hAnsi="Arial"/>
          <w:sz w:val="18"/>
          <w:szCs w:val="18"/>
          <w:color w:val="auto"/>
        </w:rPr>
        <w:t>. Each Canadian Borrower hereby authorizes each Canadian Lender to complete, stamp, hold, sell, rediscount or otherwise dispose of all Bankers’ Acceptances of such Canadian Borrower accepted by it pursuant to this section in accordance with the instructions provided by such Canadian Borrower pursuant to Section 2.3, as applicable.</w:t>
      </w:r>
    </w:p>
    <w:p>
      <w:pPr>
        <w:spacing w:after="0" w:line="181" w:lineRule="exact"/>
        <w:rPr>
          <w:rFonts w:ascii="Arial" w:cs="Arial" w:eastAsia="Arial" w:hAnsi="Arial"/>
          <w:sz w:val="18"/>
          <w:szCs w:val="18"/>
          <w:color w:val="auto"/>
        </w:rPr>
      </w:pPr>
    </w:p>
    <w:p>
      <w:pPr>
        <w:ind w:right="60" w:firstLine="656"/>
        <w:spacing w:after="0" w:line="286" w:lineRule="auto"/>
        <w:tabs>
          <w:tab w:leader="none" w:pos="1353"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Depository Notes</w:t>
      </w:r>
      <w:r>
        <w:rPr>
          <w:rFonts w:ascii="Arial" w:cs="Arial" w:eastAsia="Arial" w:hAnsi="Arial"/>
          <w:sz w:val="17"/>
          <w:szCs w:val="17"/>
          <w:color w:val="auto"/>
        </w:rPr>
        <w:t>. The parties agree that in the administering of Bankers’ Acceptances, each Canadian Lender may avail itself of the debt clearing services offered by a clearing house for depository notes pursuant to the Depository Bills and Notes Act (Canada) and that the procedures set forth in Article II be deemed amended to the extent necessary to comply with the requirements of such debt clearing services.</w:t>
      </w:r>
    </w:p>
    <w:p>
      <w:pPr>
        <w:spacing w:after="0" w:line="166" w:lineRule="exact"/>
        <w:rPr>
          <w:sz w:val="20"/>
          <w:szCs w:val="20"/>
          <w:color w:val="auto"/>
        </w:rPr>
      </w:pPr>
    </w:p>
    <w:p>
      <w:pPr>
        <w:jc w:val="both"/>
        <w:ind w:right="160" w:firstLine="648"/>
        <w:spacing w:after="0" w:line="288"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Execution of Bankers’ Acceptances</w:t>
      </w:r>
      <w:r>
        <w:rPr>
          <w:rFonts w:ascii="Arial" w:cs="Arial" w:eastAsia="Arial" w:hAnsi="Arial"/>
          <w:sz w:val="16"/>
          <w:szCs w:val="16"/>
          <w:color w:val="auto"/>
        </w:rPr>
        <w:t>. The signatures of any authorized signatory on Bankers’ Acceptances which are authorized and requested hereunder by a Canadian Borrower may, at the option of such Canadian Borrower, be reproduced in facsimile and such Bankers’ Acceptances bearing such facsimile signatures shall be binding on such Canadian Borrower as if they had been manually signed by such authorized signatory.</w:t>
      </w:r>
    </w:p>
    <w:p>
      <w:pPr>
        <w:ind w:right="140"/>
        <w:spacing w:after="0" w:line="271" w:lineRule="auto"/>
        <w:rPr>
          <w:sz w:val="20"/>
          <w:szCs w:val="20"/>
          <w:color w:val="auto"/>
        </w:rPr>
      </w:pPr>
      <w:r>
        <w:rPr>
          <w:rFonts w:ascii="Arial" w:cs="Arial" w:eastAsia="Arial" w:hAnsi="Arial"/>
          <w:sz w:val="17"/>
          <w:szCs w:val="17"/>
          <w:color w:val="auto"/>
        </w:rPr>
        <w:t>Notwithstanding that any person whose signature appears on any Bankers’ Acceptance as a signatory may no longer be an authorized signatory of such Canadian Borrower at the date of issuance of a Bankers’ Acceptance, and notwithstanding that the signature affixed may be a reproduction only, such signature shall, unless prior to its use such Canadian Borrower has notified Canadian Administrative Agent in writing to contrary, nevertheless be valid and sufficient for all purposes as if such authority had remained in force at the time of such issuance and as if such signature had been manually applied, and any such Bankers’ Acceptance so signed shall be binding on such Canadian Borrower.</w:t>
      </w:r>
    </w:p>
    <w:p>
      <w:pPr>
        <w:spacing w:after="0" w:line="17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Prepayment of Bankers’ Acceptances</w:t>
      </w:r>
      <w:r>
        <w:rPr>
          <w:rFonts w:ascii="Arial" w:cs="Arial" w:eastAsia="Arial" w:hAnsi="Arial"/>
          <w:sz w:val="18"/>
          <w:szCs w:val="18"/>
          <w:color w:val="auto"/>
        </w:rPr>
        <w:t>. Any amounts received by Canadian Administrative Agent to be applied to outstanding Bankers’ Acceptances, whether pursuant to 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Event of Default and acceleration of the Obligations under Section 8.1 or a prepayment as permitted or required under Section 2.8 or 2.9, shall be deposited into an escrow account maintained by and in the name of Canadian Administrative Agent for the benefit of Canadian Lenders for set-off against such outstanding Bankers’ Acceptances as they mature, and pending such application shall bear interest at the rate declared by Canadian Administrative Agent from time to time as that payable by it in respect of deposits for such amount and for such period relative to the maturity date of such Bankers’ Acceptances, as applicable. Upon the repayment of all such outstanding Bankers’ Acceptances, any amounts remaining (including accrued interest) will (i) during the continuance of an Event of Default, be subject to such remedies as each Lender Party may have hereunder or under applicable Law, or (ii) otherwise, be released to the appropriate Canadian Borrower.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 - Payments to Lenders</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5"/>
          <w:szCs w:val="15"/>
          <w:u w:val="single" w:color="auto"/>
          <w:color w:val="auto"/>
        </w:rPr>
        <w:t>General Procedures</w:t>
      </w:r>
      <w:r>
        <w:rPr>
          <w:rFonts w:ascii="Arial" w:cs="Arial" w:eastAsia="Arial" w:hAnsi="Arial"/>
          <w:sz w:val="15"/>
          <w:szCs w:val="15"/>
          <w:color w:val="auto"/>
        </w:rPr>
        <w:t>.</w:t>
      </w:r>
    </w:p>
    <w:p>
      <w:pPr>
        <w:spacing w:after="0" w:line="225" w:lineRule="exact"/>
        <w:rPr>
          <w:sz w:val="20"/>
          <w:szCs w:val="20"/>
          <w:color w:val="auto"/>
        </w:rPr>
      </w:pPr>
    </w:p>
    <w:p>
      <w:pPr>
        <w:ind w:firstLine="656"/>
        <w:spacing w:after="0" w:line="285" w:lineRule="auto"/>
        <w:tabs>
          <w:tab w:leader="none" w:pos="1343" w:val="left"/>
        </w:tabs>
        <w:numPr>
          <w:ilvl w:val="0"/>
          <w:numId w:val="82"/>
        </w:numPr>
        <w:rPr>
          <w:rFonts w:ascii="Arial" w:cs="Arial" w:eastAsia="Arial" w:hAnsi="Arial"/>
          <w:sz w:val="16"/>
          <w:szCs w:val="16"/>
          <w:color w:val="auto"/>
        </w:rPr>
      </w:pPr>
      <w:r>
        <w:rPr>
          <w:rFonts w:ascii="Arial" w:cs="Arial" w:eastAsia="Arial" w:hAnsi="Arial"/>
          <w:sz w:val="16"/>
          <w:szCs w:val="16"/>
          <w:color w:val="auto"/>
        </w:rPr>
        <w:t>Each Restricted Person shall pay all amounts owing by such Restricted Person with respect to any US Obligations (whether for principal, interest, fees, or otherwise) to Administrative Agent for the account of the US Lender Party to whom such payment is owed in Dollars, without condition or deduction for any counterclaim, defense, recoupment or setoff, and in immediately available funds and each Restricted Person shall pay all amounts owing by such Restricted Person with respect to any Canadian Obligations (whether for principal, interest, fees, or otherwise) to Canadian Administrative Agent for the account of the Canadian Lender Party to whom such payment is owed in the currency such Canadian Loans were funded, without condition or deduction for any counterclaim, defense, recoupment or setoff, and in immediately available funds. If any payment is received on account of any US Obligation in any currency other than Dollars (whether voluntarily or pursuant to any order or judgment or the enforcement thereof or the realization of any security or the liquidation of any Person or otherwise howsoever), such payment shall constitute a discharge of the liability of a Restricted Person hereunder and under the other Loan Documents in respect of such US Obligation only to the extent of the amount of Dollars which the relevant Lender Parties are able to purchase with the amount of the other currency received by it on the Business Day next following such receipt by Administrative Agent in accordance with its normal procedures and after deducting any premium and costs of exchange. If any payment is received on account of any Canadian Obligation in any currency other than the currency such Canadian Loans were funded (whether voluntarily or pursuant to any order or judgment or the enforcement thereof or the realization of any security or the liquidation of any Person or otherwise howsoever), such payment shall constitute a discharge of the liability of a Restricted Person hereunder and under the other Loan Documents in respect of such Canadian Obligation only to the extent of the amount of Canadian Dollars or Dollars, as the case may be, which the relevant Lender Parties are able to purchase with the amount of the other currency received by it on the Business Day next following such receipt by Canadian Administrative Agent in accordance with its normal procedures and after deducting any premium and costs of exchange; provided, however, if the Canadian LC Issuer is paid Dollars pursuant to</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Section 2.10(c)(i), such payment shall constitute a full discharge of the liability to which such payment relates. Each payment under the Loan Documents must be received by the relevant Agent not later than noon, New York, New York time or Toronto, Ontario time, as the case may be, on the date such payment becomes due and payable, unless otherwise expressly provided herein. Any payment received by the relevant Agent after such time will be deemed to have been made on the next following Business Day. Should any such payment become due and payable on a day other than a Business Day, the maturity of such payment shall be extended to the next succeeding Business Day, and, in the case of a payment of principal or past due interest, interest shall accrue and be payable thereon for the period of such extension as provided in the Loan Document under which such payment is due. Each payment under a Loan Document to a US Lender Party shall be due and payable at the place provided therein and, if no specific place of payment is provided, shall be due and payable at the place of payment of Administrative Agent’s US Note. Each Payment under a Loan Document to a Canadian Lender Party shall be due and payable at the place provided therein, and, if no specific place of payment is provided, shall be due and payable at the place of payment in Canadian Administrative Agent’s Canadian Note.</w:t>
      </w:r>
    </w:p>
    <w:p>
      <w:pPr>
        <w:sectPr>
          <w:pgSz w:w="11900" w:h="16838" w:orient="portrait"/>
          <w:cols w:equalWidth="0" w:num="1">
            <w:col w:w="11420"/>
          </w:cols>
          <w:pgMar w:left="240" w:top="125" w:right="239" w:bottom="0" w:gutter="0" w:footer="0" w:header="0"/>
        </w:sectPr>
      </w:pPr>
    </w:p>
    <w:bookmarkStart w:id="35" w:name="page36"/>
    <w:bookmarkEnd w:id="35"/>
    <w:p>
      <w:pPr>
        <w:spacing w:after="0" w:line="106" w:lineRule="exact"/>
        <w:rPr>
          <w:sz w:val="20"/>
          <w:szCs w:val="20"/>
          <w:color w:val="auto"/>
        </w:rPr>
      </w:pPr>
    </w:p>
    <w:p>
      <w:pPr>
        <w:ind w:right="100" w:firstLine="656"/>
        <w:spacing w:after="0" w:line="277" w:lineRule="auto"/>
        <w:tabs>
          <w:tab w:leader="none" w:pos="1353"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When Administrative Agent collects or receives money on account of the US Obligations, Administrative Agent shall distribute all money so collected or received, and each US Lender Party shall apply all such money so distributed, as follows:</w:t>
      </w:r>
    </w:p>
    <w:p>
      <w:pPr>
        <w:spacing w:after="0" w:line="170" w:lineRule="exact"/>
        <w:rPr>
          <w:rFonts w:ascii="Arial" w:cs="Arial" w:eastAsia="Arial" w:hAnsi="Arial"/>
          <w:sz w:val="18"/>
          <w:szCs w:val="18"/>
          <w:color w:val="auto"/>
        </w:rPr>
      </w:pPr>
    </w:p>
    <w:p>
      <w:pPr>
        <w:ind w:right="20" w:firstLine="1305"/>
        <w:spacing w:after="0" w:line="264" w:lineRule="auto"/>
        <w:tabs>
          <w:tab w:leader="none" w:pos="2006" w:val="left"/>
        </w:tabs>
        <w:numPr>
          <w:ilvl w:val="1"/>
          <w:numId w:val="83"/>
        </w:numPr>
        <w:rPr>
          <w:rFonts w:ascii="Arial" w:cs="Arial" w:eastAsia="Arial" w:hAnsi="Arial"/>
          <w:sz w:val="18"/>
          <w:szCs w:val="18"/>
          <w:color w:val="auto"/>
        </w:rPr>
      </w:pPr>
      <w:r>
        <w:rPr>
          <w:rFonts w:ascii="Arial" w:cs="Arial" w:eastAsia="Arial" w:hAnsi="Arial"/>
          <w:sz w:val="18"/>
          <w:szCs w:val="18"/>
          <w:color w:val="auto"/>
        </w:rPr>
        <w:t>first, for the payment of all US Obligations which are then due (and if such money is insufficient to pay all such US Obligations, first to any reimbursements due Administrative Agent under Section 10.4 and then to the partial payment of all other US Obligations then due in proportion to the amounts thereof, or as US Lender Parties shall otherwise agree);</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then for the prepayment of amounts owing under the Loan Documents (other than principal on the US Notes) if so specified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US Borrower;</w:t>
      </w:r>
    </w:p>
    <w:p>
      <w:pPr>
        <w:spacing w:after="0" w:line="210" w:lineRule="exact"/>
        <w:rPr>
          <w:rFonts w:ascii="Arial" w:cs="Arial" w:eastAsia="Arial" w:hAnsi="Arial"/>
          <w:sz w:val="16"/>
          <w:szCs w:val="16"/>
          <w:color w:val="auto"/>
        </w:rPr>
      </w:pPr>
    </w:p>
    <w:p>
      <w:pPr>
        <w:ind w:right="300" w:firstLine="1305"/>
        <w:spacing w:after="0" w:line="277" w:lineRule="auto"/>
        <w:tabs>
          <w:tab w:leader="none" w:pos="2016"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then for the prepayment of principal on the US Notes, together with accrued and unpaid interest on the principal so prepaid, or held by US LC Issuer and applied to US LC Obligations as they mature; and</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last, for the payment or prepayment of any other US Obligations.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payments applied to principal or interest on any US Note shall be applied first to any interest then due and payable, then to principal then due and payable, and last to any prepayment of principal and accrued interest thereon in compliance with Sections 2.8 and 2.9, as applicable. All distributions of amounts described in any of subsections (ii), (iii), or (iv) above shall be made by Administrative Agent pro rata to each US Lender Party then owed US Obligations described in such subsection in proportion to all amounts owed to all US Lender Parties which are described in such subsection; provided that if any US Lender then owes payments to US LC Issuer for the purchase of a participation under Section 2.10(a) or to Administrative Agent under Section 9.10, any amounts otherwise distributable under this section to such US Lender shall be deemed to belong to US LC Issuer, or Administrative Agent, respectively, to the extent of such</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unpaid payments, and Administrative Agent shall apply such amounts to make such unpaid payments rather than distribute such amounts to such US Lender.</w:t>
      </w:r>
    </w:p>
    <w:p>
      <w:pPr>
        <w:spacing w:after="0" w:line="248" w:lineRule="exact"/>
        <w:rPr>
          <w:sz w:val="20"/>
          <w:szCs w:val="20"/>
          <w:color w:val="auto"/>
        </w:rPr>
      </w:pPr>
    </w:p>
    <w:p>
      <w:pPr>
        <w:ind w:right="20" w:firstLine="656"/>
        <w:spacing w:after="0" w:line="264" w:lineRule="auto"/>
        <w:tabs>
          <w:tab w:leader="none" w:pos="1343"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When Canadian Administrative Agent collects or receives money on account of the Canadian Obligations, other than as provided in Section 3.9, Canadian Administrative Agent shall distribute all money so collected or received, and each Canadian Lender Party shall apply all such money so distributed, as follows:</w:t>
      </w:r>
    </w:p>
    <w:p>
      <w:pPr>
        <w:spacing w:after="0" w:line="181" w:lineRule="exact"/>
        <w:rPr>
          <w:rFonts w:ascii="Arial" w:cs="Arial" w:eastAsia="Arial" w:hAnsi="Arial"/>
          <w:sz w:val="18"/>
          <w:szCs w:val="18"/>
          <w:color w:val="auto"/>
        </w:rPr>
      </w:pPr>
    </w:p>
    <w:p>
      <w:pPr>
        <w:ind w:right="180" w:firstLine="1305"/>
        <w:spacing w:after="0" w:line="264" w:lineRule="auto"/>
        <w:tabs>
          <w:tab w:leader="none" w:pos="2006" w:val="left"/>
        </w:tabs>
        <w:numPr>
          <w:ilvl w:val="1"/>
          <w:numId w:val="84"/>
        </w:numPr>
        <w:rPr>
          <w:rFonts w:ascii="Arial" w:cs="Arial" w:eastAsia="Arial" w:hAnsi="Arial"/>
          <w:sz w:val="18"/>
          <w:szCs w:val="18"/>
          <w:color w:val="auto"/>
        </w:rPr>
      </w:pPr>
      <w:r>
        <w:rPr>
          <w:rFonts w:ascii="Arial" w:cs="Arial" w:eastAsia="Arial" w:hAnsi="Arial"/>
          <w:sz w:val="18"/>
          <w:szCs w:val="18"/>
          <w:color w:val="auto"/>
        </w:rPr>
        <w:t>first, for the payment of all Canadian Obligations which are then due (and if such money is insufficient to pay all such Canadian Obligations, first to any reimbursements due Canadian Administrative Agent under 10.4 and then to the partial payment of all other Canadian Obligations then due in proportion to the amounts thereof, or as Canadian Lender Parties shall otherwise agree);</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then for the prepayment of amounts owing under the Loan Documents (other than principal on the Canadian Notes) if so specified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a Canadian Borrower;</w:t>
      </w:r>
    </w:p>
    <w:p>
      <w:pPr>
        <w:spacing w:after="0" w:line="210" w:lineRule="exact"/>
        <w:rPr>
          <w:rFonts w:ascii="Arial" w:cs="Arial" w:eastAsia="Arial" w:hAnsi="Arial"/>
          <w:sz w:val="16"/>
          <w:szCs w:val="16"/>
          <w:color w:val="auto"/>
        </w:rPr>
      </w:pPr>
    </w:p>
    <w:p>
      <w:pPr>
        <w:ind w:right="40" w:firstLine="1305"/>
        <w:spacing w:after="0" w:line="277" w:lineRule="auto"/>
        <w:tabs>
          <w:tab w:leader="none" w:pos="2016"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then for the prepayment of principal on the Canadian Notes, together with accrued and unpaid interest on the principal so prepaid, or held by Canadian LC Issuer and applied to Canadian LC Obligations as they mature; and</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last, for the payment or prepayment of any other Canadian Obligations.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All payments applied to principal or interest on any Canadian Note shall be applied first to any interest then due and payable, then to principal then due and payable, and last to any prepayment of principal and accrued interest thereon in compliance with Sections 2.8 and 2.9, as applicable. All distributions of amounts described in any of subsections (ii), (iii), or (iv) above shall be made by Canadian Administrative Agent pro rata to each Canadian Lender Party then owed Canadian Obligations described in such subsection in proportion to all amounts owed to all Canadian Lender Parties which are described in such subsection; provided that if any Canadian Lender then owes payments to Canadian LC Issuer for the purchase of a participation under Section 2.10(a ) or to Canadian Administrative Agent under Section 9.10, any amounts otherwise distributable under this section to such Canadian Lender shall be deemed to belong to Canadian LC Issuer, or Canadian Administrative Agent, respectively, to the extent of such unpaid payments, and Canadian Administrative Agent shall apply such amounts to make such unpaid payments rather than distribute such amounts to such Canadian Lender.</w:t>
      </w:r>
    </w:p>
    <w:p>
      <w:pPr>
        <w:spacing w:after="0" w:line="166" w:lineRule="exact"/>
        <w:rPr>
          <w:sz w:val="20"/>
          <w:szCs w:val="20"/>
          <w:color w:val="auto"/>
        </w:rPr>
      </w:pPr>
    </w:p>
    <w:p>
      <w:pPr>
        <w:ind w:right="80" w:firstLine="656"/>
        <w:spacing w:after="0" w:line="293" w:lineRule="auto"/>
        <w:tabs>
          <w:tab w:leader="none" w:pos="1353" w:val="left"/>
        </w:tabs>
        <w:numPr>
          <w:ilvl w:val="0"/>
          <w:numId w:val="85"/>
        </w:numPr>
        <w:rPr>
          <w:rFonts w:ascii="Arial" w:cs="Arial" w:eastAsia="Arial" w:hAnsi="Arial"/>
          <w:sz w:val="16"/>
          <w:szCs w:val="16"/>
          <w:color w:val="auto"/>
        </w:rPr>
      </w:pPr>
      <w:r>
        <w:rPr>
          <w:rFonts w:ascii="Arial" w:cs="Arial" w:eastAsia="Arial" w:hAnsi="Arial"/>
          <w:sz w:val="16"/>
          <w:szCs w:val="16"/>
          <w:color w:val="auto"/>
        </w:rPr>
        <w:t>Unless Administrative Agent or Canadian Administrative Agent shall have received notice from the relevant Borrower prior to the date on which any payment is due to Administrative Agent or Canadian Administrative Agent, as the case may be, for the account of the Lenders or any LC Issuer hereunder that such Borrower will not make such payment, Administrative Agent or Canadian Administrative Agent, as the case may be, may assume that such Borrower has made such payment on such date in accordance herewith and may, in reliance upon such assumption, distribute to the appropriate Lenders or the L/C Issuer, as the case may be, the amount due. In such event, if such Borrower has not in fact made such payment, then each of such Lenders or the L/C Issuer, as the case may be, severally agrees to repay to Administrative Agent or Canadian Administrative Agent, as appropriate, forthwith on demand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amount so distributed to such Lender or the L/C Issuer, in immediately available funds with interest thereon, for each day from and including the date such amount is distributed to it to but excluding the date of payment to Administrative Agent or Canadian Administrative Agent, at the greater of the Federal Funds Rate (or, as to Canadian Dollar-denominated amounts, the “Bank Rate” as set by the Bank of Canada, as quoted on Reuters page BOCFAD) and a rate determined by Administrative Agent or Canadian Administrative Agent, as appropriate, in accordance with banking industry rules on interbank compensation. A notice of Administrative Agent or Canadian Administrative Agent to any Lender with respect to any amount owing under this subsection (d) shall be conclusive, absent manifest error.</w:t>
      </w:r>
    </w:p>
    <w:p>
      <w:pPr>
        <w:spacing w:after="0" w:line="193"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Capital Reimbursement</w:t>
      </w:r>
      <w:r>
        <w:rPr>
          <w:rFonts w:ascii="Arial" w:cs="Arial" w:eastAsia="Arial" w:hAnsi="Arial"/>
          <w:sz w:val="16"/>
          <w:szCs w:val="16"/>
          <w:color w:val="auto"/>
        </w:rPr>
        <w:t>. If either (a) the introduction or implementation of or the compliance with or any change in or in the interpretation of any Law, or (b) the introduction or implementation of or the compliance with any request, directive or guideline from any central bank or other governmental authority (whether or not having the force of Law) affects or would affect the amount of capital required or expected to be maintained by any Lender Party or any corporation controlling any Lender Party, then, within five Business Days after demand by such Lender Party, the relevant Borrower</w:t>
      </w:r>
    </w:p>
    <w:p>
      <w:pPr>
        <w:sectPr>
          <w:pgSz w:w="11900" w:h="16945" w:orient="portrait"/>
          <w:cols w:equalWidth="0" w:num="1">
            <w:col w:w="11420"/>
          </w:cols>
          <w:pgMar w:left="240" w:top="125" w:right="239" w:bottom="0" w:gutter="0" w:footer="0" w:header="0"/>
        </w:sectPr>
      </w:pPr>
    </w:p>
    <w:bookmarkStart w:id="36" w:name="page37"/>
    <w:bookmarkEnd w:id="36"/>
    <w:p>
      <w:pPr>
        <w:ind w:right="80"/>
        <w:spacing w:after="0" w:line="276" w:lineRule="auto"/>
        <w:rPr>
          <w:sz w:val="20"/>
          <w:szCs w:val="20"/>
          <w:color w:val="auto"/>
        </w:rPr>
      </w:pPr>
      <w:r>
        <w:rPr>
          <w:rFonts w:ascii="Arial" w:cs="Arial" w:eastAsia="Arial" w:hAnsi="Arial"/>
          <w:sz w:val="17"/>
          <w:szCs w:val="17"/>
          <w:color w:val="auto"/>
        </w:rPr>
        <w:t>will pay to the relevant Agent for the benefit of such Lender Party, from time to time as specified by such Lender Party, such additional amount or amounts which such Lender Party shall determine to be appropriate to compensate such Lender Party or any corporation controlling such Lender Party in light of such circumstances, to the extent that such Lender Party reasonably determines that the amount of any such capital would be increased or the rate of return on any such capital would be reduced by or in whole or in part based on the existence of the face amount of such Lender Party’s Loans, Letters of Credit, participations in Letters of Credit, in Banker’s Acceptances, or commitments under this Agreement.</w:t>
      </w:r>
    </w:p>
    <w:p>
      <w:pPr>
        <w:spacing w:after="0" w:line="173"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Increased Cost of Eurodollar Loans or Letters of Credit</w:t>
      </w:r>
      <w:r>
        <w:rPr>
          <w:rFonts w:ascii="Arial" w:cs="Arial" w:eastAsia="Arial" w:hAnsi="Arial"/>
          <w:sz w:val="18"/>
          <w:szCs w:val="18"/>
          <w:color w:val="auto"/>
        </w:rPr>
        <w:t>. If any applicable Law (whether now in effect or hereinafter enacted or promulgated, including Regulation D) or any interpretation or administration thereof by any governmental authority charged with the interpretation or administration thereof (whether or not having the force of Law):</w:t>
      </w:r>
    </w:p>
    <w:p>
      <w:pPr>
        <w:spacing w:after="0" w:line="181" w:lineRule="exact"/>
        <w:rPr>
          <w:sz w:val="20"/>
          <w:szCs w:val="20"/>
          <w:color w:val="auto"/>
        </w:rPr>
      </w:pPr>
    </w:p>
    <w:p>
      <w:pPr>
        <w:ind w:firstLine="656"/>
        <w:spacing w:after="0" w:line="302" w:lineRule="auto"/>
        <w:tabs>
          <w:tab w:leader="none" w:pos="1343" w:val="left"/>
        </w:tabs>
        <w:numPr>
          <w:ilvl w:val="0"/>
          <w:numId w:val="86"/>
        </w:numPr>
        <w:rPr>
          <w:rFonts w:ascii="Arial" w:cs="Arial" w:eastAsia="Arial" w:hAnsi="Arial"/>
          <w:sz w:val="16"/>
          <w:szCs w:val="16"/>
          <w:color w:val="auto"/>
        </w:rPr>
      </w:pPr>
      <w:r>
        <w:rPr>
          <w:rFonts w:ascii="Arial" w:cs="Arial" w:eastAsia="Arial" w:hAnsi="Arial"/>
          <w:sz w:val="16"/>
          <w:szCs w:val="16"/>
          <w:color w:val="auto"/>
        </w:rPr>
        <w:t>shall change the basis of taxation of payments to any Lender Party of any principal, interest, or other amounts attributable to any Eurodollar Loan or Letter of Credit or otherwise due under this Agreement in respect of any Eurodollar Loan or Letter of Credit (other than taxes imposed on, or measured by such Lender’ Party’s overall net income (however denominated), and franchise taxes imposed on such Lender Party (in lieu of net income taxes) or any Applicable Lending Office of such Lender Party by any jurisdiction in which such Lender Party or any such Applicable Lending Office is located); or</w:t>
      </w:r>
    </w:p>
    <w:p>
      <w:pPr>
        <w:spacing w:after="0" w:line="154" w:lineRule="exact"/>
        <w:rPr>
          <w:rFonts w:ascii="Arial" w:cs="Arial" w:eastAsia="Arial" w:hAnsi="Arial"/>
          <w:sz w:val="16"/>
          <w:szCs w:val="16"/>
          <w:color w:val="auto"/>
        </w:rPr>
      </w:pPr>
    </w:p>
    <w:p>
      <w:pPr>
        <w:ind w:right="120" w:firstLine="656"/>
        <w:spacing w:after="0" w:line="264" w:lineRule="auto"/>
        <w:tabs>
          <w:tab w:leader="none" w:pos="1353" w:val="left"/>
        </w:tabs>
        <w:numPr>
          <w:ilvl w:val="0"/>
          <w:numId w:val="86"/>
        </w:numPr>
        <w:rPr>
          <w:rFonts w:ascii="Arial" w:cs="Arial" w:eastAsia="Arial" w:hAnsi="Arial"/>
          <w:sz w:val="18"/>
          <w:szCs w:val="18"/>
          <w:color w:val="auto"/>
        </w:rPr>
      </w:pPr>
      <w:r>
        <w:rPr>
          <w:rFonts w:ascii="Arial" w:cs="Arial" w:eastAsia="Arial" w:hAnsi="Arial"/>
          <w:sz w:val="18"/>
          <w:szCs w:val="18"/>
          <w:color w:val="auto"/>
        </w:rPr>
        <w:t>shall change, impose, modify, apply or deem applicable any reserve, special deposit or similar requirements in respect of any Eurodollar Loan or any Letter of Credit (excluding those for which such Lender Party is fully compensated pursuant to adjustments made in the definition of Eurodollar Rate) or against assets of, deposits with or for the account of, or credit extended by, such Lender Party; or</w:t>
      </w:r>
    </w:p>
    <w:p>
      <w:pPr>
        <w:spacing w:after="0" w:line="181" w:lineRule="exact"/>
        <w:rPr>
          <w:rFonts w:ascii="Arial" w:cs="Arial" w:eastAsia="Arial" w:hAnsi="Arial"/>
          <w:sz w:val="18"/>
          <w:szCs w:val="18"/>
          <w:color w:val="auto"/>
        </w:rPr>
      </w:pPr>
    </w:p>
    <w:p>
      <w:pPr>
        <w:ind w:firstLine="656"/>
        <w:spacing w:after="0" w:line="277" w:lineRule="auto"/>
        <w:tabs>
          <w:tab w:leader="none" w:pos="1343" w:val="left"/>
        </w:tabs>
        <w:numPr>
          <w:ilvl w:val="0"/>
          <w:numId w:val="86"/>
        </w:numPr>
        <w:rPr>
          <w:rFonts w:ascii="Arial" w:cs="Arial" w:eastAsia="Arial" w:hAnsi="Arial"/>
          <w:sz w:val="18"/>
          <w:szCs w:val="18"/>
          <w:color w:val="auto"/>
        </w:rPr>
      </w:pPr>
      <w:r>
        <w:rPr>
          <w:rFonts w:ascii="Arial" w:cs="Arial" w:eastAsia="Arial" w:hAnsi="Arial"/>
          <w:sz w:val="18"/>
          <w:szCs w:val="18"/>
          <w:color w:val="auto"/>
        </w:rPr>
        <w:t>shall impose on any Lender Party or the interbank Eurocurrency deposit market any other condition affecting any Eurodollar Loan or Letter of Credit, the result of which is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increase the cost to any Lender Party of funding or maintaining any Eurodollar Loan or of issuing any Letter of Credit or to reduce the amount of any sum receivable by any Lender Party in respect of any Eurodollar Loan or Letter of Credit by an amount deemed by such Lender Party to be material, then such Lender Party shall promptly notify relevant Agent and relevant Borrower in writing of the happening of such event and of the amount required to compensate such Lender Party for such event (on an after-tax basis, taking into account any taxes on such compensation), whereupon (i) relevant Borrower shall, within five Business Days after demand therefor by such Lender Party, pay such amount to relevant Agent for the account of such Lender Party and (ii) relevant Borrower may elect, by giving to relevant Agent and such Lender Party not less than three Business Days’ notice, to Convert all (but not less than all) of any such Eurodollar Loans into Base Rate Loans.</w:t>
      </w:r>
    </w:p>
    <w:p>
      <w:pPr>
        <w:spacing w:after="0" w:line="17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Notice; Change of Applicable Lending Office</w:t>
      </w:r>
      <w:r>
        <w:rPr>
          <w:rFonts w:ascii="Arial" w:cs="Arial" w:eastAsia="Arial" w:hAnsi="Arial"/>
          <w:sz w:val="17"/>
          <w:szCs w:val="17"/>
          <w:color w:val="auto"/>
        </w:rPr>
        <w:t>. A Lender Party shall notify the relevant Borrower of any event occurring after the date of this Agreement that will entitle such Lender Party to compensation under Section 3.2, 3.3, or 3.5 hereof as promptly as practicable, but in any event within 180 days, after such Lender Party obtains actual knowledge thereof; provided, that (i) if such Lender Party fails to give such notice within 180 days after it obtains actual knowledge of such an event, such Lender Party shall, with respect to compensation payable pursuant to Section 3.2, 3.3, or 3.5 in respect of any costs resulting from such event, only be entitled to payment under Section 3.2, 3.3, or 3.5 hereof for costs incurred from and after the date 180 days prior to the date that such Lender Party does give such notice and (ii) such Lender Party will designate a different Applicable Lending Office for the Loans affected by such event if such designation will avoid the need for, or reduce the amount of, such compensation and will not, in the sole opinion of such Lender Party, be disadvantageous to such Lender Party, except that such Lender Party shall have no obligation to designate an Applicable Lending Office located in the United States of America. Each Lender Party will furnish to the relevant Borrower a certificate setting forth the basis and amount of each request by such Lender Party for compensation under Section 3.2, 3.3, or 3.5 hereof.</w:t>
      </w:r>
    </w:p>
    <w:p>
      <w:pPr>
        <w:spacing w:after="0" w:line="178"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Availability</w:t>
      </w:r>
      <w:r>
        <w:rPr>
          <w:rFonts w:ascii="Arial" w:cs="Arial" w:eastAsia="Arial" w:hAnsi="Arial"/>
          <w:sz w:val="16"/>
          <w:szCs w:val="16"/>
          <w:color w:val="auto"/>
        </w:rPr>
        <w:t>. If (a) any change in applicable Laws, or in the interpretation or administration thereof of or in any jurisdiction whatsoever, domestic or foreign, shall make it unlawful or impracticable for any Lender Party to fund or maintain Eurodollar Loans, accept BA’s or to issue or participate in Letters of Credit, or shall materially restrict the authority of any Lender Party to purchase or take offshore deposits of dollars (i.e., “Eurodollars”), or (b) any Lender Party determines that matching deposits appropriate to fund or maintain any Eurodollar Loan are not available to it, or (c) any Lender Party determines that the formula for calculating the Eurodollar Rate does not fairly reflect the cost to such Lender Party of making or maintaining loans based on such rate, in each case with respect to the relevant Commitment hereunder, then, upon notice by such Lender Party to the relevant Borrower and the relevant Agent, such Borrower’s right to elect Eurodollar Loans from such Lender Party or issue BA’s (or, if applicable, to obtain Letters of Credit) shall be suspended to the extent and for the duration of such illegality, impracticability or restriction and all Eurodollar Loans of such Lender Party which are then outstanding and all BA’s which are then outstanding or are then the subject of any Borrowing Notice and which cannot lawfully or practicably be maintained, funded or accepted shall immediately become or remain, or shall be funded as, Base Rate Loans of such Lender Party. With respect to each Commitment, the relevant Borrower agrees to indemnify each Lender Party extending credit pursuant thereto, and hold each such Lender Party harmless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against all costs, expenses, claims, penalties, liabilities and damages which may result from any such change in Law, interpretation or administration. Such indemnification shall be on an after-tax basis, taking into account any taxes imposed on the amounts paid as indemnity.</w:t>
      </w:r>
    </w:p>
    <w:p>
      <w:pPr>
        <w:spacing w:after="0" w:line="14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Funding Losses</w:t>
      </w:r>
      <w:r>
        <w:rPr>
          <w:rFonts w:ascii="Arial" w:cs="Arial" w:eastAsia="Arial" w:hAnsi="Arial"/>
          <w:sz w:val="17"/>
          <w:szCs w:val="17"/>
          <w:color w:val="auto"/>
        </w:rPr>
        <w:t>. In addition to its other obligations hereunder, with respect to each Commitment, the relevant Borrower will indemnify each Lender Party extending credit pursuant thereto against, and reimburse each Lender Party on demand for, any loss or expense incurred or sustained by such Lender Party (including any loss or expense incurred by reason of the liquidation or reemployment of deposits or other funds acquired by such Lender Party to fund or maintain Eurodollar Loans), as a result of (a) any payment or prepayment (whether or not authorized or required hereunder) of all or a portion of a Eurodollar Loan on a day other than the day on which the applicable Interest Period ends, (b) any payment or prepayment, whether or not required hereunder, of a Loan made after the delivery, but before the effective date, of a Continuation/Conversion Notice, if such payment or prepayment prevents such Continuation/Conversion Notice from becoming fully effective, (c) the failure of any Loan to be made or of any Continuation/Conversion Notice to become effective due to any condition precedent not being satisfied or due to any other action or inaction of any Restricted Person, or (d) any Conversion (whether or not authorized or required hereunder) of all or any portion of any Eurodollar Loan into a Base Rate Loan or into a different Eurodollar Loan on a day other than the day on which the applicable Interest Period ends. Such indemnification shall be on an after-tax basis, taking into account any taxes imposed on the amounts paid as indemnity.</w:t>
      </w:r>
    </w:p>
    <w:p>
      <w:pPr>
        <w:sectPr>
          <w:pgSz w:w="11900" w:h="16838" w:orient="portrait"/>
          <w:cols w:equalWidth="0" w:num="1">
            <w:col w:w="11420"/>
          </w:cols>
          <w:pgMar w:left="240" w:top="125" w:right="239" w:bottom="0" w:gutter="0" w:footer="0" w:header="0"/>
        </w:sectPr>
      </w:pPr>
    </w:p>
    <w:bookmarkStart w:id="37" w:name="page38"/>
    <w:bookmarkEnd w:id="37"/>
    <w:p>
      <w:pPr>
        <w:spacing w:after="0" w:line="11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Reimbursable Taxes</w:t>
      </w:r>
      <w:r>
        <w:rPr>
          <w:rFonts w:ascii="Arial" w:cs="Arial" w:eastAsia="Arial" w:hAnsi="Arial"/>
          <w:sz w:val="18"/>
          <w:szCs w:val="18"/>
          <w:color w:val="auto"/>
        </w:rPr>
        <w:t>. With respect to the Commitments, the relevant Borrower thereunder covenants and agrees with each Lender Party extending credit pursuant thereto that:</w:t>
      </w:r>
    </w:p>
    <w:p>
      <w:pPr>
        <w:spacing w:after="0" w:line="170" w:lineRule="exact"/>
        <w:rPr>
          <w:sz w:val="20"/>
          <w:szCs w:val="20"/>
          <w:color w:val="auto"/>
        </w:rPr>
      </w:pPr>
    </w:p>
    <w:p>
      <w:pPr>
        <w:ind w:right="20" w:firstLine="656"/>
        <w:spacing w:after="0" w:line="290" w:lineRule="auto"/>
        <w:tabs>
          <w:tab w:leader="none" w:pos="1343" w:val="left"/>
        </w:tabs>
        <w:numPr>
          <w:ilvl w:val="0"/>
          <w:numId w:val="87"/>
        </w:numPr>
        <w:rPr>
          <w:rFonts w:ascii="Arial" w:cs="Arial" w:eastAsia="Arial" w:hAnsi="Arial"/>
          <w:sz w:val="16"/>
          <w:szCs w:val="16"/>
          <w:color w:val="auto"/>
        </w:rPr>
      </w:pPr>
      <w:r>
        <w:rPr>
          <w:rFonts w:ascii="Arial" w:cs="Arial" w:eastAsia="Arial" w:hAnsi="Arial"/>
          <w:sz w:val="16"/>
          <w:szCs w:val="16"/>
          <w:color w:val="auto"/>
        </w:rPr>
        <w:t>Such Borrower will indemnify each such Lender Party against and reimburse each such Lender Party for all present and future stamp and other taxes, duties, levies, imposts, deductions, charges, costs, and withholdings whatsoever imposed, assessed, levied or collected on or in respect of this Agreement, any Eurodollar Loans, any BA’s or Letters of Credit (whether or not legally or correctly imposed, assessed, levied or collected) including all taxes imposed pursuant to Part XIII of the Income Tax Act (Canada) and any withholding or other taxes imposed on any Lender Party under Canadian Law, excluding, however, any taxes imposed on or measured by the overall net income (however denominated) and franchise taxes imposed on (in lieu of income taxes) any Agent or such Lender Party or any Applicable Lending Office of such Lender Party by any jurisdiction in which such Lender Party or any such Applicable Lending Office is located (all such non-excluded taxes, levies, costs and charges being collectively called “Reimbursable Taxes” in this section). Such indemnification shall be on an after-tax basis, taking into account any taxes imposed on the amounts paid as indemnity.</w:t>
      </w:r>
    </w:p>
    <w:p>
      <w:pPr>
        <w:spacing w:after="0" w:line="166" w:lineRule="exact"/>
        <w:rPr>
          <w:rFonts w:ascii="Arial" w:cs="Arial" w:eastAsia="Arial" w:hAnsi="Arial"/>
          <w:sz w:val="16"/>
          <w:szCs w:val="16"/>
          <w:color w:val="auto"/>
        </w:rPr>
      </w:pPr>
    </w:p>
    <w:p>
      <w:pPr>
        <w:ind w:firstLine="656"/>
        <w:spacing w:after="0" w:line="257" w:lineRule="auto"/>
        <w:tabs>
          <w:tab w:leader="none" w:pos="1353"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payments on account of the principal of, and interest on, each such Lender Party’s Loans and Notes, and all other amounts payable by such Borrower to any such Lender Party hereunder, shall be made in full without set-off or counterclaim and shall be made free and clear of and without deductions or withholdings of any nature by reason of any Reimbursable Taxes, all of which will be for the account of the relevant Borrower. In the event of any such Borrower being compelled by Law to make any such deduction or withholding from any payment to any such Lender Party, such Borrower shall pay on the due date of such payment, by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way of additional interest, such additional amounts as are needed to cause the amount receivable by such Lender Party after such deduction or withholding to equal the amount which would have been receivable in the absence of such deduction or withholding. If any such Borrower should make any deduction or withholding as aforesaid, such Borrower shall within 60 days thereafter forward to such Lender Party an official receipt or other official document evidencing payment of such deduction or withholding.</w:t>
      </w:r>
    </w:p>
    <w:p>
      <w:pPr>
        <w:spacing w:after="0" w:line="187" w:lineRule="exact"/>
        <w:rPr>
          <w:sz w:val="20"/>
          <w:szCs w:val="20"/>
          <w:color w:val="auto"/>
        </w:rPr>
      </w:pPr>
    </w:p>
    <w:p>
      <w:pPr>
        <w:jc w:val="both"/>
        <w:ind w:right="400" w:firstLine="656"/>
        <w:spacing w:after="0" w:line="286" w:lineRule="auto"/>
        <w:tabs>
          <w:tab w:leader="none" w:pos="1343" w:val="left"/>
        </w:tabs>
        <w:numPr>
          <w:ilvl w:val="0"/>
          <w:numId w:val="88"/>
        </w:numPr>
        <w:rPr>
          <w:rFonts w:ascii="Arial" w:cs="Arial" w:eastAsia="Arial" w:hAnsi="Arial"/>
          <w:sz w:val="17"/>
          <w:szCs w:val="17"/>
          <w:color w:val="auto"/>
        </w:rPr>
      </w:pPr>
      <w:r>
        <w:rPr>
          <w:rFonts w:ascii="Arial" w:cs="Arial" w:eastAsia="Arial" w:hAnsi="Arial"/>
          <w:sz w:val="17"/>
          <w:szCs w:val="17"/>
          <w:color w:val="auto"/>
        </w:rPr>
        <w:t>If any such Borrower is ever required to pay any Reimbursable Tax with respect to any Eurodollar Loan, such Borrower may elect, by giving to the relevant Agent and such Lender Party not less than three Business Days’ notice, to Convert all (but not less than all) of any such Eurodollar Loan into a Base Rate Loan, but such election shall not diminish such Borrower’s obligation to pay all Reimbursable Taxes.</w:t>
      </w:r>
    </w:p>
    <w:p>
      <w:pPr>
        <w:spacing w:after="0" w:line="165" w:lineRule="exact"/>
        <w:rPr>
          <w:rFonts w:ascii="Arial" w:cs="Arial" w:eastAsia="Arial" w:hAnsi="Arial"/>
          <w:sz w:val="17"/>
          <w:szCs w:val="17"/>
          <w:color w:val="auto"/>
        </w:rPr>
      </w:pPr>
    </w:p>
    <w:p>
      <w:pPr>
        <w:ind w:firstLine="656"/>
        <w:spacing w:after="0" w:line="286" w:lineRule="auto"/>
        <w:tabs>
          <w:tab w:leader="none" w:pos="1353" w:val="left"/>
        </w:tabs>
        <w:numPr>
          <w:ilvl w:val="0"/>
          <w:numId w:val="88"/>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such Borrower shall be entitled, to the extent it is required to do so by Law, to deduct or withhold (and not to make any indemnification or reimbursement for) income or other similar taxes imposed by the United States of America or Canada (other than any portion thereof attributable to a change in federal income tax Laws effected after the date hereof) from interest, fees or other amounts payable hereunder for the account of such Lender Party, other than such a Lender Party (i) who is a US person for Federal income tax purposes or (ii) who has the Prescribed Forms on file with Administrative Agent (with copies provided to the relevant Borrower) for the applicable year to the extent deduction or withholding of such taxes is not required as a result of the filing of such Prescribed Forms, provided that if such Borrower shall so deduct or withhold any such taxes, it shall provide a statement to Administrative Agent and such Lender Party, setting forth the amount of such taxes so deducted or withheld, the applicable rate and any other information or documentation which such Lender Party may reasonably request for assisting such Lender Party to obtain any allowable credits or deductions for the taxes so deducted or withheld in the jurisdiction or jurisdictions in which such Lender Party is subject to tax. As used in this section, “Prescribed Forms” means such duly executed forms or statements, and in such number of copies, which may, from time to time, be prescribed by Law and which, pursuant to applicable provisions of (x) an income tax treaty between the United States and the country of residence of such Lender Party providing the forms or statements, (y) the Code, or (z) any applicable rules or regulations thereunder, permit such Borrower to make payments hereunder for the account of such Lender Party free of such deduction or withholding of income or similar taxes.</w:t>
      </w:r>
    </w:p>
    <w:p>
      <w:pPr>
        <w:spacing w:after="0" w:line="174" w:lineRule="exact"/>
        <w:rPr>
          <w:rFonts w:ascii="Arial" w:cs="Arial" w:eastAsia="Arial" w:hAnsi="Arial"/>
          <w:sz w:val="16"/>
          <w:szCs w:val="16"/>
          <w:color w:val="auto"/>
        </w:rPr>
      </w:pPr>
    </w:p>
    <w:p>
      <w:pPr>
        <w:ind w:firstLine="656"/>
        <w:spacing w:after="0" w:line="266" w:lineRule="auto"/>
        <w:tabs>
          <w:tab w:leader="none" w:pos="1343"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As of the Closing Date, each Canadian Lender must </w:t>
      </w:r>
      <w:r>
        <w:rPr>
          <w:rFonts w:ascii="Arial" w:cs="Arial" w:eastAsia="Arial" w:hAnsi="Arial"/>
          <w:sz w:val="17"/>
          <w:szCs w:val="17"/>
          <w:color w:val="auto"/>
        </w:rPr>
        <w:t>be a financial institution that is (i) not a non-resident of Canada for the purposes of the</w:t>
      </w:r>
      <w:r>
        <w:rPr>
          <w:rFonts w:ascii="Arial" w:cs="Arial" w:eastAsia="Arial" w:hAnsi="Arial"/>
          <w:sz w:val="18"/>
          <w:szCs w:val="18"/>
          <w:color w:val="auto"/>
        </w:rPr>
        <w:t xml:space="preserve"> </w:t>
      </w:r>
      <w:r>
        <w:rPr>
          <w:rFonts w:ascii="Arial" w:cs="Arial" w:eastAsia="Arial" w:hAnsi="Arial"/>
          <w:sz w:val="17"/>
          <w:szCs w:val="17"/>
          <w:i w:val="1"/>
          <w:iCs w:val="1"/>
          <w:color w:val="auto"/>
        </w:rPr>
        <w:t xml:space="preserve">Income Tax Act </w:t>
      </w:r>
      <w:r>
        <w:rPr>
          <w:rFonts w:ascii="Arial" w:cs="Arial" w:eastAsia="Arial" w:hAnsi="Arial"/>
          <w:sz w:val="17"/>
          <w:szCs w:val="17"/>
          <w:color w:val="auto"/>
        </w:rPr>
        <w:t>(Canada) or (ii) an “authorized foreign bank” as defined in section 2 of the</w:t>
      </w:r>
      <w:r>
        <w:rPr>
          <w:rFonts w:ascii="Arial" w:cs="Arial" w:eastAsia="Arial" w:hAnsi="Arial"/>
          <w:sz w:val="17"/>
          <w:szCs w:val="17"/>
          <w:i w:val="1"/>
          <w:iCs w:val="1"/>
          <w:color w:val="auto"/>
        </w:rPr>
        <w:t xml:space="preserve"> Bank Act </w:t>
      </w:r>
      <w:r>
        <w:rPr>
          <w:rFonts w:ascii="Arial" w:cs="Arial" w:eastAsia="Arial" w:hAnsi="Arial"/>
          <w:sz w:val="17"/>
          <w:szCs w:val="17"/>
          <w:color w:val="auto"/>
        </w:rPr>
        <w:t>(Canada) and in subsection 248(1) of the</w:t>
      </w:r>
      <w:r>
        <w:rPr>
          <w:rFonts w:ascii="Arial" w:cs="Arial" w:eastAsia="Arial" w:hAnsi="Arial"/>
          <w:sz w:val="17"/>
          <w:szCs w:val="17"/>
          <w:i w:val="1"/>
          <w:iCs w:val="1"/>
          <w:color w:val="auto"/>
        </w:rPr>
        <w:t xml:space="preserve"> Income Tax Act </w:t>
      </w:r>
      <w:r>
        <w:rPr>
          <w:rFonts w:ascii="Arial" w:cs="Arial" w:eastAsia="Arial" w:hAnsi="Arial"/>
          <w:sz w:val="17"/>
          <w:szCs w:val="17"/>
          <w:color w:val="auto"/>
        </w:rPr>
        <w:t xml:space="preserve">(Canada), that is not subject to the restrictions and requirements referred to in subsection 524(2) of the </w:t>
      </w:r>
      <w:r>
        <w:rPr>
          <w:rFonts w:ascii="Arial" w:cs="Arial" w:eastAsia="Arial" w:hAnsi="Arial"/>
          <w:sz w:val="17"/>
          <w:szCs w:val="17"/>
          <w:i w:val="1"/>
          <w:iCs w:val="1"/>
          <w:color w:val="auto"/>
        </w:rPr>
        <w:t>Bank Act</w:t>
      </w:r>
      <w:r>
        <w:rPr>
          <w:rFonts w:ascii="Arial" w:cs="Arial" w:eastAsia="Arial" w:hAnsi="Arial"/>
          <w:sz w:val="17"/>
          <w:szCs w:val="17"/>
          <w:color w:val="auto"/>
        </w:rPr>
        <w:t xml:space="preserve"> (Canada) and which will receive all amounts paid or credited to it under its Canadian Loans and Canadian Note in respect of its “Canadian banking business” for the purposes of paragraph 212(13.3)(a) of the </w:t>
      </w:r>
      <w:r>
        <w:rPr>
          <w:rFonts w:ascii="Arial" w:cs="Arial" w:eastAsia="Arial" w:hAnsi="Arial"/>
          <w:sz w:val="17"/>
          <w:szCs w:val="17"/>
          <w:i w:val="1"/>
          <w:iCs w:val="1"/>
          <w:color w:val="auto"/>
        </w:rPr>
        <w:t xml:space="preserve">Income Tax Act </w:t>
      </w:r>
      <w:r>
        <w:rPr>
          <w:rFonts w:ascii="Arial" w:cs="Arial" w:eastAsia="Arial" w:hAnsi="Arial"/>
          <w:sz w:val="17"/>
          <w:szCs w:val="17"/>
          <w:color w:val="auto"/>
        </w:rPr>
        <w:t>(Canada) (a “</w:t>
      </w:r>
      <w:r>
        <w:rPr>
          <w:rFonts w:ascii="Arial" w:cs="Arial" w:eastAsia="Arial" w:hAnsi="Arial"/>
          <w:sz w:val="17"/>
          <w:szCs w:val="17"/>
          <w:u w:val="single" w:color="auto"/>
          <w:color w:val="auto"/>
        </w:rPr>
        <w:t>Canadian Resident Lender</w:t>
      </w:r>
      <w:r>
        <w:rPr>
          <w:rFonts w:ascii="Arial" w:cs="Arial" w:eastAsia="Arial" w:hAnsi="Arial"/>
          <w:sz w:val="17"/>
          <w:szCs w:val="17"/>
          <w:color w:val="auto"/>
        </w:rPr>
        <w:t>”). In the event that a Canadian Lender does not qualify as a Canadian Resident Lender, such Canadian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Lender shall deliver to Canadian Borrowers and the Canadian Administrative Agent on the date on which such Canadian Lender does not qualify as a Canadian Resident Lender, notice that it is not a Canadian Resident Lender. It is acknowledged by the parties that there may be Canadian tax imposed under Part XIII of the </w:t>
      </w:r>
      <w:r>
        <w:rPr>
          <w:rFonts w:ascii="Arial" w:cs="Arial" w:eastAsia="Arial" w:hAnsi="Arial"/>
          <w:sz w:val="17"/>
          <w:szCs w:val="17"/>
          <w:i w:val="1"/>
          <w:iCs w:val="1"/>
          <w:color w:val="auto"/>
        </w:rPr>
        <w:t>Income Tax Act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(Canada) (“</w:t>
      </w:r>
      <w:r>
        <w:rPr>
          <w:rFonts w:ascii="Arial" w:cs="Arial" w:eastAsia="Arial" w:hAnsi="Arial"/>
          <w:sz w:val="16"/>
          <w:szCs w:val="16"/>
          <w:u w:val="single" w:color="auto"/>
          <w:color w:val="auto"/>
        </w:rPr>
        <w:t>Canadian Withholding Tax</w:t>
      </w:r>
      <w:r>
        <w:rPr>
          <w:rFonts w:ascii="Arial" w:cs="Arial" w:eastAsia="Arial" w:hAnsi="Arial"/>
          <w:sz w:val="16"/>
          <w:szCs w:val="16"/>
          <w:color w:val="auto"/>
        </w:rPr>
        <w:t>”) on any payments as, on account or in lieu of payment of, or in satisfaction of, interest and other fees paid by Canadian Borrowers or Canadian Administrative Agent with respect to the Canadian Obligations to persons who are not Canadian Resident Lenders (such payments a “</w:t>
      </w:r>
      <w:r>
        <w:rPr>
          <w:rFonts w:ascii="Arial" w:cs="Arial" w:eastAsia="Arial" w:hAnsi="Arial"/>
          <w:sz w:val="16"/>
          <w:szCs w:val="16"/>
          <w:u w:val="single" w:color="auto"/>
          <w:color w:val="auto"/>
        </w:rPr>
        <w:t>Taxable Payment</w:t>
      </w:r>
      <w:r>
        <w:rPr>
          <w:rFonts w:ascii="Arial" w:cs="Arial" w:eastAsia="Arial" w:hAnsi="Arial"/>
          <w:sz w:val="16"/>
          <w:szCs w:val="16"/>
          <w:color w:val="auto"/>
        </w:rPr>
        <w:t>”). As provided in Section 3.7(a) and (b), Canadian Borrowers shall be obligated to make any additional or increased payment under this Agreement in respect of any Canadian Withholding Tax on a Taxable Payment, and Canadian Borrowers and Canadian Administrative Agent shall be entitled to deduct and remit to the proper Canadian taxing authorities any Canadian Withholding Tax on any Taxable Payment.</w:t>
      </w:r>
    </w:p>
    <w:p>
      <w:pPr>
        <w:spacing w:after="0" w:line="158" w:lineRule="exact"/>
        <w:rPr>
          <w:sz w:val="20"/>
          <w:szCs w:val="20"/>
          <w:color w:val="auto"/>
        </w:rPr>
      </w:pPr>
    </w:p>
    <w:p>
      <w:pPr>
        <w:ind w:right="220" w:firstLine="648"/>
        <w:spacing w:after="0" w:line="271" w:lineRule="auto"/>
        <w:rPr>
          <w:sz w:val="20"/>
          <w:szCs w:val="20"/>
          <w:color w:val="auto"/>
        </w:rPr>
      </w:pPr>
      <w:r>
        <w:rPr>
          <w:rFonts w:ascii="Arial" w:cs="Arial" w:eastAsia="Arial" w:hAnsi="Arial"/>
          <w:sz w:val="17"/>
          <w:szCs w:val="17"/>
          <w:color w:val="auto"/>
        </w:rPr>
        <w:t xml:space="preserve">Section 3.8. </w:t>
      </w:r>
      <w:r>
        <w:rPr>
          <w:rFonts w:ascii="Arial" w:cs="Arial" w:eastAsia="Arial" w:hAnsi="Arial"/>
          <w:sz w:val="17"/>
          <w:szCs w:val="17"/>
          <w:u w:val="single" w:color="auto"/>
          <w:color w:val="auto"/>
        </w:rPr>
        <w:t>Replacement of Lenders</w:t>
      </w:r>
      <w:r>
        <w:rPr>
          <w:rFonts w:ascii="Arial" w:cs="Arial" w:eastAsia="Arial" w:hAnsi="Arial"/>
          <w:sz w:val="17"/>
          <w:szCs w:val="17"/>
          <w:color w:val="auto"/>
        </w:rPr>
        <w:t>. If any Lender Party requests compensation under Sections 3.2 through 3.7, or if any Lender Party has failed to fund any portion of the Loans or participations in LC Obligations required to be funded by it hereunder or failed to issue any Letter of Credit required to be issued by it hereunder, in either case within two Business Days of the date required for such funding or issuance by it hereunder, notwithstanding subsequent cure, or with respect to any Non-Extending Lender under Section 2.1(f) hereof, then any Borrower may, at its sole expense (except as otherwise provided hereunder) and effort, upon notice to such Lender Party and the relevant Agent, require such Lender Party to assign and delegate (in accordance with and subject to the restrictions contained in, and consents required by, Section 10.5), all of its interests, rights and obligations under this Agreement and the related Loan Documents to an assignee that shall assume such obligations (which assignee may be another Lender Party, if a Lender Party accepts such assignment), provided that:</w:t>
      </w:r>
    </w:p>
    <w:p>
      <w:pPr>
        <w:spacing w:after="0" w:line="179" w:lineRule="exact"/>
        <w:rPr>
          <w:sz w:val="20"/>
          <w:szCs w:val="20"/>
          <w:color w:val="auto"/>
        </w:rPr>
      </w:pPr>
    </w:p>
    <w:p>
      <w:pPr>
        <w:jc w:val="both"/>
        <w:ind w:right="80" w:firstLine="656"/>
        <w:spacing w:after="0" w:line="312" w:lineRule="auto"/>
        <w:tabs>
          <w:tab w:leader="none" w:pos="1343" w:val="left"/>
        </w:tabs>
        <w:numPr>
          <w:ilvl w:val="0"/>
          <w:numId w:val="89"/>
        </w:numPr>
        <w:rPr>
          <w:rFonts w:ascii="Arial" w:cs="Arial" w:eastAsia="Arial" w:hAnsi="Arial"/>
          <w:sz w:val="16"/>
          <w:szCs w:val="16"/>
          <w:color w:val="auto"/>
        </w:rPr>
      </w:pPr>
      <w:r>
        <w:rPr>
          <w:rFonts w:ascii="Arial" w:cs="Arial" w:eastAsia="Arial" w:hAnsi="Arial"/>
          <w:sz w:val="16"/>
          <w:szCs w:val="16"/>
          <w:color w:val="auto"/>
        </w:rPr>
        <w:t>such Lender Party shall have received payment of an amount equal to the outstanding principal of its Loans and LC Obligations, accrued interest thereon, accrued fees and all other amounts payable to it hereunder and under the other Loan Documents (including any amounts under Section 3.6) from the assignee (to the extent of such outstanding principal and accrued interest and fees) or the applicable Borrower (in the case of all other amounts); and</w:t>
      </w:r>
    </w:p>
    <w:p>
      <w:pPr>
        <w:sectPr>
          <w:pgSz w:w="11900" w:h="16952" w:orient="portrait"/>
          <w:cols w:equalWidth="0" w:num="1">
            <w:col w:w="11420"/>
          </w:cols>
          <w:pgMar w:left="240" w:top="125" w:right="239" w:bottom="0" w:gutter="0" w:footer="0" w:header="0"/>
        </w:sectPr>
      </w:pPr>
    </w:p>
    <w:bookmarkStart w:id="38" w:name="page39"/>
    <w:bookmarkEnd w:id="38"/>
    <w:p>
      <w:pPr>
        <w:ind w:left="1360" w:hanging="704"/>
        <w:spacing w:after="0"/>
        <w:tabs>
          <w:tab w:leader="none" w:pos="13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Notwithstanding the foregoing rights of each Borrower under this section, however, Borrowers may not replace any Lender Party which seeks reimbursement for increased costs under Section 3.2 through 3.7 unless such Borrower is at the same time replacing all Lender Parties which are then seeking such compensation.</w:t>
      </w:r>
    </w:p>
    <w:p>
      <w:pPr>
        <w:spacing w:after="0" w:line="18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3.9.</w:t>
      </w:r>
      <w:r>
        <w:rPr>
          <w:sz w:val="20"/>
          <w:szCs w:val="20"/>
          <w:color w:val="auto"/>
        </w:rPr>
        <w:tab/>
      </w:r>
      <w:r>
        <w:rPr>
          <w:rFonts w:ascii="Arial" w:cs="Arial" w:eastAsia="Arial" w:hAnsi="Arial"/>
          <w:sz w:val="16"/>
          <w:szCs w:val="16"/>
          <w:u w:val="single" w:color="auto"/>
          <w:color w:val="auto"/>
        </w:rPr>
        <w:t>Currency Conversion and Indemnity</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93" w:lineRule="auto"/>
        <w:tabs>
          <w:tab w:leader="none" w:pos="1343" w:val="left"/>
        </w:tabs>
        <w:numPr>
          <w:ilvl w:val="0"/>
          <w:numId w:val="91"/>
        </w:numPr>
        <w:rPr>
          <w:rFonts w:ascii="Arial" w:cs="Arial" w:eastAsia="Arial" w:hAnsi="Arial"/>
          <w:sz w:val="16"/>
          <w:szCs w:val="16"/>
          <w:color w:val="auto"/>
        </w:rPr>
      </w:pPr>
      <w:r>
        <w:rPr>
          <w:rFonts w:ascii="Arial" w:cs="Arial" w:eastAsia="Arial" w:hAnsi="Arial"/>
          <w:sz w:val="16"/>
          <w:szCs w:val="16"/>
          <w:color w:val="auto"/>
        </w:rPr>
        <w:t>If, for the purpose of obtaining or enforcing judgment in any court in any jurisdiction, it becomes necessary to convert into a particular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any amount due under a Loan Document in the currency in which it was effected (the “</w:t>
      </w:r>
      <w:r>
        <w:rPr>
          <w:rFonts w:ascii="Arial" w:cs="Arial" w:eastAsia="Arial" w:hAnsi="Arial"/>
          <w:sz w:val="16"/>
          <w:szCs w:val="16"/>
          <w:u w:val="single" w:color="auto"/>
          <w:color w:val="auto"/>
        </w:rPr>
        <w:t>Agreed Currency</w:t>
      </w:r>
      <w:r>
        <w:rPr>
          <w:rFonts w:ascii="Arial" w:cs="Arial" w:eastAsia="Arial" w:hAnsi="Arial"/>
          <w:sz w:val="16"/>
          <w:szCs w:val="16"/>
          <w:color w:val="auto"/>
        </w:rPr>
        <w:t>”) then the conversion shall be made on the basis of the rate of exchange prevailing on the Business Day preceding the date such judgment is given and in any event each Restricted Person obligated to pay such Obligation shall be obligated to pay the relevant Lender Parties any deficiency in accordance with Section 3.9(b). For the foregoing purposes “rate of exchange” means the rate at which the relevant Agent, as applicable, in accordance with its normal banking procedures is able on the relevant date to purchase the Agreed Currency with the Judgment Currency after deducting any premium and costs of exchange.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70" w:lineRule="auto"/>
        <w:tabs>
          <w:tab w:leader="none" w:pos="1353" w:val="left"/>
        </w:tabs>
        <w:numPr>
          <w:ilvl w:val="0"/>
          <w:numId w:val="92"/>
        </w:numPr>
        <w:rPr>
          <w:rFonts w:ascii="Arial" w:cs="Arial" w:eastAsia="Arial" w:hAnsi="Arial"/>
          <w:sz w:val="17"/>
          <w:szCs w:val="17"/>
          <w:color w:val="auto"/>
        </w:rPr>
      </w:pPr>
      <w:r>
        <w:rPr>
          <w:rFonts w:ascii="Arial" w:cs="Arial" w:eastAsia="Arial" w:hAnsi="Arial"/>
          <w:sz w:val="17"/>
          <w:szCs w:val="17"/>
          <w:color w:val="auto"/>
        </w:rPr>
        <w:t>If any Lender Party receives any payment or payments on account of the liability of a Restricted Person under the Loan Documents pursuant to any judgment or order in any currency other than the Agreed Currency (an “</w:t>
      </w:r>
      <w:r>
        <w:rPr>
          <w:rFonts w:ascii="Arial" w:cs="Arial" w:eastAsia="Arial" w:hAnsi="Arial"/>
          <w:sz w:val="17"/>
          <w:szCs w:val="17"/>
          <w:u w:val="single" w:color="auto"/>
          <w:color w:val="auto"/>
        </w:rPr>
        <w:t>Other Currency</w:t>
      </w:r>
      <w:r>
        <w:rPr>
          <w:rFonts w:ascii="Arial" w:cs="Arial" w:eastAsia="Arial" w:hAnsi="Arial"/>
          <w:sz w:val="17"/>
          <w:szCs w:val="17"/>
          <w:color w:val="auto"/>
        </w:rPr>
        <w:t>”), and the amount of the Agreed Currency which the relevant Lender Party is able to purchase on the Business Day next following such receipt with the proceeds of such payment or payments in accordance with its normal procedures and after deducting any premiums and costs of exchange is less than the amount of the Agreed Currency due in respect of such Obligations immediately prior to such judgment or order, then the Borrower owing such Obligation on demand shall, and such Borrower hereby agrees to, indemnify and save such Lender Party harmless from and against any loss, cost or expense arising out of or in connection with such deficiency. The agreement of indemnity provided for in this Section 3.9(b) shall constitute an obligation separate and independent from all other obligations contained in this Agreement, shall give rise to a separate and independent cause of action, shall apply irrespective of any indulgence granted by the Lender Parties or any of them from time to time, and shall continue in full force and effect notwithstanding any judgment or order for a liquidated sum in respect of an amount due hereunder or under any judgment or order.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 - Conditions Precedent to Lending</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Documents to be Delivered</w:t>
      </w:r>
      <w:r>
        <w:rPr>
          <w:rFonts w:ascii="Arial" w:cs="Arial" w:eastAsia="Arial" w:hAnsi="Arial"/>
          <w:sz w:val="17"/>
          <w:szCs w:val="17"/>
          <w:color w:val="auto"/>
        </w:rPr>
        <w:t>. No Lender has any obligation to make its first Loan, and no LC Issuer has any obligation to issue the first Letter of Credit, unless Administrative Agent shall have received all of the following, at Administrative Agent’s office in Boston, Massachusetts, duly executed and delivered and in form, substance and date satisfactory to Administrative Agent, each of which was so executed and delivered:</w:t>
      </w:r>
    </w:p>
    <w:p>
      <w:pPr>
        <w:spacing w:after="0" w:line="166" w:lineRule="exact"/>
        <w:rPr>
          <w:sz w:val="20"/>
          <w:szCs w:val="20"/>
          <w:color w:val="auto"/>
        </w:rPr>
      </w:pPr>
    </w:p>
    <w:p>
      <w:pPr>
        <w:ind w:left="1360" w:hanging="704"/>
        <w:spacing w:after="0"/>
        <w:tabs>
          <w:tab w:leader="none" w:pos="13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This Agreement and any other document that Lenders are to execute in connection herewith.</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Note and the guaranty of each Guarantor.</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Certain certificates including:</w:t>
      </w:r>
    </w:p>
    <w:p>
      <w:pPr>
        <w:spacing w:after="0" w:line="225" w:lineRule="exact"/>
        <w:rPr>
          <w:rFonts w:ascii="Arial" w:cs="Arial" w:eastAsia="Arial" w:hAnsi="Arial"/>
          <w:sz w:val="18"/>
          <w:szCs w:val="18"/>
          <w:color w:val="auto"/>
        </w:rPr>
      </w:pPr>
    </w:p>
    <w:p>
      <w:pPr>
        <w:ind w:right="20" w:firstLine="1305"/>
        <w:spacing w:after="0" w:line="293" w:lineRule="auto"/>
        <w:tabs>
          <w:tab w:leader="none" w:pos="2006" w:val="left"/>
        </w:tabs>
        <w:numPr>
          <w:ilvl w:val="1"/>
          <w:numId w:val="93"/>
        </w:numPr>
        <w:rPr>
          <w:rFonts w:ascii="Arial" w:cs="Arial" w:eastAsia="Arial" w:hAnsi="Arial"/>
          <w:sz w:val="16"/>
          <w:szCs w:val="16"/>
          <w:color w:val="auto"/>
        </w:rPr>
      </w:pPr>
      <w:r>
        <w:rPr>
          <w:rFonts w:ascii="Arial" w:cs="Arial" w:eastAsia="Arial" w:hAnsi="Arial"/>
          <w:sz w:val="16"/>
          <w:szCs w:val="16"/>
          <w:color w:val="auto"/>
        </w:rPr>
        <w:t>An “Omnibus Certificate” of the secretary or assistant secretary and any vice president of GP LLC, which shall contain the names and signatures of the officers of GP LLC authorized to execute Loan Documents and which shall certify to the truth, correctness and completeness of the following exhibits attached thereto: (1) a copy of resolutions duly adopted by the Board and in full force and effect at the time this Agreement is entered into, authorizing the execution of this Agreement and the other Loan Documents delivered or to be delivered in connection herewith and the consummation of the transactions contemplated herein and therein, (2) a copy of the charter documents of US Borrower and all amendments thereto, certified by the appropriate official of its jurisdiction of organization, and (3) a copy of the agreement of limited partnership of US Borrower;</w:t>
      </w:r>
    </w:p>
    <w:p>
      <w:pPr>
        <w:spacing w:after="0" w:line="164" w:lineRule="exact"/>
        <w:rPr>
          <w:rFonts w:ascii="Arial" w:cs="Arial" w:eastAsia="Arial" w:hAnsi="Arial"/>
          <w:sz w:val="16"/>
          <w:szCs w:val="16"/>
          <w:color w:val="auto"/>
        </w:rPr>
      </w:pPr>
    </w:p>
    <w:p>
      <w:pPr>
        <w:jc w:val="both"/>
        <w:ind w:right="100" w:firstLine="1305"/>
        <w:spacing w:after="0" w:line="264" w:lineRule="auto"/>
        <w:tabs>
          <w:tab w:leader="none" w:pos="2011"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 “Omnibus Certificate” of the secretary or assistant secretary and any vice president of Plains Marketing GP Inc., which shall contain the names and signatures of the officers of such company authorized to execute Loan Documents and which shall certify to the truth, correctness and completeness of the following exhibits attached thereto: (1) a copy of</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resolutions duly adopted by the board of directors of such company and in full force and effect at the time this Agreement is entered into, authorizing the execution of this Agreement and the other Loan Documents delivered or to be delivered in connection herewith and the consummation of the transactions contemplated herein and therein, (2) a copy of the charter documents of each Significant Restricted Person, other than those Significant Restricted Persons whose charter documents are attached to the certificates described in Section 4.1(c)(i) above or Section 4.1(c)(iii) below and all amendments thereto, certified by the appropriate official of its jurisdiction of organization, and (3) a copy of any bylaws or agreement of limited partnership of such Significant Restricted Persons;</w:t>
      </w:r>
    </w:p>
    <w:p>
      <w:pPr>
        <w:spacing w:after="0" w:line="193" w:lineRule="exact"/>
        <w:rPr>
          <w:sz w:val="20"/>
          <w:szCs w:val="20"/>
          <w:color w:val="auto"/>
        </w:rPr>
      </w:pPr>
    </w:p>
    <w:p>
      <w:pPr>
        <w:ind w:right="20" w:firstLine="1305"/>
        <w:spacing w:after="0" w:line="254" w:lineRule="auto"/>
        <w:tabs>
          <w:tab w:leader="none" w:pos="2016"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“Omnibus Certificate” of the secretary or assistant secretary and any vice president of PMC (Nova Scotia) Company, which shall contain the names and signatures of the officers of PMC (Nova Scotia) Company authorized to execute Loan Documents and which shall certify to the truth, correctness and completeness of the following exhibits attached thereto: (1) a copy of resolutions duly adopted by the board of directors of PMC (Nova Scotia) Company and in full force and effect at the time this Agreement is entered into, authorizing the execution of this Agreement and the other Loan Documents delivered or to be delivered in connection herewith and the consummation of the transactions contemplated herein and therein, (2) a copy of the charter documents of PMC (Nova Scotia) Company and Plains Marketing Canada, L.P. and all amendments thereto, certified by the appropriate official of its jurisdiction of organization, and (3) a copy of the bylaws of PMC (Nova Scotia) Company and the agreement of limited partnership of Plains Marketing Canada, L.P.; and</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certificate of a Responsible Officer of GP LLC, regarding satisfaction of Section 4.2.</w:t>
      </w:r>
    </w:p>
    <w:p>
      <w:pPr>
        <w:sectPr>
          <w:pgSz w:w="11900" w:h="16838" w:orient="portrait"/>
          <w:cols w:equalWidth="0" w:num="1">
            <w:col w:w="11400"/>
          </w:cols>
          <w:pgMar w:left="240" w:top="341" w:right="259" w:bottom="0" w:gutter="0" w:footer="0" w:header="0"/>
        </w:sectPr>
      </w:pPr>
    </w:p>
    <w:bookmarkStart w:id="39" w:name="page40"/>
    <w:bookmarkEnd w:id="39"/>
    <w:p>
      <w:pPr>
        <w:spacing w:after="0" w:line="106" w:lineRule="exact"/>
        <w:rPr>
          <w:sz w:val="20"/>
          <w:szCs w:val="20"/>
          <w:color w:val="auto"/>
        </w:rPr>
      </w:pPr>
    </w:p>
    <w:p>
      <w:pPr>
        <w:ind w:right="60" w:firstLine="656"/>
        <w:spacing w:after="0" w:line="277" w:lineRule="auto"/>
        <w:tabs>
          <w:tab w:leader="none" w:pos="1353"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certificate (or certificates) of the due formation, valid existence and good standing of each Significant Restricted Person in its respective jurisdiction of organization, issued by the appropriate authorities of such jurisdiction.</w:t>
      </w:r>
    </w:p>
    <w:p>
      <w:pPr>
        <w:spacing w:after="0" w:line="170" w:lineRule="exact"/>
        <w:rPr>
          <w:rFonts w:ascii="Arial" w:cs="Arial" w:eastAsia="Arial" w:hAnsi="Arial"/>
          <w:sz w:val="18"/>
          <w:szCs w:val="18"/>
          <w:color w:val="auto"/>
        </w:rPr>
      </w:pPr>
    </w:p>
    <w:p>
      <w:pPr>
        <w:ind w:right="120" w:firstLine="656"/>
        <w:spacing w:after="0" w:line="264" w:lineRule="auto"/>
        <w:tabs>
          <w:tab w:leader="none" w:pos="1343" w:val="left"/>
        </w:tabs>
        <w:numPr>
          <w:ilvl w:val="0"/>
          <w:numId w:val="95"/>
        </w:numPr>
        <w:rPr>
          <w:rFonts w:ascii="Arial" w:cs="Arial" w:eastAsia="Arial" w:hAnsi="Arial"/>
          <w:sz w:val="18"/>
          <w:szCs w:val="18"/>
          <w:color w:val="auto"/>
        </w:rPr>
      </w:pPr>
      <w:r>
        <w:rPr>
          <w:rFonts w:ascii="Arial" w:cs="Arial" w:eastAsia="Arial" w:hAnsi="Arial"/>
          <w:sz w:val="18"/>
          <w:szCs w:val="18"/>
          <w:color w:val="auto"/>
        </w:rPr>
        <w:t>Favorable opinions of Tim Moore, Esq., General Counsel for Restricted Persons, substantially in the form set forth in Exhibit E-1, Fulbright &amp; Jaworski L.L.P., special Texas and New York counsel to Restricted Persons, substantially in the form set forth in Exhibit E-2, and Bennett Jones LLP, special Canadian Counsel for Restricted Persons, substantially in the form set forth in Exhibit E-3.</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[Intentionally deleted]</w:t>
      </w:r>
    </w:p>
    <w:p>
      <w:pPr>
        <w:spacing w:after="0" w:line="225" w:lineRule="exact"/>
        <w:rPr>
          <w:rFonts w:ascii="Arial" w:cs="Arial" w:eastAsia="Arial" w:hAnsi="Arial"/>
          <w:sz w:val="18"/>
          <w:szCs w:val="18"/>
          <w:color w:val="auto"/>
        </w:rPr>
      </w:pPr>
    </w:p>
    <w:p>
      <w:pPr>
        <w:ind w:right="460" w:firstLine="656"/>
        <w:spacing w:after="0" w:line="277" w:lineRule="auto"/>
        <w:tabs>
          <w:tab w:leader="none" w:pos="1353"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Consolidated financial statements of US Borrower and its Subsidiaries as of March 31, 2006, reflecting compliance with Section 7.8, together with a certificate by a Responsible Officer of GP LLC certifying such financial statements.</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 Material Adverse Change shall have occurred since December 31, 2005.</w:t>
      </w:r>
    </w:p>
    <w:p>
      <w:pPr>
        <w:spacing w:after="0" w:line="225" w:lineRule="exact"/>
        <w:rPr>
          <w:rFonts w:ascii="Arial" w:cs="Arial" w:eastAsia="Arial" w:hAnsi="Arial"/>
          <w:sz w:val="18"/>
          <w:szCs w:val="18"/>
          <w:color w:val="auto"/>
        </w:rPr>
      </w:pPr>
    </w:p>
    <w:p>
      <w:pPr>
        <w:ind w:right="580" w:firstLine="656"/>
        <w:spacing w:after="0" w:line="264" w:lineRule="auto"/>
        <w:tabs>
          <w:tab w:leader="none" w:pos="1358" w:val="left"/>
        </w:tabs>
        <w:numPr>
          <w:ilvl w:val="0"/>
          <w:numId w:val="95"/>
        </w:numPr>
        <w:rPr>
          <w:rFonts w:ascii="Arial" w:cs="Arial" w:eastAsia="Arial" w:hAnsi="Arial"/>
          <w:sz w:val="18"/>
          <w:szCs w:val="18"/>
          <w:color w:val="auto"/>
        </w:rPr>
      </w:pPr>
      <w:r>
        <w:rPr>
          <w:rFonts w:ascii="Arial" w:cs="Arial" w:eastAsia="Arial" w:hAnsi="Arial"/>
          <w:sz w:val="18"/>
          <w:szCs w:val="18"/>
          <w:color w:val="auto"/>
        </w:rPr>
        <w:t>Administrative Agent shall have received all documents and instruments which Administrative Agent has then requested (including opinions of legal counsel for Restricted Persons and Administrative Agent; corporate documents and records; documents evidencing governmental authorizations, consents, approvals, licenses and exemptions; and certificates of</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public officials and of officers and representatives of Borrowers and other Persons), as to (i) the accuracy and validity of or compliance with all representations, warranties and covenants made by any Restricted Person in this Agreement and the other Loan Documents, (ii) the satisfaction of all conditions contained herein or therein, and (iii) all other matters pertaining hereto and thereto. All such additional documents and instruments shall be satisfactory to Administrative Agent in form and substance.</w:t>
      </w:r>
    </w:p>
    <w:p>
      <w:pPr>
        <w:spacing w:after="0" w:line="187" w:lineRule="exact"/>
        <w:rPr>
          <w:sz w:val="20"/>
          <w:szCs w:val="20"/>
          <w:color w:val="auto"/>
        </w:rPr>
      </w:pPr>
    </w:p>
    <w:p>
      <w:pPr>
        <w:ind w:right="40" w:firstLine="656"/>
        <w:spacing w:after="0" w:line="277" w:lineRule="auto"/>
        <w:tabs>
          <w:tab w:leader="none" w:pos="1358" w:val="left"/>
        </w:tabs>
        <w:numPr>
          <w:ilvl w:val="0"/>
          <w:numId w:val="96"/>
        </w:numPr>
        <w:rPr>
          <w:rFonts w:ascii="Arial" w:cs="Arial" w:eastAsia="Arial" w:hAnsi="Arial"/>
          <w:sz w:val="18"/>
          <w:szCs w:val="18"/>
          <w:color w:val="auto"/>
        </w:rPr>
      </w:pPr>
      <w:r>
        <w:rPr>
          <w:rFonts w:ascii="Arial" w:cs="Arial" w:eastAsia="Arial" w:hAnsi="Arial"/>
          <w:sz w:val="18"/>
          <w:szCs w:val="18"/>
          <w:color w:val="auto"/>
        </w:rPr>
        <w:t>Payment of all commitment, facility, agency and other fees required to be paid to any Agent or Lender pursuant to any Loan Documents or any commitment agreement heretofore entered into.</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Without limiting the generality of the provisions of Section 9.4, for purposes of determining compliance with the conditions specified in this Section 4.1, each Lender that has signed this Agreement shall be deemed to have consented to, approved or accepted or to be satisfied with, each document or other matter required thereunder to be consented to or approved by or acceptable or satisfactory to a Lender unless Administrative Agent shall have received notice from such Lender prior to the proposed Closing Date specifying its objection thereto, and Administrative Agent hereby agrees to promptly provide US Borrower with a copy of any such notice received by Administrative Agent.</w:t>
      </w:r>
    </w:p>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Additional Conditions Precedent</w:t>
      </w:r>
      <w:r>
        <w:rPr>
          <w:rFonts w:ascii="Arial" w:cs="Arial" w:eastAsia="Arial" w:hAnsi="Arial"/>
          <w:sz w:val="18"/>
          <w:szCs w:val="18"/>
          <w:color w:val="auto"/>
        </w:rPr>
        <w:t>. No Lender has any obligation to make any Loan (including its first), and no LC Issuer has any obligation to issue any Letter of Credit (including its first), unless the following conditions precedent have been satisfied:</w:t>
      </w:r>
    </w:p>
    <w:p>
      <w:pPr>
        <w:spacing w:after="0" w:line="170" w:lineRule="exact"/>
        <w:rPr>
          <w:sz w:val="20"/>
          <w:szCs w:val="20"/>
          <w:color w:val="auto"/>
        </w:rPr>
      </w:pPr>
    </w:p>
    <w:p>
      <w:pPr>
        <w:jc w:val="both"/>
        <w:ind w:right="140" w:firstLine="656"/>
        <w:spacing w:after="0" w:line="279" w:lineRule="auto"/>
        <w:tabs>
          <w:tab w:leader="none" w:pos="1343" w:val="left"/>
        </w:tabs>
        <w:numPr>
          <w:ilvl w:val="0"/>
          <w:numId w:val="97"/>
        </w:numPr>
        <w:rPr>
          <w:rFonts w:ascii="Arial" w:cs="Arial" w:eastAsia="Arial" w:hAnsi="Arial"/>
          <w:sz w:val="17"/>
          <w:szCs w:val="17"/>
          <w:color w:val="auto"/>
        </w:rPr>
      </w:pPr>
      <w:r>
        <w:rPr>
          <w:rFonts w:ascii="Arial" w:cs="Arial" w:eastAsia="Arial" w:hAnsi="Arial"/>
          <w:sz w:val="17"/>
          <w:szCs w:val="17"/>
          <w:color w:val="auto"/>
        </w:rPr>
        <w:t>All representations and warranties made by any Restricted Person in any Loan Document shall be true on and as of the date of such Loan or the date of issuance of such Letter of Credit as if such representations and warranties had been made as of the date of such Loan or the date of issuance of such Letter of Credit except to the extent that such representation or warranty was made as of a specific date or updated, modified or supplemented as of a subsequent date with the consent of Majority Lenders, then in each such case, such other date.</w:t>
      </w:r>
    </w:p>
    <w:p>
      <w:pPr>
        <w:spacing w:after="0" w:line="171" w:lineRule="exact"/>
        <w:rPr>
          <w:rFonts w:ascii="Arial" w:cs="Arial" w:eastAsia="Arial" w:hAnsi="Arial"/>
          <w:sz w:val="17"/>
          <w:szCs w:val="17"/>
          <w:color w:val="auto"/>
        </w:rPr>
      </w:pPr>
    </w:p>
    <w:p>
      <w:pPr>
        <w:ind w:right="60" w:firstLine="656"/>
        <w:spacing w:after="0" w:line="277" w:lineRule="auto"/>
        <w:tabs>
          <w:tab w:leader="none" w:pos="1353"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 Default shall exist at the date of such Loan or the date of issuance of such Letter of Credit or result from such Loan or such issuance of such Letter of Credit.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 - Representations and Warranties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To confirm each Lender’s understanding concerning Restricted Persons and Restricted Persons’ businesses, properties and obligations and to induce each Lender to enter into this Agreement and to extend credit hereunder, each of US Borrower and, with respect to itself and its Subsidiaries, the other Borrowers represents and warrants to each Lender that:</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No Default</w:t>
      </w:r>
      <w:r>
        <w:rPr>
          <w:rFonts w:ascii="Arial" w:cs="Arial" w:eastAsia="Arial" w:hAnsi="Arial"/>
          <w:sz w:val="18"/>
          <w:szCs w:val="18"/>
          <w:color w:val="auto"/>
        </w:rPr>
        <w:t>. No event has occurred and is continuing which constitutes a Default, except as has been waived in accordance with this Agreement.</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Organization and Good Standing</w:t>
      </w:r>
      <w:r>
        <w:rPr>
          <w:rFonts w:ascii="Arial" w:cs="Arial" w:eastAsia="Arial" w:hAnsi="Arial"/>
          <w:sz w:val="18"/>
          <w:szCs w:val="18"/>
          <w:color w:val="auto"/>
        </w:rPr>
        <w:t>. Each Significant Restricted Person is duly organized or formed, validly existing and in good standing under the Laws of its jurisdiction of organization or formation, having all requisite corporate or similar powers required to carry on its business and enter into and carry out the transactions contemplated hereby. Each Significant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Restricted Person is duly qualified, in good standing, and authorized to do business in all other jurisdictions wherein the character of the properties owned or held by it or the nature of the business transacted by it makes such qualification necessary except where the failure to so qualify would not reasonably be expected to cause a Material Adverse Change.</w:t>
      </w:r>
    </w:p>
    <w:p>
      <w:pPr>
        <w:spacing w:after="0" w:line="181"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Authorization</w:t>
      </w:r>
      <w:r>
        <w:rPr>
          <w:rFonts w:ascii="Arial" w:cs="Arial" w:eastAsia="Arial" w:hAnsi="Arial"/>
          <w:sz w:val="18"/>
          <w:szCs w:val="18"/>
          <w:color w:val="auto"/>
        </w:rPr>
        <w:t>. Each Restricted Person has duly taken all action necessary to authorize the execution and delivery by it of the Loan Documents to which it is a party and to authorize the consummation of the transactions contemplated thereby and the performance of its obligations thereunder. Each Borrower is duly authorized to borrow funds hereunder.</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No Conflicts or Consents</w:t>
      </w:r>
      <w:r>
        <w:rPr>
          <w:rFonts w:ascii="Arial" w:cs="Arial" w:eastAsia="Arial" w:hAnsi="Arial"/>
          <w:sz w:val="16"/>
          <w:szCs w:val="16"/>
          <w:color w:val="auto"/>
        </w:rPr>
        <w:t>. The execution and delivery by each Restricted Person of the Loan Documents to which it is a party, the performance by it of its obligations, and the consummation of the transactions contemplated thereby, do not and will not (i) violate any provision of (1) Law applicable to it, (2) its organizational documents or (3) any judgment, order or material license or permit applicable to or binding upon it, (ii) result in the acceleration of any Indebtedness owed by it or (iii) result in or require the creation of any consensual Lien upon any of its material assets or properties except</w:t>
      </w:r>
    </w:p>
    <w:p>
      <w:pPr>
        <w:sectPr>
          <w:pgSz w:w="11900" w:h="16945" w:orient="portrait"/>
          <w:cols w:equalWidth="0" w:num="1">
            <w:col w:w="11400"/>
          </w:cols>
          <w:pgMar w:left="240" w:top="125" w:right="259" w:bottom="0" w:gutter="0" w:footer="0" w:header="0"/>
        </w:sectPr>
      </w:pPr>
    </w:p>
    <w:bookmarkStart w:id="40" w:name="page41"/>
    <w:bookmarkEnd w:id="40"/>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expressly contemplated in, or permitted by, the Loan Documents. Except as expressly contemplated in or permitted by the Loan Documents, disclosed in the Disclosure Schedule or disclosed pursuant to Section 6.4, no permit, consent, approval, authorization or order of, and no notice to or filing, registration or qualification with, any Governmental Authority is required on the part of any Restricted Person a party thereto pursuant to the provisions of any material Law applicable to it as a condition to its execution, delivery or performance of any Loan Document or (ii) to consummate any transactions contemplated by the Loan Documents.</w:t>
      </w:r>
    </w:p>
    <w:p>
      <w:pPr>
        <w:spacing w:after="0" w:line="188"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Enforceable Obligations</w:t>
      </w:r>
      <w:r>
        <w:rPr>
          <w:rFonts w:ascii="Arial" w:cs="Arial" w:eastAsia="Arial" w:hAnsi="Arial"/>
          <w:sz w:val="18"/>
          <w:szCs w:val="18"/>
          <w:color w:val="auto"/>
        </w:rPr>
        <w:t>. This Agreement is, and the other Loan Documents when duly executed and delivered will be, legal, valid and binding obligations of each Restricted Person which is a party hereto or thereto, enforceable in accordance with their terms except as such enforcement may be limited by bankruptcy, insolvency or similar Laws of general application relating to the enforcement of creditors’ rights and general principles of equity.</w:t>
      </w:r>
    </w:p>
    <w:p>
      <w:pPr>
        <w:spacing w:after="0" w:line="18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Initial Financial Statements</w:t>
      </w:r>
      <w:r>
        <w:rPr>
          <w:rFonts w:ascii="Arial" w:cs="Arial" w:eastAsia="Arial" w:hAnsi="Arial"/>
          <w:sz w:val="17"/>
          <w:szCs w:val="17"/>
          <w:color w:val="auto"/>
        </w:rPr>
        <w:t>. US Borrower has heretofore delivered to each Lender true, correct and complete copies of the Initial Financial Statements. The Initial Financial Statements fairly present US Borrower’s Consolidated financial position at the date thereof and the Consolidated results of US Borrower’s operations for the periods thereof, and in the case of the annual Initial Financial Statements, Consolidated cash flows for the period thereof. Except as disclosed pursuant to Section 6.4, since the date of the annual Initial Financial Statements, no Material Adverse Change has occurred. All Initial Financial Statements described in clause (i) of that defined term were prepared in accordance with GAAP.</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Other Obligations and Restrictions</w:t>
      </w:r>
      <w:r>
        <w:rPr>
          <w:rFonts w:ascii="Arial" w:cs="Arial" w:eastAsia="Arial" w:hAnsi="Arial"/>
          <w:sz w:val="18"/>
          <w:szCs w:val="18"/>
          <w:color w:val="auto"/>
        </w:rPr>
        <w:t>. As of the Closing Date, no Restricted Person has any outstanding payment obligations of any kind (including contingent obligations, tax assessments and unusual forward or long-term commitments) which are, in the aggregate, material to US Borrower or material with respect to US Borrower’s Consolidated financial condition and not reflected in the Initial Financial Statements, disclosed in the Disclosure Schedule or otherwise permitted under Section 7.1. Except as disclosed in the Disclosure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Schedule or pursuant to Section 6.4, no Restricted Person is subject to or restricted by any franchise, contract, deed, charter restriction, or other instrument or restriction which would reasonably be expected to cause a Material Adverse Change.</w:t>
      </w:r>
    </w:p>
    <w:p>
      <w:pPr>
        <w:spacing w:after="0" w:line="170"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Full Disclosure</w:t>
      </w:r>
      <w:r>
        <w:rPr>
          <w:rFonts w:ascii="Arial" w:cs="Arial" w:eastAsia="Arial" w:hAnsi="Arial"/>
          <w:sz w:val="16"/>
          <w:szCs w:val="16"/>
          <w:color w:val="auto"/>
        </w:rPr>
        <w:t>. No certificate, statement or other information delivered herewith or heretofore by any Restricted Person to any Lender in connection with the negotiation of this Agreement or in connection with any transaction contemplated hereby contains any untrue statement of a material fact or omits to state any material fact necessary to make the statements contained herein or therein, in light of the circumstances under which they were made, not misleading as of the date made or deemed made (or if such information expressly relates or refers to an earlier date, as of such earlier date). All written information furnished after the date hereof by or on behalf of any Restricted Person to Administrative Agent or any Lender Party in connection with this Agreement and the other Loan Documents and the transactions contemplated hereby and thereby will be true, complete and accurate in every material respect in light of the circumstances in which made or based on reasonable estimates, in each case as of the date on which such information is stated or certified (or if such information expressly relates or refers to an earlier date, as of such earlier date). There is no fact known to any Restricted Person that has not been disclosed to each Lender in writing which would reasonably be expected to cause a Material Adverse Change.</w:t>
      </w:r>
    </w:p>
    <w:p>
      <w:pPr>
        <w:spacing w:after="0" w:line="16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Litigation</w:t>
      </w:r>
      <w:r>
        <w:rPr>
          <w:rFonts w:ascii="Arial" w:cs="Arial" w:eastAsia="Arial" w:hAnsi="Arial"/>
          <w:sz w:val="18"/>
          <w:szCs w:val="18"/>
          <w:color w:val="auto"/>
        </w:rPr>
        <w:t>. Except as disclosed in the Initial Financial Statements, in the Disclosure Schedule or pursuant to Section 6.4: (i) there are no actions, suits or legal, equitable, arbitrative or administrative proceedings pending, or to the knowledge of any Restricted Person overtly threatened, against any Restricted Person before any Governmental Authority having jurisdiction over it which would reasonably be expected to cause a Material Adverse Change, and (ii) there are no outstanding judgments, injunctions, writs, rulings or orders by any such Governmental Authority having jurisdiction over it against any Restricted Person or, to the knowledge of US Borrower, any Restricted Person’s stockholders, partners, directors or officers which would reasonably be expected to cause a Material Adverse Change.</w:t>
      </w:r>
    </w:p>
    <w:p>
      <w:pPr>
        <w:spacing w:after="0" w:line="19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ERISA Plans and Liabilities</w:t>
      </w:r>
      <w:r>
        <w:rPr>
          <w:rFonts w:ascii="Arial" w:cs="Arial" w:eastAsia="Arial" w:hAnsi="Arial"/>
          <w:sz w:val="17"/>
          <w:szCs w:val="17"/>
          <w:color w:val="auto"/>
        </w:rPr>
        <w:t>. All currently existing ERISA Plans are listed in the Disclosure Schedule or pursuant to Section 6.4. Except as disclosed in the Initial Financial Statements, in the Disclosure Schedule or pursuant to Section 6.4, no Termination Event has occurred with respect to any ERISA Plan and all ERISA Affiliates are in compliance with ERISA in all material respects, to the extent that the non-compliance therewith would not be reasonably expected to cause a Material Adverse Change. No ERISA Affiliate is required to contribute to, or has any other absolute or contingent liability in respect of, any “multiemployer plan” as defined in Section 4001 of ERISA. Except as set forth in the Disclosure Schedule or disclosed pursuant to Section 6.4: (i) no “accumulated funding deficiency” (as defined in Section 412(a) of the Code) exists with respect to any ERISA Plan, whether or not waived by the Secretary of the Treasury or his delegate, and (ii) the current value of each ERISA Plan’s benefits does not exceed the current value of such ERISA Plan’s assets available for the payment of such benefits by more than $5,000,000.</w:t>
      </w:r>
    </w:p>
    <w:p>
      <w:pPr>
        <w:spacing w:after="0" w:line="179"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Compliance with Permits, Consents and Law</w:t>
      </w:r>
      <w:r>
        <w:rPr>
          <w:rFonts w:ascii="Arial" w:cs="Arial" w:eastAsia="Arial" w:hAnsi="Arial"/>
          <w:sz w:val="17"/>
          <w:szCs w:val="17"/>
          <w:color w:val="auto"/>
        </w:rPr>
        <w:t>. Except as set forth in the Disclosure Schedule or pursuant to Section 6.4, each Restricted Person has all permits, licenses and authorizations required in connection with the conduct of its businesses, except to the extent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failure to have any such permit, license or authorization would not reasonably be expected to cause a Material Adverse Change. Except as set forth in the Disclosure Schedule or pursuant to Section 6.4, each Restricted Person is in compliance with the terms and conditions of all such permits, licenses and authorizations, and is also in compliance with all other limitations, restrictions, conditions, standards, prohibitions, requirements, obligations, schedules and timetables contained in any Law, including applicable Environmental Law, or in any regulation, code, plan, order, decree, judgment, injunction, notice or demand letter issued, entered, promulgated or approved thereunder, except to the extent that non-compliance therewith would not reasonably be expected to cause a Material Adverse Change or such term, restriction or otherwise is being contested in good faith or a bona fide dispute exists with respect thereto.</w:t>
      </w:r>
    </w:p>
    <w:p>
      <w:pPr>
        <w:spacing w:after="0" w:line="16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Environmental Laws</w:t>
      </w:r>
      <w:r>
        <w:rPr>
          <w:rFonts w:ascii="Arial" w:cs="Arial" w:eastAsia="Arial" w:hAnsi="Arial"/>
          <w:sz w:val="16"/>
          <w:szCs w:val="16"/>
          <w:color w:val="auto"/>
        </w:rPr>
        <w:t>. Except as set forth in the Disclosure Schedule or disclosed pursuant to Section 6.4, (i) US Borrower and its Subsidiaries are conducting their businesses in material compliance with all applicable Laws, including Environmental Laws, and have and are in compliance with all licenses and permits required under any such Laws, unless failure to so comply or have such licenses and permits would not reasonably be expected to cause a Material Adverse Change; (ii) none of the operations or properties of US Borrower or any of its Subsidiaries is the subject of federal, provincial or local investigation evaluating whether any material remedial action is needed to respond to a release of any Hazardous Materials into the environment or to the improper storage or disposal (including storage or disposal at offsite locations) of any Hazardous Materials, unless such remedial action would not reasonably be expected to cause a Material Adverse Change; and (iii) neither US Borrower nor any of its Subsidiaries (and to the actual knowledge of US</w:t>
      </w:r>
    </w:p>
    <w:p>
      <w:pPr>
        <w:sectPr>
          <w:pgSz w:w="11900" w:h="16932" w:orient="portrait"/>
          <w:cols w:equalWidth="0" w:num="1">
            <w:col w:w="11420"/>
          </w:cols>
          <w:pgMar w:left="240" w:top="125" w:right="239" w:bottom="0" w:gutter="0" w:footer="0" w:header="0"/>
        </w:sectPr>
      </w:pPr>
    </w:p>
    <w:bookmarkStart w:id="41" w:name="page42"/>
    <w:bookmarkEnd w:id="41"/>
    <w:p>
      <w:pPr>
        <w:ind w:right="120"/>
        <w:spacing w:after="0" w:line="259" w:lineRule="auto"/>
        <w:rPr>
          <w:sz w:val="20"/>
          <w:szCs w:val="20"/>
          <w:color w:val="auto"/>
        </w:rPr>
      </w:pPr>
      <w:r>
        <w:rPr>
          <w:rFonts w:ascii="Arial" w:cs="Arial" w:eastAsia="Arial" w:hAnsi="Arial"/>
          <w:sz w:val="18"/>
          <w:szCs w:val="18"/>
          <w:color w:val="auto"/>
        </w:rPr>
        <w:t>Borrower, no other Person) has filed any notice under any Law indicating that any Restricted Person is responsible for the improper release into the environment, or the improper storage or disposal, of any material amount of any Hazardous Materials or that any Hazardous Materials have been improperly released, or are improperly stored or disposed of, upon any property of any such Person, other than of an alleged improper release, storage or disposal that would not reasonably be expected to cause a Material Adverse Change.</w:t>
      </w:r>
    </w:p>
    <w:p>
      <w:pPr>
        <w:spacing w:after="0" w:line="18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US Borrower’s Subsidiaries</w:t>
      </w:r>
      <w:r>
        <w:rPr>
          <w:rFonts w:ascii="Arial" w:cs="Arial" w:eastAsia="Arial" w:hAnsi="Arial"/>
          <w:sz w:val="17"/>
          <w:szCs w:val="17"/>
          <w:color w:val="auto"/>
        </w:rPr>
        <w:t>. US Borrower has no Subsidiary and owns no stock in any other corporation or association except as listed in the Disclosure Schedule or disclosed after the Closing Date to Administrative Agent in writing. No Restricted Person is a member of any general or limited partnership, limited liability company, joint venture or association of any type whatsoever except those listed in the Disclosure Schedule or disclosed after the Closing Date to Administrative Agent in writing. US Borrower owns, directly or indirectly, the equity interest in each of its Subsidiaries which is indicated in the Disclosure Schedule except as disclosed after the Closing Date to Administrative Agent.</w:t>
      </w:r>
    </w:p>
    <w:p>
      <w:pPr>
        <w:spacing w:after="0" w:line="173"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Title to Properties</w:t>
      </w:r>
      <w:r>
        <w:rPr>
          <w:rFonts w:ascii="Arial" w:cs="Arial" w:eastAsia="Arial" w:hAnsi="Arial"/>
          <w:sz w:val="18"/>
          <w:szCs w:val="18"/>
          <w:color w:val="auto"/>
        </w:rPr>
        <w:t>. Each Restricted Person has good and defensible title to all of its material properties and assets, free and clear of all Liens (other than Permitted Liens) and of all impediments to the use of such properties and assets in such Restricted Person’s business, other than such impediments that would not reasonably be expected to cause a Material Adverse Change.</w:t>
      </w:r>
    </w:p>
    <w:p>
      <w:pPr>
        <w:spacing w:after="0" w:line="181" w:lineRule="exact"/>
        <w:rPr>
          <w:sz w:val="20"/>
          <w:szCs w:val="20"/>
          <w:color w:val="auto"/>
        </w:rPr>
      </w:pPr>
    </w:p>
    <w:p>
      <w:pPr>
        <w:jc w:val="both"/>
        <w:ind w:right="140" w:firstLine="648"/>
        <w:spacing w:after="0" w:line="277"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Government Regulation</w:t>
      </w:r>
      <w:r>
        <w:rPr>
          <w:rFonts w:ascii="Arial" w:cs="Arial" w:eastAsia="Arial" w:hAnsi="Arial"/>
          <w:sz w:val="18"/>
          <w:szCs w:val="18"/>
          <w:color w:val="auto"/>
        </w:rPr>
        <w:t>. Neither any Borrower nor any other Restricted Person owing Obligations is subject to regulation under the Investment Company Act of 1940 (as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amended) or any other Law which regulates the incurring by such Person of Indebtedness, including Laws relating to common contract carriers or the sale of electricity, gas, steam, water or other public utility services. Neither any Borrower nor any other Restricted Person is subject to regulation under the Federal Power Act which would violate, result in a default of, or prohibit the effectiveness or the performance of any of the provisions of the Loan Documents.</w:t>
      </w:r>
    </w:p>
    <w:p>
      <w:pPr>
        <w:spacing w:after="0" w:line="147"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Insider</w:t>
      </w:r>
      <w:r>
        <w:rPr>
          <w:rFonts w:ascii="Arial" w:cs="Arial" w:eastAsia="Arial" w:hAnsi="Arial"/>
          <w:sz w:val="18"/>
          <w:szCs w:val="18"/>
          <w:color w:val="auto"/>
        </w:rPr>
        <w:t>. No Restricted Person, nor any Person having “control” (as that term is defined in 12 U.S.C. § 375b(9) or in regulations promulgated pursuant thereto) of any Restricted Person, is a “director” or an “executive officer” or “principal shareholder” (as those terms are defined in 12 U.S.C. § 375b(8) or (9) or in regulations promulgated pursuant thereto) of any Lender, of a bank holding company of which any Lender is a Subsidiary or of any Subsidiary of a bank holding company of which any Lender is a Subsidiary.</w:t>
      </w:r>
    </w:p>
    <w:p>
      <w:pPr>
        <w:spacing w:after="0" w:line="187"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u w:val="single" w:color="auto"/>
          <w:color w:val="auto"/>
        </w:rPr>
        <w:t>Solvency</w:t>
      </w:r>
      <w:r>
        <w:rPr>
          <w:rFonts w:ascii="Arial" w:cs="Arial" w:eastAsia="Arial" w:hAnsi="Arial"/>
          <w:sz w:val="16"/>
          <w:szCs w:val="16"/>
          <w:color w:val="auto"/>
        </w:rPr>
        <w:t>. Upon giving effect to the issuance of the Notes, the execution of the Loan Documents by Borrowers and each Guarantor and the consummation of the transactions contemplated hereby, (i) each Borrower and each Guarantor will be solvent (as such term is used in applicable bankruptcy, liquidation, receivership, insolvency or similar Laws), and the sum of each Borrower’s and each Guarantor’s absolute and contingent liabilities, including the Obligations or guarantees thereof, shall not exceed the fair market value of such Restricted Person’s assets, and (ii) each Borrower’s and each Guarantor’s capital should be adequate for the businesses in which such Restricted Person is engaged and intends to be engaged. Neither any Borrower nor any other Restricted Person has incurred (whether under the Loan Documents or otherwise), nor does any Restricted Person intend to incur or reasonably foreseeably believes that it will incur, debts which will be beyond its ability to pay as such debts mature.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 - Affirmative Covenants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To conform with the terms and conditions under which each Lender is willing to have credit outstanding to Borrowers, and to induce each Lender to enter into this Agreement and extend credit hereunder, each of US Borrower and, with respect to itself and its Subsidiaries, the other Borrowers, covenants and agrees that until the full and final payment of the Obligations and the termination of this Agreement, unless Majority Lenders, or all Lenders as required under Section 10.1, have previously agreed otherwise:</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Payment and Performance</w:t>
      </w:r>
      <w:r>
        <w:rPr>
          <w:rFonts w:ascii="Arial" w:cs="Arial" w:eastAsia="Arial" w:hAnsi="Arial"/>
          <w:sz w:val="18"/>
          <w:szCs w:val="18"/>
          <w:color w:val="auto"/>
        </w:rPr>
        <w:t>. Each Restricted Person will pay all amounts due from it pursuant to the provisions of the Loan Documents to which it is a party in accordance with the terms thereof and will observe, perform and comply with every covenant, term and condition imposed on it pursuant to the provisions of such Loan Documents.</w:t>
      </w:r>
    </w:p>
    <w:p>
      <w:pPr>
        <w:spacing w:after="0" w:line="181"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Books, Financial Statements and Reports</w:t>
      </w:r>
      <w:r>
        <w:rPr>
          <w:rFonts w:ascii="Arial" w:cs="Arial" w:eastAsia="Arial" w:hAnsi="Arial"/>
          <w:sz w:val="18"/>
          <w:szCs w:val="18"/>
          <w:color w:val="auto"/>
        </w:rPr>
        <w:t>. Each Restricted Person will at all times maintain full and accurate books of account and records. US Borrower will maintain and will cause its Subsidiaries to maintain a standard system of accounting, will maintain its Fiscal Year, and will furnish the following statements and reports to each Lender at US Borrower’s expense:</w:t>
      </w:r>
    </w:p>
    <w:p>
      <w:pPr>
        <w:spacing w:after="0" w:line="181" w:lineRule="exact"/>
        <w:rPr>
          <w:sz w:val="20"/>
          <w:szCs w:val="20"/>
          <w:color w:val="auto"/>
        </w:rPr>
      </w:pPr>
    </w:p>
    <w:p>
      <w:pPr>
        <w:ind w:right="60" w:firstLine="656"/>
        <w:spacing w:after="0" w:line="277" w:lineRule="auto"/>
        <w:tabs>
          <w:tab w:leader="none" w:pos="1343"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Promptly upon the filing thereof, and in any event within ninety (90) days after the end of each Fiscal Year, a copy of US Borrower’s Form 10-K, which report shall include 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Borrower’s complete Consolidated financial statements together with all notes thereto, prepared in reasonable detail in accordance with GAAP, together with an opinion, without material qualification, based on an audit using generally accepted auditing standards, by PricewaterhouseCoopers LLP, or other independent certified public accountants selected by General Partner, stating that such Consolidated financial statements have been so prepared. These financial statements shall contain a Consolidated balance sheet as of the end of such Fiscal Year and Consolidated statements of earnings for such Fiscal Year. Such Consolidated financial statements shall set forth in comparative form the corresponding figures for the preceding Fiscal Year.</w:t>
      </w:r>
    </w:p>
    <w:p>
      <w:pPr>
        <w:spacing w:after="0" w:line="158" w:lineRule="exact"/>
        <w:rPr>
          <w:sz w:val="20"/>
          <w:szCs w:val="20"/>
          <w:color w:val="auto"/>
        </w:rPr>
      </w:pPr>
    </w:p>
    <w:p>
      <w:pPr>
        <w:ind w:firstLine="656"/>
        <w:spacing w:after="0" w:line="290" w:lineRule="auto"/>
        <w:tabs>
          <w:tab w:leader="none" w:pos="1353" w:val="left"/>
        </w:tabs>
        <w:numPr>
          <w:ilvl w:val="0"/>
          <w:numId w:val="99"/>
        </w:numPr>
        <w:rPr>
          <w:rFonts w:ascii="Arial" w:cs="Arial" w:eastAsia="Arial" w:hAnsi="Arial"/>
          <w:sz w:val="16"/>
          <w:szCs w:val="16"/>
          <w:color w:val="auto"/>
        </w:rPr>
      </w:pPr>
      <w:r>
        <w:rPr>
          <w:rFonts w:ascii="Arial" w:cs="Arial" w:eastAsia="Arial" w:hAnsi="Arial"/>
          <w:sz w:val="16"/>
          <w:szCs w:val="16"/>
          <w:color w:val="auto"/>
        </w:rPr>
        <w:t>Promptly upon the filing thereof, and in any event within sixty (60) days after the end of each of the first three Fiscal Quarters of each Fiscal Year, a copy of US Borrower’s Form 10-Q, which report shall include US Borrower’s unaudited Consolidated balance sheet as of the end of such Fiscal Quarter and Consolidated statements of US Borrower’s earnings and cash flows for such Fiscal Quarter and for the period from the beginning of the then current Fiscal Year to the end of such Fiscal Quarter. In addition US Borrower will, together with each such set of financial statements and each set of financial statements furnished under subsection (a) of this section, furnish a certificate in the form of Exhibit D signed by the chief financial officer, principal accounting officer or treasurer of General Partner stating that such financial statements are accurate and complete in all material respects (subject to normal year-end adjustments), stating that he has reviewed the Loan Documents, containing calculations showing compliance (or non-compliance) at the end of such Fiscal Quarter with the requirements of Section 7.8, stating that, to the best of his knowledge, no Default exists at the end of such Fiscal Quarter or at the time</w:t>
      </w:r>
    </w:p>
    <w:p>
      <w:pPr>
        <w:sectPr>
          <w:pgSz w:w="11900" w:h="16838" w:orient="portrait"/>
          <w:cols w:equalWidth="0" w:num="1">
            <w:col w:w="11420"/>
          </w:cols>
          <w:pgMar w:left="240" w:top="125" w:right="239" w:bottom="0" w:gutter="0" w:footer="0" w:header="0"/>
        </w:sectPr>
      </w:pPr>
    </w:p>
    <w:bookmarkStart w:id="42" w:name="page43"/>
    <w:bookmarkEnd w:id="42"/>
    <w:p>
      <w:pPr>
        <w:spacing w:after="0" w:line="13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of such certificate or specifying the nature and period of existence of any such Default, and identifying any Subsidiary designated as an Unrestricted Subsidiary since the date of the most-recently delivered prior certificate under this Section 6.2(b).</w:t>
      </w:r>
    </w:p>
    <w:p>
      <w:pPr>
        <w:spacing w:after="0" w:line="170" w:lineRule="exact"/>
        <w:rPr>
          <w:sz w:val="20"/>
          <w:szCs w:val="20"/>
          <w:color w:val="auto"/>
        </w:rPr>
      </w:pPr>
    </w:p>
    <w:p>
      <w:pPr>
        <w:ind w:right="220" w:firstLine="656"/>
        <w:spacing w:after="0" w:line="277" w:lineRule="auto"/>
        <w:tabs>
          <w:tab w:leader="none" w:pos="134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Promptly upon their becoming available, copies of all Form 8-K’s filed by US Borrower with any securities exchange, the Securities and Exchange Commission or any similar governmental authority.</w:t>
      </w:r>
    </w:p>
    <w:p>
      <w:pPr>
        <w:spacing w:after="0" w:line="170" w:lineRule="exact"/>
        <w:rPr>
          <w:rFonts w:ascii="Arial" w:cs="Arial" w:eastAsia="Arial" w:hAnsi="Arial"/>
          <w:sz w:val="18"/>
          <w:szCs w:val="18"/>
          <w:color w:val="auto"/>
        </w:rPr>
      </w:pPr>
    </w:p>
    <w:p>
      <w:pPr>
        <w:ind w:right="200" w:firstLine="656"/>
        <w:spacing w:after="0" w:line="264" w:lineRule="auto"/>
        <w:tabs>
          <w:tab w:leader="none" w:pos="135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Promptly upon their becoming available, copies of all financial statements, reports, notices and proxy statements sent by US Borrower to its unit holders and all registration statements filed by US Borrower with any securities exchange, the Securities and Exchange Commission or any similar governmental authority.</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Prompt notice of any publicly announced change in PAA’s Debt Rating by either Standard &amp; Poor’s or Moody’s.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Documents required to be delivered pursuant to Section 6.2(a), (b), (c) or (d), (to the extent any such documents are included in materials otherwise filed with the Securities and Exchange Commission) may be delivered electronically and if so delivered, shall be deemed to have been delivered on the date on which the Borrower posts such documents, or provides a link thereto, on the Borrower’s website on the Internet at the website address listed on Schedule 10.3, and notifies Administrative Agent of such posting or link.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Other Information and Inspections</w:t>
      </w:r>
      <w:r>
        <w:rPr>
          <w:rFonts w:ascii="Arial" w:cs="Arial" w:eastAsia="Arial" w:hAnsi="Arial"/>
          <w:sz w:val="16"/>
          <w:szCs w:val="16"/>
          <w:color w:val="auto"/>
        </w:rPr>
        <w:t>. In each case subject to the last sentence of this Section 6.3, each Restricted Person will furnish to Administrative Agent any information which Administrative Agent or any Lender may from time to time reasonably request concerning any covenant, provision or condition of the Loan Documents or any matter in connection with any Restricted Person’s businesses and operations. In each case subject to the last sentence of this Section 6.3, each Restricted Person will permit representatives appointed by Administrative Agent (including independent accountants, auditors, agents, attorneys, appraisers and any other Persons), upon reasonable prior notice, to visit and inspect during normal business hours any of such Restricted Person’s property, including its books of account, other books and records, and any facilities or other business assets, and to make extra copies therefrom and photocopies and photographs thereof, and to write down and record any information such representatives obtain, and each Restricted Person shall permit Administrative Agent or its representatives to investigate and verify the accuracy of the information furnished to Administrative Agent or any Lender in connection with the Loan Documents and to discuss all such matters with its officers, employees and, upon reasonable prior notice to US Borrower, its representatives. Each of the foregoing inspections and examinations shall be made subject to compliance with applicable safety standards and the same conditions applicable to any Restricted Person in respect of property of that Restricted Person on the premises of Persons other than a Restricted Person or an Affiliate of a Restricted Person, and all information, books and records furnished or requested to be made, all information to be investigated or verified and all discussion conducted with any officer, employee or representative of any Restricted Person shall be subject to any applicable attorney-client privilege exceptions which the Restricted Person determines is reasonably necessary and compliance with conditions to disclosures under non-disclosure agreements between any Restricted Person and Persons other than a Restricted Person or an Affiliate of a Restricted Person and the express undertaking of each Person acting at the direction of or on behalf of any Lender Party to be bound by the confidentiality provisions of Section 10.6 of this Agreement.</w:t>
      </w:r>
    </w:p>
    <w:p>
      <w:pPr>
        <w:spacing w:after="0" w:line="17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Each Borrower hereby acknowledges that (a) Administrative Agent will make available to the Lenders and the LC Issuer materials and/or information provided by or on behalf of such Borrower hereunder (collectively, “</w:t>
      </w:r>
      <w:r>
        <w:rPr>
          <w:rFonts w:ascii="Arial" w:cs="Arial" w:eastAsia="Arial" w:hAnsi="Arial"/>
          <w:sz w:val="17"/>
          <w:szCs w:val="17"/>
          <w:u w:val="single" w:color="auto"/>
          <w:color w:val="auto"/>
        </w:rPr>
        <w:t>Borrower Materials</w:t>
      </w:r>
      <w:r>
        <w:rPr>
          <w:rFonts w:ascii="Arial" w:cs="Arial" w:eastAsia="Arial" w:hAnsi="Arial"/>
          <w:sz w:val="17"/>
          <w:szCs w:val="17"/>
          <w:color w:val="auto"/>
        </w:rPr>
        <w:t>”) by posting the Borrower Materials on IntraLinks or another similar electronic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 Lenders may be “public-side” Lenders (</w:t>
      </w:r>
      <w:r>
        <w:rPr>
          <w:rFonts w:ascii="Arial" w:cs="Arial" w:eastAsia="Arial" w:hAnsi="Arial"/>
          <w:sz w:val="17"/>
          <w:szCs w:val="17"/>
          <w:i w:val="1"/>
          <w:iCs w:val="1"/>
          <w:color w:val="auto"/>
        </w:rPr>
        <w:t>i.e.,</w:t>
      </w:r>
      <w:r>
        <w:rPr>
          <w:rFonts w:ascii="Arial" w:cs="Arial" w:eastAsia="Arial" w:hAnsi="Arial"/>
          <w:sz w:val="17"/>
          <w:szCs w:val="17"/>
          <w:color w:val="auto"/>
        </w:rPr>
        <w:t xml:space="preserve"> Lenders that do not wish to receive material non-public information with respect to any Borrower or its securities)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If Borrower clearly, conspicuously and prominently marks the front page of any Borrower Materials furnished by it with the term “PUBLIC”, then (x) the Borrower shall be deemed to have authorized Administrative Agent, the LC Issuer and the Lenders to treat such Borrower Materials as either publicly available information or not material information (although it may be sensitive and proprietary) with respect to the Borrowers or their respective securities for purposes of United States Federal and state securities laws; (y) all Borrower Materials so marked “PUBLIC” are permitted to be made available through a portion of the Platform designated “Public Investor;” and (z) Administrative Agent shall be entitled to treat any Borrower Materials that are not marked “PUBLIC” as being suitable only for posting on a portion of the Platform not designated “Public Investor.”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Notice of Material Events</w:t>
      </w:r>
      <w:r>
        <w:rPr>
          <w:rFonts w:ascii="Arial" w:cs="Arial" w:eastAsia="Arial" w:hAnsi="Arial"/>
          <w:sz w:val="18"/>
          <w:szCs w:val="18"/>
          <w:color w:val="auto"/>
        </w:rPr>
        <w:t>. US Borrower will notify each Lender Party, not later than five (5) Business Days after any executive officer of US Borrower has knowledge thereof, stating that such notice is being given pursuant to this Agreement, of:</w:t>
      </w:r>
    </w:p>
    <w:p>
      <w:pPr>
        <w:spacing w:after="0" w:line="170" w:lineRule="exact"/>
        <w:rPr>
          <w:sz w:val="20"/>
          <w:szCs w:val="20"/>
          <w:color w:val="auto"/>
        </w:rPr>
      </w:pPr>
    </w:p>
    <w:p>
      <w:pPr>
        <w:ind w:right="140" w:firstLine="656"/>
        <w:spacing w:after="0" w:line="308" w:lineRule="auto"/>
        <w:tabs>
          <w:tab w:leader="none" w:pos="1307"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(i) occurrence of any Material Adverse Change or (ii) occurrence of any event or condition that is covered by any of Section 5.6 (next-to-last sentence), 5.7 (last sentence), 5.9, 5.10, 5.11 or 5.12 which would reasonable be expected to cause a Material Adverse Change,</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225" w:lineRule="exact"/>
        <w:rPr>
          <w:rFonts w:ascii="Arial" w:cs="Arial" w:eastAsia="Arial" w:hAnsi="Arial"/>
          <w:sz w:val="18"/>
          <w:szCs w:val="18"/>
          <w:color w:val="auto"/>
        </w:rPr>
      </w:pPr>
    </w:p>
    <w:p>
      <w:pPr>
        <w:jc w:val="both"/>
        <w:ind w:right="240" w:firstLine="656"/>
        <w:spacing w:after="0" w:line="264" w:lineRule="auto"/>
        <w:tabs>
          <w:tab w:leader="none" w:pos="130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acceleration of the maturity of any Indebtedness owed by any Restricted Person or of any default by any Restricted Person under any indenture, mortgage, agreement, contract or other instrument to which any of them is a party or by which any of them or any of their properties is bound, if such acceleration or default would reasonably be expected to cause a Material Adverse Change,</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occurrence of any Termination Event,</w:t>
      </w:r>
    </w:p>
    <w:p>
      <w:pPr>
        <w:spacing w:after="0" w:line="225" w:lineRule="exact"/>
        <w:rPr>
          <w:rFonts w:ascii="Arial" w:cs="Arial" w:eastAsia="Arial" w:hAnsi="Arial"/>
          <w:sz w:val="18"/>
          <w:szCs w:val="18"/>
          <w:color w:val="auto"/>
        </w:rPr>
      </w:pPr>
    </w:p>
    <w:p>
      <w:pPr>
        <w:ind w:right="160" w:firstLine="656"/>
        <w:spacing w:after="0" w:line="264" w:lineRule="auto"/>
        <w:tabs>
          <w:tab w:leader="none" w:pos="130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claim under any Environmental Law adverse to a Restricted Person or of potential liability with respect to such claim, or any other adverse claim asserted against any Restricted Person or with respect to any Restricted Person’s properties taken as a whole, in each case, which claim would reasonably be expected to cause a Material Adverse Change, and</w:t>
      </w:r>
    </w:p>
    <w:p>
      <w:pPr>
        <w:spacing w:after="0" w:line="181" w:lineRule="exact"/>
        <w:rPr>
          <w:rFonts w:ascii="Arial" w:cs="Arial" w:eastAsia="Arial" w:hAnsi="Arial"/>
          <w:sz w:val="18"/>
          <w:szCs w:val="18"/>
          <w:color w:val="auto"/>
        </w:rPr>
      </w:pPr>
    </w:p>
    <w:p>
      <w:pPr>
        <w:ind w:right="340" w:firstLine="656"/>
        <w:spacing w:after="0" w:line="277" w:lineRule="auto"/>
        <w:tabs>
          <w:tab w:leader="none" w:pos="131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filing of any suit or proceeding, or the assertion in writing of a claim against any Restricted Person or with respect to any Restricted Person’s properties, which would reasonably be expected to cause a Material Adverse Change.</w:t>
      </w:r>
    </w:p>
    <w:p>
      <w:pPr>
        <w:spacing w:after="0" w:line="1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Upon the occurrence of any of the foregoing the applicable Restricted Person will take all necessary or appropriate steps to remedy promptly, if applicable, any such Material Adverse Change, Default, acceleration, default or Termination Event, to protect against any such adverse claim, to defend any such claim,</w:t>
      </w:r>
    </w:p>
    <w:p>
      <w:pPr>
        <w:sectPr>
          <w:pgSz w:w="11900" w:h="16975" w:orient="portrait"/>
          <w:cols w:equalWidth="0" w:num="1">
            <w:col w:w="11420"/>
          </w:cols>
          <w:pgMar w:left="240" w:top="125" w:right="239" w:bottom="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suit or proceeding, and to resolve all controversies on account of any of the foregoing.</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Maintenance of Existence, Qualifications and Assets</w:t>
      </w:r>
      <w:r>
        <w:rPr>
          <w:rFonts w:ascii="Arial" w:cs="Arial" w:eastAsia="Arial" w:hAnsi="Arial"/>
          <w:sz w:val="18"/>
          <w:szCs w:val="18"/>
          <w:color w:val="auto"/>
        </w:rPr>
        <w:t>. Each Significant Restricted Person (i) will maintain and preserve its existence and its rights (including permits, licenses and other authorizations required under Environmental Laws) and franchises in full force and effect, (ii) will qualify to do business in all states or jurisdictions where required by applicable Law, and (iii) keep all of its material assets that are useful in and necessary to its business in good working order and condition (ordinary wear and tear and obsoleteness excepted) except, in each case (a) where the failure so to maintain, preserve, qualify or keep would not be reasonably expected to cause a Material Adverse Change, (b) as permitted in Section 7.3 or as a result of statutory conversions or (c) as a result of a release permitted pursuant to Section 6.9. US Borrower will notify Administrative Agent in writing of any changes in its or any other Significant Restricted Person’s name or the location of its or any other Significant Restricted Person’s chief executive office or principal place of business.</w:t>
      </w:r>
    </w:p>
    <w:p>
      <w:pPr>
        <w:spacing w:after="0" w:line="19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u w:val="single" w:color="auto"/>
          <w:color w:val="auto"/>
        </w:rPr>
        <w:t>Payment of Taxes, etc</w:t>
      </w:r>
      <w:r>
        <w:rPr>
          <w:rFonts w:ascii="Arial" w:cs="Arial" w:eastAsia="Arial" w:hAnsi="Arial"/>
          <w:sz w:val="16"/>
          <w:szCs w:val="16"/>
          <w:color w:val="auto"/>
        </w:rPr>
        <w:t>. Each Significant Restricted Person will (a) timely file all required tax returns (including any extensions),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 timely pay all taxes, assessments, and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governmental charges or levies imposed upon it or upon its income, profits or property, and (c) maintain appropriate accruals and reserves for all of the foregoing as required by GAAP, except to the extent that (y) it is in good faith contesting the validity thereof by appropriate proceedings, if necessary, and has set aside on its books adequate reserves therefor which are required by GAAP or (z) such non-filing, non-payment or non-maintenance would not reasonably be expected to cause a Material Adverse Change.</w:t>
      </w:r>
    </w:p>
    <w:p>
      <w:pPr>
        <w:spacing w:after="0" w:line="187"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Insurance</w:t>
      </w:r>
      <w:r>
        <w:rPr>
          <w:rFonts w:ascii="Arial" w:cs="Arial" w:eastAsia="Arial" w:hAnsi="Arial"/>
          <w:sz w:val="18"/>
          <w:szCs w:val="18"/>
          <w:color w:val="auto"/>
        </w:rPr>
        <w:t>. In accordance with industry standards, each Significant Restricted Person will keep insured (by responsible and reputable insurance companies or associations) or self-insured, at the option of US Borrower or such Significant Restricted Person, in such amounts and against such risks as are usually insured by Persons engaged in the same or similar businesses and owning similar properties. The insurance coverages and amounts will be reasonably determined by US Borrower, based on coverages carried by prudent owners of similar property, and with respect to each Restricted Person, may be maintained by US Borrower.</w:t>
      </w:r>
    </w:p>
    <w:p>
      <w:pPr>
        <w:spacing w:after="0" w:line="18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Section 6.8. </w:t>
      </w:r>
      <w:r>
        <w:rPr>
          <w:rFonts w:ascii="Arial" w:cs="Arial" w:eastAsia="Arial" w:hAnsi="Arial"/>
          <w:sz w:val="17"/>
          <w:szCs w:val="17"/>
          <w:u w:val="single" w:color="auto"/>
          <w:color w:val="auto"/>
        </w:rPr>
        <w:t>Compliance with Agreements and Law</w:t>
      </w:r>
      <w:r>
        <w:rPr>
          <w:rFonts w:ascii="Arial" w:cs="Arial" w:eastAsia="Arial" w:hAnsi="Arial"/>
          <w:sz w:val="17"/>
          <w:szCs w:val="17"/>
          <w:color w:val="auto"/>
        </w:rPr>
        <w:t>. Each Significant Restricted Person will perform all material obligations it is required to perform under the terms of each indenture, mortgage, deed of trust, security agreement, lease, franchise and other material agreement, contract or other instrument (including all contractual obligations and agreements with respect to environmental remediation or other environmental matters) to which it is a party or by which it or any of its properties is bound to the extent that non-performance therewith would not reasonably be expected to cause a Material Adverse Change. Each Restricted Person will conduct its business and affairs in compliance, in all material respects, with all Laws (including Environmental Laws) applicable thereto to the extent non-compliance therewith would not reasonably be expected to cause a Material Adverse Change or such requirement of Law is being contested in good faith or a bona fide dispute exists with respect thereto.</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Section 6.9. </w:t>
      </w:r>
      <w:r>
        <w:rPr>
          <w:rFonts w:ascii="Arial" w:cs="Arial" w:eastAsia="Arial" w:hAnsi="Arial"/>
          <w:sz w:val="17"/>
          <w:szCs w:val="17"/>
          <w:u w:val="single" w:color="auto"/>
          <w:color w:val="auto"/>
        </w:rPr>
        <w:t>Guaranties of Subsidiaries</w:t>
      </w:r>
      <w:r>
        <w:rPr>
          <w:rFonts w:ascii="Arial" w:cs="Arial" w:eastAsia="Arial" w:hAnsi="Arial"/>
          <w:sz w:val="17"/>
          <w:szCs w:val="17"/>
          <w:color w:val="auto"/>
        </w:rPr>
        <w:t>. Each Significant Restricted Person that has outstanding Indebtedness (other than guarantees hereunder), other than a Significant Restricted Person with assets that are regulated by the California Public Utility Commission (the “</w:t>
      </w:r>
      <w:r>
        <w:rPr>
          <w:rFonts w:ascii="Arial" w:cs="Arial" w:eastAsia="Arial" w:hAnsi="Arial"/>
          <w:sz w:val="17"/>
          <w:szCs w:val="17"/>
          <w:u w:val="single" w:color="auto"/>
          <w:color w:val="auto"/>
        </w:rPr>
        <w:t>CPUC</w:t>
      </w:r>
      <w:r>
        <w:rPr>
          <w:rFonts w:ascii="Arial" w:cs="Arial" w:eastAsia="Arial" w:hAnsi="Arial"/>
          <w:sz w:val="17"/>
          <w:szCs w:val="17"/>
          <w:color w:val="auto"/>
        </w:rPr>
        <w:t xml:space="preserve">”) or other similar regulatory body and such Significant Restricted Person is restricted by the CPUC or such body from providing any guaranties of Indebtedness, shall execute and deliver to Administrative Agent an absolute and unconditional guaranty of the timely repayment of the Obligations (in each case for which such Person is not a borrower, account party or similar primary and direct obligor), which guaranty shall be reasonably satisfactory to Administrative Agent in form and substance; </w:t>
      </w:r>
      <w:r>
        <w:rPr>
          <w:rFonts w:ascii="Arial" w:cs="Arial" w:eastAsia="Arial" w:hAnsi="Arial"/>
          <w:sz w:val="17"/>
          <w:szCs w:val="17"/>
          <w:u w:val="single" w:color="auto"/>
          <w:color w:val="auto"/>
        </w:rPr>
        <w:t>provided</w:t>
      </w:r>
      <w:r>
        <w:rPr>
          <w:rFonts w:ascii="Arial" w:cs="Arial" w:eastAsia="Arial" w:hAnsi="Arial"/>
          <w:sz w:val="17"/>
          <w:szCs w:val="17"/>
          <w:color w:val="auto"/>
        </w:rPr>
        <w:t>, with respect to any such Person that is not a Wholly Owned Subsidiary of US Borrower, for which consent or approval of third parties is required for the delivery of such guaranty, such Person shall not be required to deliver such guaranty, but shall use its commercially reasonable best efforts, as determined by Administrative Agent, to deliver such guaranty. Notwithstanding any provision contained herein to the contrary, in no event shall any Unrestricted Subsidiary be required to execute and deliver any guaranty for, or in respect of, the Obligations, or any part thereof. US Borrower will cause each of its Subsidiaries required to deliver a guaranty pursuant to this Section 6.9 to deliver to Administrative Agent, simultaneously with its delivery of such a guaranty, written evidence satisfactory to Administrative Agent that such Subsidiary has taken all corporate, limited liability company or partnership action necessary to duly approve and authorize its execution, delivery and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performance of such guaranty. US Borrower may at any time request the release of one or more Guarantors from their guaranty of the Obligations (other than the guaranty by US Borrower of the Canadian Obligations), and each such Guarantor shall be so released upon such request, </w:t>
      </w:r>
      <w:r>
        <w:rPr>
          <w:rFonts w:ascii="Arial" w:cs="Arial" w:eastAsia="Arial" w:hAnsi="Arial"/>
          <w:sz w:val="18"/>
          <w:szCs w:val="18"/>
          <w:u w:val="single" w:color="auto"/>
          <w:color w:val="auto"/>
        </w:rPr>
        <w:t>provided</w:t>
      </w:r>
      <w:r>
        <w:rPr>
          <w:rFonts w:ascii="Arial" w:cs="Arial" w:eastAsia="Arial" w:hAnsi="Arial"/>
          <w:sz w:val="18"/>
          <w:szCs w:val="18"/>
          <w:color w:val="auto"/>
        </w:rPr>
        <w:t>, no Default exists immediately prior thereto or immediately after giving effect thereto, and either (a) such Guarantor has no outstanding Indebtedness or guaranties of Indebtedness (other than guaranties hereunder) or (b) the request is in contemplation of the sale or disposition of such Subsidiary (including all or substantially all of its assets). Each Agent, as applicable, is authorized to execute and deliver to US Borrower evidence of any such release, as reasonably requested by, and at the expense of, US Borrower.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 - Negative Covenants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To conform with the terms and conditions under which each Lender is willing to have credit outstanding to each of Borrowers and to induce each Lender to enter into this Agreement and make the Loans, each of US Borrower and, with respect to itself and its Subsidiaries, the other Borrowers, covenants and agrees that until the full and final payment of the Obligations and the termination of this Agreement, unless Majority Lenders, or all Lenders as required under Section 10.1, have previously agreed otherwise:</w:t>
      </w:r>
    </w:p>
    <w:p>
      <w:pPr>
        <w:spacing w:after="0" w:line="18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Subsidiary Indebtedness</w:t>
      </w:r>
      <w:r>
        <w:rPr>
          <w:rFonts w:ascii="Arial" w:cs="Arial" w:eastAsia="Arial" w:hAnsi="Arial"/>
          <w:sz w:val="16"/>
          <w:szCs w:val="16"/>
          <w:color w:val="auto"/>
        </w:rPr>
        <w:t>. No Subsidiary of US Borrower will incur any Indebtedness other than:</w:t>
      </w:r>
    </w:p>
    <w:p>
      <w:pPr>
        <w:spacing w:after="0" w:line="225" w:lineRule="exact"/>
        <w:rPr>
          <w:sz w:val="20"/>
          <w:szCs w:val="20"/>
          <w:color w:val="auto"/>
        </w:rPr>
      </w:pPr>
    </w:p>
    <w:p>
      <w:pPr>
        <w:ind w:left="1320" w:hanging="664"/>
        <w:spacing w:after="0"/>
        <w:tabs>
          <w:tab w:leader="none" w:pos="1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Obligations;</w:t>
      </w:r>
    </w:p>
    <w:p>
      <w:pPr>
        <w:spacing w:after="0" w:line="225" w:lineRule="exact"/>
        <w:rPr>
          <w:rFonts w:ascii="Arial" w:cs="Arial" w:eastAsia="Arial" w:hAnsi="Arial"/>
          <w:sz w:val="18"/>
          <w:szCs w:val="18"/>
          <w:color w:val="auto"/>
        </w:rPr>
      </w:pPr>
    </w:p>
    <w:p>
      <w:pPr>
        <w:ind w:right="160" w:firstLine="656"/>
        <w:spacing w:after="0" w:line="264" w:lineRule="auto"/>
        <w:tabs>
          <w:tab w:leader="none" w:pos="130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Guaranties by Guarantors of, and the incurrence of obligations by Guarantors as a co-obligor on (as distinguished from, and in addition to incurring such obligation as, a guarantor of), Indebtedness (i) arising under the Interim 364-Day Credit Agreement, or (ii) of US Borrower or any other Restricted Person, the incurrence of which did not result in a Default or an Event of Default;</w:t>
      </w:r>
    </w:p>
    <w:p>
      <w:pPr>
        <w:sectPr>
          <w:pgSz w:w="11900" w:h="16838" w:orient="portrait"/>
          <w:cols w:equalWidth="0" w:num="1">
            <w:col w:w="11400"/>
          </w:cols>
          <w:pgMar w:left="240" w:top="125" w:right="259" w:bottom="0" w:gutter="0" w:footer="0" w:header="0"/>
        </w:sectPr>
      </w:pPr>
    </w:p>
    <w:bookmarkStart w:id="44" w:name="page45"/>
    <w:bookmarkEnd w:id="44"/>
    <w:p>
      <w:pPr>
        <w:spacing w:after="0" w:line="50" w:lineRule="exact"/>
        <w:rPr>
          <w:sz w:val="20"/>
          <w:szCs w:val="20"/>
          <w:color w:val="auto"/>
        </w:rPr>
      </w:pPr>
    </w:p>
    <w:p>
      <w:pPr>
        <w:ind w:left="1320" w:hanging="664"/>
        <w:spacing w:after="0"/>
        <w:tabs>
          <w:tab w:leader="none" w:pos="1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Indebtedness of Plains Marketing pursuant to the Contango Credit Agreement;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Indebtedness of any Restricted Person owing to another Restricted Person;</w:t>
      </w:r>
    </w:p>
    <w:p>
      <w:pPr>
        <w:spacing w:after="0" w:line="225" w:lineRule="exact"/>
        <w:rPr>
          <w:rFonts w:ascii="Arial" w:cs="Arial" w:eastAsia="Arial" w:hAnsi="Arial"/>
          <w:sz w:val="18"/>
          <w:szCs w:val="18"/>
          <w:color w:val="auto"/>
        </w:rPr>
      </w:pPr>
    </w:p>
    <w:p>
      <w:pPr>
        <w:ind w:right="60" w:firstLine="656"/>
        <w:spacing w:after="0" w:line="264" w:lineRule="auto"/>
        <w:tabs>
          <w:tab w:leader="none" w:pos="130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Indebtedness of any Subsidiary described in clause (b) of the definition of “Indebtedness” that is determinable but not yet earned; </w:t>
      </w:r>
      <w:r>
        <w:rPr>
          <w:rFonts w:ascii="Arial" w:cs="Arial" w:eastAsia="Arial" w:hAnsi="Arial"/>
          <w:sz w:val="18"/>
          <w:szCs w:val="18"/>
          <w:u w:val="single" w:color="auto"/>
          <w:color w:val="auto"/>
        </w:rPr>
        <w:t>provided</w:t>
      </w:r>
      <w:r>
        <w:rPr>
          <w:rFonts w:ascii="Arial" w:cs="Arial" w:eastAsia="Arial" w:hAnsi="Arial"/>
          <w:sz w:val="18"/>
          <w:szCs w:val="18"/>
          <w:color w:val="auto"/>
        </w:rPr>
        <w:t>, US Borrower reasonably contemplates that such Indebtedness will be repaid from the proceeds of one or more advances made by US Borrower to such Subsidiary;</w:t>
      </w:r>
    </w:p>
    <w:p>
      <w:pPr>
        <w:spacing w:after="0" w:line="181" w:lineRule="exact"/>
        <w:rPr>
          <w:rFonts w:ascii="Arial" w:cs="Arial" w:eastAsia="Arial" w:hAnsi="Arial"/>
          <w:sz w:val="18"/>
          <w:szCs w:val="18"/>
          <w:color w:val="auto"/>
        </w:rPr>
      </w:pPr>
    </w:p>
    <w:p>
      <w:pPr>
        <w:ind w:right="120" w:firstLine="656"/>
        <w:spacing w:after="0" w:line="302" w:lineRule="auto"/>
        <w:tabs>
          <w:tab w:leader="none" w:pos="131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Indebtedness of a Subsidiary acquired (including acquisition by merger, consolidation or amalgamation) after the date hereof by a Restricted Person, which Indebtedness was incurred by such Subsidiary before the time of such acquisition, merger, consolidation or amalgamation, and was not created in contemplation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contemporaneously with such acquisition, merger, consolidation or amalgamation, and so long as no adverse tax and/or regulatory consequences are caused thereby, such Subsidiary shall be a Guarantor subject to the provisions of Section 6.9;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56"/>
        <w:spacing w:after="0" w:line="342" w:lineRule="auto"/>
        <w:tabs>
          <w:tab w:leader="none" w:pos="130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Indebtedness not otherwise described in the foregoing clauses (a) through (f) owing by any one or more Guarantors in an aggregate principal amount not to exceed at any time outstanding the greater of (A) $100,000,000 and (B) fifteen percent (15%) of Consolidated Tangible Net Worth.</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Limitation on Liens</w:t>
      </w:r>
      <w:r>
        <w:rPr>
          <w:rFonts w:ascii="Arial" w:cs="Arial" w:eastAsia="Arial" w:hAnsi="Arial"/>
          <w:sz w:val="18"/>
          <w:szCs w:val="18"/>
          <w:color w:val="auto"/>
        </w:rPr>
        <w:t>. No Restricted Person will create, assume or permit to exist any Lien upon any Principal Property or upon the stock, membership interests, partnership interests or other equity ownership interests of any Subsidiary of US Borrower (other than Unrestricted Subsidiaries), except the following (“</w:t>
      </w:r>
      <w:r>
        <w:rPr>
          <w:rFonts w:ascii="Arial" w:cs="Arial" w:eastAsia="Arial" w:hAnsi="Arial"/>
          <w:sz w:val="18"/>
          <w:szCs w:val="18"/>
          <w:u w:val="single" w:color="auto"/>
          <w:color w:val="auto"/>
        </w:rPr>
        <w:t>Permitted Liens</w:t>
      </w:r>
      <w:r>
        <w:rPr>
          <w:rFonts w:ascii="Arial" w:cs="Arial" w:eastAsia="Arial" w:hAnsi="Arial"/>
          <w:sz w:val="18"/>
          <w:szCs w:val="18"/>
          <w:color w:val="auto"/>
        </w:rPr>
        <w:t>”):</w:t>
      </w:r>
    </w:p>
    <w:p>
      <w:pPr>
        <w:spacing w:after="0" w:line="181" w:lineRule="exact"/>
        <w:rPr>
          <w:sz w:val="20"/>
          <w:szCs w:val="20"/>
          <w:color w:val="auto"/>
        </w:rPr>
      </w:pPr>
    </w:p>
    <w:p>
      <w:pPr>
        <w:ind w:right="260" w:firstLine="656"/>
        <w:spacing w:after="0" w:line="277" w:lineRule="auto"/>
        <w:tabs>
          <w:tab w:leader="none" w:pos="130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Liens securing (i) on a pari passu basis, both (x) the Obligations and (y) the Liabilities of any Restricted Person arising under the Interim 364-Day Credit Agreement, and (ii) if required, any related interest hedge rate agreements;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225" w:lineRule="exact"/>
        <w:rPr>
          <w:rFonts w:ascii="Arial" w:cs="Arial" w:eastAsia="Arial" w:hAnsi="Arial"/>
          <w:sz w:val="18"/>
          <w:szCs w:val="18"/>
          <w:color w:val="auto"/>
        </w:rPr>
      </w:pPr>
    </w:p>
    <w:p>
      <w:pPr>
        <w:ind w:right="40" w:firstLine="656"/>
        <w:spacing w:after="0" w:line="264" w:lineRule="auto"/>
        <w:tabs>
          <w:tab w:leader="none" w:pos="130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Liens imposed by any governmental authority for taxes, assessments or charges not yet due or the validity of which is being contested in good faith and by appropriate proceedings, if necessary, for which adequate reserves are maintained on the books of any Restricted Person in accordance with GAAP;</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pledges or deposits of cash or securities under worker’s compensation, unemployment insurance or other social security legislation;</w:t>
      </w:r>
    </w:p>
    <w:p>
      <w:pPr>
        <w:spacing w:after="0" w:line="236" w:lineRule="exact"/>
        <w:rPr>
          <w:rFonts w:ascii="Arial" w:cs="Arial" w:eastAsia="Arial" w:hAnsi="Arial"/>
          <w:sz w:val="17"/>
          <w:szCs w:val="17"/>
          <w:color w:val="auto"/>
        </w:rPr>
      </w:pPr>
    </w:p>
    <w:p>
      <w:pPr>
        <w:jc w:val="both"/>
        <w:ind w:right="80" w:firstLine="656"/>
        <w:spacing w:after="0" w:line="259" w:lineRule="auto"/>
        <w:tabs>
          <w:tab w:leader="none" w:pos="130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landlord’s, or other like Liens (including without limitation, Liens on property of any Restricted Person in the possession of storage facilities, pipelines or barges) arising in the ordinary course of business for amounts which are not more than 60 days past due or the validity of which is being contested in good faith and, if necessary, by appropriate proceedings, and for which adequate reserves are maintained on the books of any Restricted Person in accordance with GAAP;</w:t>
      </w:r>
    </w:p>
    <w:p>
      <w:pPr>
        <w:spacing w:after="0" w:line="186" w:lineRule="exact"/>
        <w:rPr>
          <w:rFonts w:ascii="Arial" w:cs="Arial" w:eastAsia="Arial" w:hAnsi="Arial"/>
          <w:sz w:val="18"/>
          <w:szCs w:val="18"/>
          <w:color w:val="auto"/>
        </w:rPr>
      </w:pPr>
    </w:p>
    <w:p>
      <w:pPr>
        <w:ind w:right="440" w:firstLine="656"/>
        <w:spacing w:after="0" w:line="342" w:lineRule="auto"/>
        <w:tabs>
          <w:tab w:leader="none" w:pos="131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Liens on cash and Cash Equivalents under or with respect to accounts with brokers or counterparties with respect to hedging contracts consisting of cash, commodities or futures contracts, options, securities, instruments, and other like assets securing only hedging contracts;</w:t>
      </w:r>
    </w:p>
    <w:p>
      <w:pPr>
        <w:spacing w:after="0" w:line="123" w:lineRule="exact"/>
        <w:rPr>
          <w:rFonts w:ascii="Arial" w:cs="Arial" w:eastAsia="Arial" w:hAnsi="Arial"/>
          <w:sz w:val="16"/>
          <w:szCs w:val="16"/>
          <w:color w:val="auto"/>
        </w:rPr>
      </w:pPr>
    </w:p>
    <w:p>
      <w:pPr>
        <w:ind w:right="800" w:firstLine="656"/>
        <w:spacing w:after="0" w:line="342" w:lineRule="auto"/>
        <w:tabs>
          <w:tab w:leader="none" w:pos="130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deposits of cash or securities to secure the performance of bids, trade contracts (other than for borrowed money), leases, statutory obligations, surety and appeal bonds, performance bonds and other obligations of a like nature incurred in the ordinary course of business;</w:t>
      </w:r>
    </w:p>
    <w:p>
      <w:pPr>
        <w:spacing w:after="0" w:line="123" w:lineRule="exact"/>
        <w:rPr>
          <w:rFonts w:ascii="Arial" w:cs="Arial" w:eastAsia="Arial" w:hAnsi="Arial"/>
          <w:sz w:val="16"/>
          <w:szCs w:val="16"/>
          <w:color w:val="auto"/>
        </w:rPr>
      </w:pPr>
    </w:p>
    <w:p>
      <w:pPr>
        <w:ind w:right="260" w:firstLine="656"/>
        <w:spacing w:after="0" w:line="259" w:lineRule="auto"/>
        <w:tabs>
          <w:tab w:leader="none" w:pos="130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incurred in the ordinary course of business and encumbrances consisting of zoning restrictions, easements, licenses, restrictions on the use of real property or minor imperfections in title thereto which, in the aggregate, are not material in amount, and which do not in any case materially detract from the value of the property subject thereto or interfere with the ordinary conduct of the business of any Restricted Person;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Liens in respect of operating leases;</w:t>
      </w:r>
    </w:p>
    <w:p>
      <w:pPr>
        <w:spacing w:after="0" w:line="225" w:lineRule="exact"/>
        <w:rPr>
          <w:rFonts w:ascii="Arial" w:cs="Arial" w:eastAsia="Arial" w:hAnsi="Arial"/>
          <w:sz w:val="18"/>
          <w:szCs w:val="18"/>
          <w:color w:val="auto"/>
        </w:rPr>
      </w:pPr>
    </w:p>
    <w:p>
      <w:pPr>
        <w:ind w:firstLine="656"/>
        <w:spacing w:after="0" w:line="293" w:lineRule="auto"/>
        <w:tabs>
          <w:tab w:leader="none" w:pos="131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Liens upon any property or assets directly or indirectly acquired after the date hereof by a Restricted Person, each of which either (i) existed on such property or asset before the time of its acquisition and was not created in anticipation thereof, or (ii) was created solely for the purpose of securing Indebtedness representing, or incurred to finance, refinance or refund, the cost (including the cost of construction) of such property or asset; provided that no such Lien shall extend to or cover any property or asset of a Restricted Person other than the property or asset so acquired (or constructed); and any extension, renewal, refinancing, refunding or replacement (or successive extensions, renewals, refinancings, refundings or replacements), in whole or part, of the foregoing, provided, however, that such Liens shall not cover or secure any additional Indebtedness, obligations, property or asset;</w:t>
      </w:r>
    </w:p>
    <w:p>
      <w:pPr>
        <w:spacing w:after="0" w:line="164" w:lineRule="exact"/>
        <w:rPr>
          <w:rFonts w:ascii="Arial" w:cs="Arial" w:eastAsia="Arial" w:hAnsi="Arial"/>
          <w:sz w:val="16"/>
          <w:szCs w:val="16"/>
          <w:color w:val="auto"/>
        </w:rPr>
      </w:pPr>
    </w:p>
    <w:p>
      <w:pPr>
        <w:ind w:right="300" w:firstLine="656"/>
        <w:spacing w:after="0" w:line="264" w:lineRule="auto"/>
        <w:tabs>
          <w:tab w:leader="none" w:pos="131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rights reserved to or vested in any governmental authority by the terms of any right, power, franchise, grant, license or permit, or by any provision of law, to revoke or terminate any such right, power, franchise, grant, license or permit or to condemn or acquire by eminent domain or similar process;</w:t>
      </w:r>
    </w:p>
    <w:p>
      <w:pPr>
        <w:spacing w:after="0" w:line="181" w:lineRule="exact"/>
        <w:rPr>
          <w:rFonts w:ascii="Arial" w:cs="Arial" w:eastAsia="Arial" w:hAnsi="Arial"/>
          <w:sz w:val="18"/>
          <w:szCs w:val="18"/>
          <w:color w:val="auto"/>
        </w:rPr>
      </w:pPr>
    </w:p>
    <w:p>
      <w:pPr>
        <w:ind w:right="60" w:firstLine="656"/>
        <w:spacing w:after="0" w:line="342" w:lineRule="auto"/>
        <w:tabs>
          <w:tab w:leader="none" w:pos="131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rights reserved to or vested by Law in any governmental authority to in any manner, control or regulate in any manner any of the properties of any Restricted Person or the use thereof or the rights and interests of any Restricted Person therein, in any manner under any and all Laws;</w:t>
      </w:r>
    </w:p>
    <w:p>
      <w:pPr>
        <w:spacing w:after="0" w:line="123" w:lineRule="exact"/>
        <w:rPr>
          <w:rFonts w:ascii="Arial" w:cs="Arial" w:eastAsia="Arial" w:hAnsi="Arial"/>
          <w:sz w:val="16"/>
          <w:szCs w:val="16"/>
          <w:color w:val="auto"/>
        </w:rPr>
      </w:pPr>
    </w:p>
    <w:p>
      <w:pPr>
        <w:ind w:right="380" w:firstLine="656"/>
        <w:spacing w:after="0" w:line="342" w:lineRule="auto"/>
        <w:tabs>
          <w:tab w:leader="none" w:pos="132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rights reserved to the grantors of any properties of any Restricted Person, and the restrictions, conditions, restrictive covenants and limitations, in respect thereto, pursuant to the terms, conditions and provisions of any rights-of-way agreements, contracts or other agreements therewith;</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inchoate Liens in respect of pending litigation or with respect to a judgment which has not resulted in an Event of Default under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8.1;</w:t>
      </w:r>
    </w:p>
    <w:p>
      <w:pPr>
        <w:sectPr>
          <w:pgSz w:w="11900" w:h="16888" w:orient="portrait"/>
          <w:cols w:equalWidth="0" w:num="1">
            <w:col w:w="11420"/>
          </w:cols>
          <w:pgMar w:left="240" w:top="125" w:right="239" w:bottom="0" w:gutter="0" w:footer="0" w:header="0"/>
        </w:sectPr>
      </w:pPr>
    </w:p>
    <w:bookmarkStart w:id="45" w:name="page46"/>
    <w:bookmarkEnd w:id="45"/>
    <w:p>
      <w:pPr>
        <w:spacing w:after="0" w:line="90" w:lineRule="exact"/>
        <w:rPr>
          <w:sz w:val="20"/>
          <w:szCs w:val="20"/>
          <w:color w:val="auto"/>
        </w:rPr>
      </w:pPr>
    </w:p>
    <w:p>
      <w:pPr>
        <w:ind w:right="340" w:firstLine="656"/>
        <w:spacing w:after="0" w:line="277" w:lineRule="auto"/>
        <w:tabs>
          <w:tab w:leader="none" w:pos="130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Liens securing obligations in an aggregate principal amount not to exceed at any time outstanding 10% of US Borrower’s Consolidated Tangible Net Worth; and</w:t>
      </w:r>
    </w:p>
    <w:p>
      <w:pPr>
        <w:spacing w:after="0" w:line="170" w:lineRule="exact"/>
        <w:rPr>
          <w:rFonts w:ascii="Arial" w:cs="Arial" w:eastAsia="Arial" w:hAnsi="Arial"/>
          <w:sz w:val="18"/>
          <w:szCs w:val="18"/>
          <w:color w:val="auto"/>
        </w:rPr>
      </w:pPr>
    </w:p>
    <w:p>
      <w:pPr>
        <w:jc w:val="both"/>
        <w:ind w:right="20" w:firstLine="656"/>
        <w:spacing w:after="0" w:line="264" w:lineRule="auto"/>
        <w:tabs>
          <w:tab w:leader="none" w:pos="130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Liens related to the extension, renewal, refinancing, refunding or replacement (or successive extensions, renewals, refinancings, refundings or replacements), in whole or in part, of clauses (a), (b) and (o) of this Section 7.2; provided, however, that such Liens shall not cover or secure any additional Indebtedness.</w:t>
      </w:r>
    </w:p>
    <w:p>
      <w:pPr>
        <w:spacing w:after="0" w:line="181"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Limitation on Mergers</w:t>
      </w:r>
      <w:r>
        <w:rPr>
          <w:rFonts w:ascii="Arial" w:cs="Arial" w:eastAsia="Arial" w:hAnsi="Arial"/>
          <w:sz w:val="17"/>
          <w:szCs w:val="17"/>
          <w:color w:val="auto"/>
        </w:rPr>
        <w:t>. Except as expressly provided in this section, no Significant Restricted Person (other than (i) a Guarantor for whom a release has been requested pursuant to an event described in clause (b) of Section 6.9 and otherwise is so released, or (ii) such other Significant Restricted Person, other than a Borrower, that is the subject of any such event described in such clause (b) of Section 6.9) will (a) merge or consolidate or amalgamate with any Person, or liquidate, wind up or dissolve or (b) sell, transfer, lease, exchange or otherwise dispose of, in one transaction or a series of related transactions, all or substantially all of its business or property, whether now owned or hereafter acquired, to any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Person; </w:t>
      </w:r>
      <w:r>
        <w:rPr>
          <w:rFonts w:ascii="Arial" w:cs="Arial" w:eastAsia="Arial" w:hAnsi="Arial"/>
          <w:sz w:val="18"/>
          <w:szCs w:val="18"/>
          <w:u w:val="single" w:color="auto"/>
          <w:color w:val="auto"/>
        </w:rPr>
        <w:t>provided</w:t>
      </w:r>
      <w:r>
        <w:rPr>
          <w:rFonts w:ascii="Arial" w:cs="Arial" w:eastAsia="Arial" w:hAnsi="Arial"/>
          <w:sz w:val="18"/>
          <w:szCs w:val="18"/>
          <w:color w:val="auto"/>
        </w:rPr>
        <w:t>, any such Significant Restricted Person, other than a Borrower, may (A) merge into or consolidate or amalgamate with, and such business and property may be disposed of to:</w:t>
      </w:r>
    </w:p>
    <w:p>
      <w:pPr>
        <w:spacing w:after="0" w:line="170" w:lineRule="exact"/>
        <w:rPr>
          <w:sz w:val="20"/>
          <w:szCs w:val="20"/>
          <w:color w:val="auto"/>
        </w:rPr>
      </w:pPr>
    </w:p>
    <w:p>
      <w:pPr>
        <w:ind w:right="660" w:firstLine="1305"/>
        <w:spacing w:after="0" w:line="277" w:lineRule="auto"/>
        <w:tabs>
          <w:tab w:leader="none" w:pos="196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any other Subsidiary of US Borrower; </w:t>
      </w:r>
      <w:r>
        <w:rPr>
          <w:rFonts w:ascii="Arial" w:cs="Arial" w:eastAsia="Arial" w:hAnsi="Arial"/>
          <w:sz w:val="18"/>
          <w:szCs w:val="18"/>
          <w:u w:val="single" w:color="auto"/>
          <w:color w:val="auto"/>
        </w:rPr>
        <w:t>provided</w:t>
      </w:r>
      <w:r>
        <w:rPr>
          <w:rFonts w:ascii="Arial" w:cs="Arial" w:eastAsia="Arial" w:hAnsi="Arial"/>
          <w:sz w:val="18"/>
          <w:szCs w:val="18"/>
          <w:color w:val="auto"/>
        </w:rPr>
        <w:t>, if such Significant Restricted Person or such Subsidiary is a Guarantor, a Guarantor is the surviving or transferee (as applicable) business entity,</w:t>
      </w:r>
    </w:p>
    <w:p>
      <w:pPr>
        <w:spacing w:after="0" w:line="170" w:lineRule="exact"/>
        <w:rPr>
          <w:rFonts w:ascii="Arial" w:cs="Arial" w:eastAsia="Arial" w:hAnsi="Arial"/>
          <w:sz w:val="18"/>
          <w:szCs w:val="18"/>
          <w:color w:val="auto"/>
        </w:rPr>
      </w:pPr>
    </w:p>
    <w:p>
      <w:pPr>
        <w:ind w:right="560" w:firstLine="1305"/>
        <w:spacing w:after="0" w:line="277" w:lineRule="auto"/>
        <w:tabs>
          <w:tab w:leader="none" w:pos="197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Borrower, so long as such Borrower is the surviving or transferee (as applicable) business entity and after giving effect thereto, no Default exists, or</w:t>
      </w:r>
    </w:p>
    <w:p>
      <w:pPr>
        <w:spacing w:after="0" w:line="170" w:lineRule="exact"/>
        <w:rPr>
          <w:rFonts w:ascii="Arial" w:cs="Arial" w:eastAsia="Arial" w:hAnsi="Arial"/>
          <w:sz w:val="18"/>
          <w:szCs w:val="18"/>
          <w:color w:val="auto"/>
        </w:rPr>
      </w:pPr>
    </w:p>
    <w:p>
      <w:pPr>
        <w:ind w:right="100" w:firstLine="1305"/>
        <w:spacing w:after="0" w:line="279" w:lineRule="auto"/>
        <w:tabs>
          <w:tab w:leader="none" w:pos="198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any other Person pursuant or incidental to, or in connection with, any contemporaneous or substantially contemporaneous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clause (iii) such merging, amalgamating, consolidating or transferor Significant Restricted Person is not a Borrower, Guarantor or a Wholly Owned Subsidiary of US Borrower, other than a Wholly Owned Subsidiary that was formed, acquired or created solely for purposes of such acquisition or otherwise conducted no operations and owned no assets, other than of an inconsequential amount 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 dissolve, liquidate or wind up if such dissolution, liquidation and winding up results from dispositions not prohibited by this Agreement.</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u w:val="single" w:color="auto"/>
          <w:color w:val="auto"/>
        </w:rPr>
        <w:t>Limitation on New Businesses</w:t>
      </w:r>
      <w:r>
        <w:rPr>
          <w:rFonts w:ascii="Arial" w:cs="Arial" w:eastAsia="Arial" w:hAnsi="Arial"/>
          <w:sz w:val="17"/>
          <w:szCs w:val="17"/>
          <w:color w:val="auto"/>
        </w:rPr>
        <w:t>. No Restricted Person will materially or substantially engage directly or indirectly in any business or conduct any operations other than (i) marketing, gathering, transporting (by barge, pipeline, ship, truck or other modes of hydrocarbon transportation), terminalling, storing, producing, acquiring, developing, exploring for, exploiting, producing, processing, dehydrating and otherwise handling hydrocarbons, including, without limitation, constructing pipeline, platform, dehydration, processing and other energy-related facilities, (ii) any other business that generates gross income that constitutes “qualifying income” under Section 7704(d) of the Internal Revenue Code of 1986, as amended, or (iii) activities or services reasonably related or ancillary thereto, including entering into hedging obligations to support those businesses.</w:t>
      </w:r>
    </w:p>
    <w:p>
      <w:pPr>
        <w:spacing w:after="0" w:line="17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No Restricted Person will engage in any material transaction with any of its Affiliates except as</w:t>
      </w:r>
    </w:p>
    <w:p>
      <w:pPr>
        <w:spacing w:after="0" w:line="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follows: (a) transactions among US Borrower and its Subsidiaries or between Subsidiaries of US Borrower; (b) if and to the extent any of them constitute transactions with Affiliates, transactions governed by the Amended and Restated Omnibus Agreement between Plains Resources Inc., US Borrower, Plains Marketing, GP LLC, Plains Marketing GP, Inc. and Plains Pipeline (and successors of each) dated July 23, 2004, as amended and in effect; the Administrative Services Agreement between GP LLC and Vulcan Energy Company dated October 14, 2005, as amended and in effect; the Amended and Restated Limited Liability Company Agreement of PAA/Vulcan Natural Gas Storage, LLC, dated as of September 16, 2005, and amended by the First Amendment thereto dated as of May 9, 2006, as further amended and in effect; the Natural Gas Supply Agreement between US Borrower and PAA/Vulcan Natural Gas Storage, LLC dated as of May 9, 2006, as amended and in effect, or the Amended and Restated Crude Oil Marketing Agreement among Plains Resources Inc., Calumet Florida, LLC and Plains Marketing dated as of July 23, 2004, as amended; (c) any employment, equity award, equity option or equity appreciation agreement or plan entered into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by US Borrower or any of its Subsidiaries in the ordinary course of business of US Borrower or such Subsidiary; (d) transactions effected in accordance with the terms of agreements as in effect on the Closing Date; (e) customary compensation, indemnification and other benefits made available to officers, directors or employees of US Borrower, any of its Subsidiaries or GP LLC, including reimbursement or advancement of out-of-pocket expenses and provisions of officers’ and directors’ liability insurance; (f) transactions as contemplated by US Borrower’s agreement of limited partnership; and (g) transactions on terms which are no less favorable to such Restricted Person than those which would have been obtainable at the time in arm’s-length transactions with Persons other than such Affiliates.</w:t>
      </w:r>
    </w:p>
    <w:p>
      <w:pPr>
        <w:spacing w:after="0" w:line="19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Limitation on Distributions</w:t>
      </w:r>
      <w:r>
        <w:rPr>
          <w:rFonts w:ascii="Arial" w:cs="Arial" w:eastAsia="Arial" w:hAnsi="Arial"/>
          <w:sz w:val="18"/>
          <w:szCs w:val="18"/>
          <w:color w:val="auto"/>
        </w:rPr>
        <w:t>. US Borrower shall not declare or pay any Distribution so long as any Default or Event of Default has occurred and is continuing or would result therefrom.</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Restricted Contracts</w:t>
      </w:r>
      <w:r>
        <w:rPr>
          <w:rFonts w:ascii="Arial" w:cs="Arial" w:eastAsia="Arial" w:hAnsi="Arial"/>
          <w:sz w:val="18"/>
          <w:szCs w:val="18"/>
          <w:color w:val="auto"/>
        </w:rPr>
        <w:t>. Except as expressly provided for in the Loan Documents, the Interim 364-Day Credit Agreement and as described in the Disclosure Schedule or pursuant to a Restriction Exception, the substance of which, in detail satisfactory to Administrative Agent, is promptly reported to Administrative Agent, no Restricted Person will, directly or indirectly, enter into, create, or otherwise allow to exist any contract or other consensual restriction on the ability of any Subsidiary of US Borrower, including but not limited to either Canadian Borrower and any Subsidiary of such Persons to: (a) pay dividends or make other distributions to US Borrower or either Canadian Borrower, (b) redeem equity interests held in it by US Borrower or either Canadian Borrower, (c) repay loans and other indebtedness owing by it to US Borrower or either Canadian Borrower, or (d) transfer any of its assets to US Borrower or either Canadian Borrower.</w:t>
      </w:r>
    </w:p>
    <w:p>
      <w:pPr>
        <w:spacing w:after="0" w:line="18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Debt Coverage Ratio</w:t>
      </w:r>
      <w:r>
        <w:rPr>
          <w:rFonts w:ascii="Arial" w:cs="Arial" w:eastAsia="Arial" w:hAnsi="Arial"/>
          <w:sz w:val="18"/>
          <w:szCs w:val="18"/>
          <w:color w:val="auto"/>
        </w:rPr>
        <w:t>. At the end of any Fiscal Quarter, the Debt Coverage Ratio will not be greater than the amount set forth below for the applicable time set forth below:</w:t>
      </w:r>
    </w:p>
    <w:p>
      <w:pPr>
        <w:sectPr>
          <w:pgSz w:w="11900" w:h="16929" w:orient="portrait"/>
          <w:cols w:equalWidth="0" w:num="1">
            <w:col w:w="11400"/>
          </w:cols>
          <w:pgMar w:left="240" w:top="341" w:right="259" w:bottom="0" w:gutter="0" w:footer="0" w:header="0"/>
        </w:sectPr>
      </w:pPr>
    </w:p>
    <w:bookmarkStart w:id="46" w:name="page47"/>
    <w:bookmarkEnd w:id="46"/>
    <w:tbl>
      <w:tblPr>
        <w:tblLayout w:type="fixed"/>
        <w:tblInd w:w="13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(i)</w:t>
            </w:r>
          </w:p>
        </w:tc>
        <w:tc>
          <w:tcPr>
            <w:tcW w:w="3480" w:type="dxa"/>
            <w:vAlign w:val="bottom"/>
          </w:tcPr>
          <w:p>
            <w:pPr>
              <w:ind w:left="380"/>
              <w:spacing w:after="0"/>
              <w:rPr>
                <w:sz w:val="20"/>
                <w:szCs w:val="20"/>
                <w:color w:val="auto"/>
              </w:rPr>
            </w:pPr>
            <w:r>
              <w:rPr>
                <w:rFonts w:ascii="Arial" w:cs="Arial" w:eastAsia="Arial" w:hAnsi="Arial"/>
                <w:sz w:val="18"/>
                <w:szCs w:val="18"/>
                <w:color w:val="auto"/>
              </w:rPr>
              <w:t>During an Acquisition Period:</w:t>
            </w:r>
          </w:p>
        </w:tc>
        <w:tc>
          <w:tcPr>
            <w:tcW w:w="1460" w:type="dxa"/>
            <w:vAlign w:val="bottom"/>
          </w:tcPr>
          <w:p>
            <w:pPr>
              <w:ind w:left="700"/>
              <w:spacing w:after="0"/>
              <w:rPr>
                <w:sz w:val="20"/>
                <w:szCs w:val="20"/>
                <w:color w:val="auto"/>
              </w:rPr>
            </w:pPr>
            <w:r>
              <w:rPr>
                <w:rFonts w:ascii="Arial" w:cs="Arial" w:eastAsia="Arial" w:hAnsi="Arial"/>
                <w:sz w:val="18"/>
                <w:szCs w:val="18"/>
                <w:color w:val="auto"/>
                <w:w w:val="86"/>
              </w:rPr>
              <w:t>5.25 to 1.0</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(ii)</w:t>
            </w:r>
          </w:p>
        </w:tc>
        <w:tc>
          <w:tcPr>
            <w:tcW w:w="3480" w:type="dxa"/>
            <w:vAlign w:val="bottom"/>
          </w:tcPr>
          <w:p>
            <w:pPr>
              <w:ind w:left="380"/>
              <w:spacing w:after="0"/>
              <w:rPr>
                <w:sz w:val="20"/>
                <w:szCs w:val="20"/>
                <w:color w:val="auto"/>
              </w:rPr>
            </w:pPr>
            <w:r>
              <w:rPr>
                <w:rFonts w:ascii="Arial" w:cs="Arial" w:eastAsia="Arial" w:hAnsi="Arial"/>
                <w:sz w:val="18"/>
                <w:szCs w:val="18"/>
                <w:color w:val="auto"/>
              </w:rPr>
              <w:t>Other than an Acquisition Period:</w:t>
            </w:r>
          </w:p>
        </w:tc>
        <w:tc>
          <w:tcPr>
            <w:tcW w:w="1460" w:type="dxa"/>
            <w:vAlign w:val="bottom"/>
          </w:tcPr>
          <w:p>
            <w:pPr>
              <w:ind w:left="700"/>
              <w:spacing w:after="0"/>
              <w:rPr>
                <w:sz w:val="20"/>
                <w:szCs w:val="20"/>
                <w:color w:val="auto"/>
              </w:rPr>
            </w:pPr>
            <w:r>
              <w:rPr>
                <w:rFonts w:ascii="Arial" w:cs="Arial" w:eastAsia="Arial" w:hAnsi="Arial"/>
                <w:sz w:val="18"/>
                <w:szCs w:val="18"/>
                <w:color w:val="auto"/>
                <w:w w:val="86"/>
              </w:rPr>
              <w:t>4.75 to 1.0</w:t>
            </w:r>
          </w:p>
        </w:tc>
      </w:tr>
    </w:tbl>
    <w:p>
      <w:pPr>
        <w:spacing w:after="0" w:line="20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used herein, “</w:t>
      </w:r>
      <w:r>
        <w:rPr>
          <w:rFonts w:ascii="Arial" w:cs="Arial" w:eastAsia="Arial" w:hAnsi="Arial"/>
          <w:sz w:val="16"/>
          <w:szCs w:val="16"/>
          <w:u w:val="single" w:color="auto"/>
          <w:color w:val="auto"/>
        </w:rPr>
        <w:t>Debt Coverage Ratio</w:t>
      </w:r>
      <w:r>
        <w:rPr>
          <w:rFonts w:ascii="Arial" w:cs="Arial" w:eastAsia="Arial" w:hAnsi="Arial"/>
          <w:sz w:val="16"/>
          <w:szCs w:val="16"/>
          <w:color w:val="auto"/>
        </w:rPr>
        <w:t xml:space="preserve">” means the ratio of (a) Consolidated Funded Indebtedness to (b) Consolidated EBITDA, for the four Fiscal Quarter period (or other period specified below) most recently ended prior to the date of determination for which financial statements contemplated by Section 6.2(a) or (b) are available to US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for purposes of this Section 7.8, if, since the beginning of the four Fiscal Quarter period ending on the date for which Consolidated EBITDA is determined, any Restricted Person shall have made any asset disposition or acquisition, shall have consolidated or merged with or into any Person (other than another Restricted Person), or shall have made any disposition or acquisition of a Restricted Person or disposition or acquisition of any partial ownership interest in any other Person, Consolidated EBITDA shall be calculated giving pro forma effect thereto as if the disposition, acquisition, consolidation or merger had occurred on the first day of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with respect to any Person not constituting a Subsidiary of US Borrower, such pro forma calculation of Consolidated EBITDA, with respect to any such Person, shall be limited to not more than 75%</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 xml:space="preserve">of (i) such Restricted Person’s ownership interest in such Person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(ii) the difference of such Person’s (A) Consolidated EBITDA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Interest Expense and capital expenditures. Such pro forma calculations shall be determined (i) in good faith by the chief financial officer of US Borrower, and (ii) without giving effect to any anticipated or proposed change in operations, revenues, expenses or other items included in the computation of Consolidated EBITDA, except cost reductions specifically identified at the time of disposition, acquisition, consolidation or merger that are attributable to personnel reductions, non-recurring maintenance and environmental costs and allocated corporate overhead; </w:t>
      </w:r>
      <w:r>
        <w:rPr>
          <w:rFonts w:ascii="Arial" w:cs="Arial" w:eastAsia="Arial" w:hAnsi="Arial"/>
          <w:sz w:val="17"/>
          <w:szCs w:val="17"/>
          <w:u w:val="single" w:color="auto"/>
          <w:color w:val="auto"/>
        </w:rPr>
        <w:t>provided further</w:t>
      </w:r>
      <w:r>
        <w:rPr>
          <w:rFonts w:ascii="Arial" w:cs="Arial" w:eastAsia="Arial" w:hAnsi="Arial"/>
          <w:sz w:val="17"/>
          <w:szCs w:val="17"/>
          <w:color w:val="auto"/>
        </w:rPr>
        <w:t>, Consolidated EBITDA may include, at US Borrower’s option, any Material Project EBITDA Adjustments as provided below.</w:t>
      </w:r>
    </w:p>
    <w:p>
      <w:pPr>
        <w:spacing w:after="0" w:line="17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As used herein, “</w:t>
      </w:r>
      <w:r>
        <w:rPr>
          <w:rFonts w:ascii="Arial" w:cs="Arial" w:eastAsia="Arial" w:hAnsi="Arial"/>
          <w:sz w:val="17"/>
          <w:szCs w:val="17"/>
          <w:u w:val="single" w:color="auto"/>
          <w:color w:val="auto"/>
        </w:rPr>
        <w:t>Material Project EBITDA Adjustments</w:t>
      </w:r>
      <w:r>
        <w:rPr>
          <w:rFonts w:ascii="Arial" w:cs="Arial" w:eastAsia="Arial" w:hAnsi="Arial"/>
          <w:sz w:val="17"/>
          <w:szCs w:val="17"/>
          <w:color w:val="auto"/>
        </w:rPr>
        <w:t>” means, with respect to the construction or expansion of any capital project of US Borrower or any of its Consolidated Subsidiaries (excluding Unrestricted Subsidiaries), the aggregate capital cost of which (inclusive of capital costs expended prior to the acquisition thereof) is reasonably expected by US Borrower to exceed, or exceeds, $50,000,000 (a “</w:t>
      </w:r>
      <w:r>
        <w:rPr>
          <w:rFonts w:ascii="Arial" w:cs="Arial" w:eastAsia="Arial" w:hAnsi="Arial"/>
          <w:sz w:val="17"/>
          <w:szCs w:val="17"/>
          <w:u w:val="single" w:color="auto"/>
          <w:color w:val="auto"/>
        </w:rPr>
        <w:t>Material Project</w:t>
      </w:r>
      <w:r>
        <w:rPr>
          <w:rFonts w:ascii="Arial" w:cs="Arial" w:eastAsia="Arial" w:hAnsi="Arial"/>
          <w:sz w:val="17"/>
          <w:szCs w:val="17"/>
          <w:color w:val="auto"/>
        </w:rPr>
        <w:t>”):</w:t>
      </w:r>
    </w:p>
    <w:p>
      <w:pPr>
        <w:spacing w:after="0" w:line="166" w:lineRule="exact"/>
        <w:rPr>
          <w:sz w:val="20"/>
          <w:szCs w:val="20"/>
          <w:color w:val="auto"/>
        </w:rPr>
      </w:pPr>
    </w:p>
    <w:p>
      <w:pPr>
        <w:ind w:left="660" w:firstLine="645"/>
        <w:spacing w:after="0" w:line="268" w:lineRule="auto"/>
        <w:tabs>
          <w:tab w:leader="none" w:pos="1603" w:val="left"/>
        </w:tabs>
        <w:numPr>
          <w:ilvl w:val="0"/>
          <w:numId w:val="109"/>
        </w:numPr>
        <w:rPr>
          <w:rFonts w:ascii="Arial" w:cs="Arial" w:eastAsia="Arial" w:hAnsi="Arial"/>
          <w:sz w:val="17"/>
          <w:szCs w:val="17"/>
          <w:color w:val="auto"/>
        </w:rPr>
      </w:pPr>
      <w:r>
        <w:rPr>
          <w:rFonts w:ascii="Arial" w:cs="Arial" w:eastAsia="Arial" w:hAnsi="Arial"/>
          <w:sz w:val="17"/>
          <w:szCs w:val="17"/>
          <w:color w:val="auto"/>
        </w:rPr>
        <w:t>prior to the date on which a Material Project has achieved commercial operation (the “</w:t>
      </w:r>
      <w:r>
        <w:rPr>
          <w:rFonts w:ascii="Arial" w:cs="Arial" w:eastAsia="Arial" w:hAnsi="Arial"/>
          <w:sz w:val="17"/>
          <w:szCs w:val="17"/>
          <w:u w:val="single" w:color="auto"/>
          <w:color w:val="auto"/>
        </w:rPr>
        <w:t>Commercial Operation Date</w:t>
      </w:r>
      <w:r>
        <w:rPr>
          <w:rFonts w:ascii="Arial" w:cs="Arial" w:eastAsia="Arial" w:hAnsi="Arial"/>
          <w:sz w:val="17"/>
          <w:szCs w:val="17"/>
          <w:color w:val="auto"/>
        </w:rPr>
        <w:t xml:space="preserve">”) (but including the fiscal quarter in which such Commercial Operation Date occurs), a percentage (based on the then-current completion percentage of such Material Project) of an amount to be approved by Administrative Agent as the projected Consolidated EBITDA attributable to such Material Project for the first 12-month period following the scheduled Commercial Operation Date of such Material Project (such amount to be determined based on customer contracts or tariff-based customers relating to such Material Project, the creditworthiness of the other parties to such contracts or such tariff-based customers, and projected revenues from such contracts, tariffs, capital costs and expenses, scheduled Commercial Operation Date, oil and gas reserve and production estimates, commodity price assumptions and other factors deemed appropriate by Administrative Agent), which may, at US Borrower’s option, be added to actual Consolidated EBITDA for the fiscal quarter in which construction or expansion of such Material Project commences and for each fiscal quarter thereafter until the Commercial Operation Date of such Material Project (including the fiscal quarter in which such Commercial Operation Date occurs, but net of any actual Consolidated EBITDA attributable to such Material Project following such Commercial Operation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actual Commercial Operation Date does not occur by the scheduled Commercial Operation Date, then the foregoing amount shall be reduced, for quarters ending after the scheduled Commercial Operation Date to (but excluding) the first full quarter after its Commercial Operation Date, by the following percentage amounts depending on the period of delay (based on the period of actual delay or then-estimated delay, whichever is longer): (i) 90 days or less, 0%, (ii) longer than 90 days, but not more than 180 days, 25%</w:t>
      </w:r>
      <w:r>
        <w:rPr>
          <w:rFonts w:ascii="Arial" w:cs="Arial" w:eastAsia="Arial" w:hAnsi="Arial"/>
          <w:sz w:val="17"/>
          <w:szCs w:val="17"/>
          <w:b w:val="1"/>
          <w:bCs w:val="1"/>
          <w:color w:val="auto"/>
        </w:rPr>
        <w:t>,</w:t>
      </w:r>
      <w:r>
        <w:rPr>
          <w:rFonts w:ascii="Arial" w:cs="Arial" w:eastAsia="Arial" w:hAnsi="Arial"/>
          <w:sz w:val="17"/>
          <w:szCs w:val="17"/>
          <w:color w:val="auto"/>
        </w:rPr>
        <w:t xml:space="preserve"> (iii) longer than 180 days but not more than 270 days, 50%, (iv) longer than 270 days but not more than 365 days, 75%, and (v) longer than 365 days, 100%; and</w:t>
      </w:r>
    </w:p>
    <w:p>
      <w:pPr>
        <w:spacing w:after="0" w:line="180" w:lineRule="exact"/>
        <w:rPr>
          <w:rFonts w:ascii="Arial" w:cs="Arial" w:eastAsia="Arial" w:hAnsi="Arial"/>
          <w:sz w:val="17"/>
          <w:szCs w:val="17"/>
          <w:color w:val="auto"/>
        </w:rPr>
      </w:pPr>
    </w:p>
    <w:p>
      <w:pPr>
        <w:ind w:left="660" w:right="120" w:firstLine="645"/>
        <w:spacing w:after="0" w:line="277" w:lineRule="auto"/>
        <w:tabs>
          <w:tab w:leader="none" w:pos="159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beginning with the first full fiscal quarter following the Commercial Operation Date of a Material Project and for the two immediately succeeding fiscal quarters, an amount equal to the projected Consolidated EBITDA attributable to such</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Material Project for the balance of the four full fiscal quarter period following such Commercial Operation Date, which may, at US Borrower’s option, be added to actual Consolidated EBITDA for such fiscal quarters.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w:t>
      </w:r>
    </w:p>
    <w:p>
      <w:pPr>
        <w:spacing w:after="0" w:line="225" w:lineRule="exact"/>
        <w:rPr>
          <w:sz w:val="20"/>
          <w:szCs w:val="20"/>
          <w:color w:val="auto"/>
        </w:rPr>
      </w:pPr>
    </w:p>
    <w:p>
      <w:pPr>
        <w:ind w:left="1520" w:hanging="215"/>
        <w:spacing w:after="0"/>
        <w:tabs>
          <w:tab w:leader="none" w:pos="15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such Material Project EBITDA Adjustment shall be allowed with respect to any Material Project unless:</w:t>
      </w:r>
    </w:p>
    <w:p>
      <w:pPr>
        <w:spacing w:after="0" w:line="225" w:lineRule="exact"/>
        <w:rPr>
          <w:rFonts w:ascii="Arial" w:cs="Arial" w:eastAsia="Arial" w:hAnsi="Arial"/>
          <w:sz w:val="18"/>
          <w:szCs w:val="18"/>
          <w:color w:val="auto"/>
        </w:rPr>
      </w:pPr>
    </w:p>
    <w:p>
      <w:pPr>
        <w:ind w:left="1300" w:right="80" w:firstLine="653"/>
        <w:spacing w:after="0" w:line="259" w:lineRule="auto"/>
        <w:tabs>
          <w:tab w:leader="none" w:pos="219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at least 30 days prior to the last day of the Fiscal Quarter for which US Borrower desires to commence inclusion of such Material Project EBITDA Adjustment in Consolidated EBITDA with respect to a Material Project for purposes of determining compliance with this Section 7.8 (the “</w:t>
      </w:r>
      <w:r>
        <w:rPr>
          <w:rFonts w:ascii="Arial" w:cs="Arial" w:eastAsia="Arial" w:hAnsi="Arial"/>
          <w:sz w:val="18"/>
          <w:szCs w:val="18"/>
          <w:u w:val="single" w:color="auto"/>
          <w:color w:val="auto"/>
        </w:rPr>
        <w:t>Initial Quarter</w:t>
      </w:r>
      <w:r>
        <w:rPr>
          <w:rFonts w:ascii="Arial" w:cs="Arial" w:eastAsia="Arial" w:hAnsi="Arial"/>
          <w:sz w:val="18"/>
          <w:szCs w:val="18"/>
          <w:color w:val="auto"/>
        </w:rPr>
        <w:t>”), US Borrower shall have delivered to Administrative Agent written pro forma projections of Consolidated EBITDA attributable to such Material Project and</w:t>
      </w:r>
    </w:p>
    <w:p>
      <w:pPr>
        <w:spacing w:after="0" w:line="186" w:lineRule="exact"/>
        <w:rPr>
          <w:rFonts w:ascii="Arial" w:cs="Arial" w:eastAsia="Arial" w:hAnsi="Arial"/>
          <w:sz w:val="18"/>
          <w:szCs w:val="18"/>
          <w:color w:val="auto"/>
        </w:rPr>
      </w:pPr>
    </w:p>
    <w:p>
      <w:pPr>
        <w:jc w:val="both"/>
        <w:ind w:left="1300" w:right="340" w:firstLine="653"/>
        <w:spacing w:after="0" w:line="264" w:lineRule="auto"/>
        <w:tabs>
          <w:tab w:leader="none" w:pos="220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prior to the last day of the Initial Quarter, Administrative Agent shall have approved (such approval not to be unreasonably withheld) such projections and shall have received such other information and documentation as Administrative Agent may reasonably request, all in form and substance satisfactory to Administrative Agent, and</w:t>
      </w:r>
    </w:p>
    <w:p>
      <w:pPr>
        <w:spacing w:after="0" w:line="181" w:lineRule="exact"/>
        <w:rPr>
          <w:sz w:val="20"/>
          <w:szCs w:val="20"/>
          <w:color w:val="auto"/>
        </w:rPr>
      </w:pPr>
    </w:p>
    <w:p>
      <w:pPr>
        <w:ind w:left="660" w:right="560" w:firstLine="645"/>
        <w:spacing w:after="0" w:line="264" w:lineRule="auto"/>
        <w:tabs>
          <w:tab w:leader="none" w:pos="157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aggregate amount of all Material Project EBITDA Adjustments during any period shall be limited to 15% of the total actual Consolidated EBITDA for such period (which total actual Consolidated EBITDA shall be determined without including any Material Project EBITDA Adjustments).</w:t>
      </w:r>
    </w:p>
    <w:p>
      <w:pPr>
        <w:spacing w:after="0" w:line="18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7.9.</w:t>
      </w:r>
      <w:r>
        <w:rPr>
          <w:sz w:val="20"/>
          <w:szCs w:val="20"/>
          <w:color w:val="auto"/>
        </w:rPr>
        <w:tab/>
      </w:r>
      <w:r>
        <w:rPr>
          <w:rFonts w:ascii="Arial" w:cs="Arial" w:eastAsia="Arial" w:hAnsi="Arial"/>
          <w:sz w:val="17"/>
          <w:szCs w:val="17"/>
          <w:u w:val="single" w:color="auto"/>
          <w:color w:val="auto"/>
        </w:rPr>
        <w:t>[Intentionally Deleted]</w:t>
      </w:r>
    </w:p>
    <w:p>
      <w:pPr>
        <w:sectPr>
          <w:pgSz w:w="11900" w:h="16838" w:orient="portrait"/>
          <w:cols w:equalWidth="0" w:num="1">
            <w:col w:w="11380"/>
          </w:cols>
          <w:pgMar w:left="240" w:top="341" w:right="279" w:bottom="32" w:gutter="0" w:footer="0" w:header="0"/>
        </w:sectPr>
      </w:pPr>
    </w:p>
    <w:bookmarkStart w:id="47" w:name="page48"/>
    <w:bookmarkEnd w:id="47"/>
    <w:p>
      <w:pPr>
        <w:ind w:right="40" w:firstLine="648"/>
        <w:spacing w:after="0" w:line="259"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Unrestricted Subsidiaries</w:t>
      </w:r>
      <w:r>
        <w:rPr>
          <w:rFonts w:ascii="Arial" w:cs="Arial" w:eastAsia="Arial" w:hAnsi="Arial"/>
          <w:sz w:val="18"/>
          <w:szCs w:val="18"/>
          <w:color w:val="auto"/>
        </w:rPr>
        <w:t>. So long as no Default or Event of Default has occurred and is continuing, and after giving effect to such designation, no Default or Event of Default would result therefrom, US Borrower or any Wholly Owned Subsidiary of US Borrower may designate one or more Subsidiaries that are not Borrowers or Guarantors as unrestricted Subsidiaries (each such Subsidiary, and each of its Subsidiaries, an “Unrestricted Subsidiary”), which Unrestricted Subsidiaries shall be subject to the following:</w:t>
      </w:r>
    </w:p>
    <w:p>
      <w:pPr>
        <w:spacing w:after="0" w:line="187" w:lineRule="exact"/>
        <w:rPr>
          <w:sz w:val="20"/>
          <w:szCs w:val="20"/>
          <w:color w:val="auto"/>
        </w:rPr>
      </w:pPr>
    </w:p>
    <w:p>
      <w:pPr>
        <w:ind w:right="80" w:firstLine="656"/>
        <w:spacing w:after="0" w:line="259" w:lineRule="auto"/>
        <w:tabs>
          <w:tab w:leader="none" w:pos="130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Unrestricted Subsidiary shall be deemed to be a “Restricted Person” or a “Subsidiary” of US Borrower for purposes of this Agreement or any other Loan Document, and no Unrestricted Subsidiary shall be subject to or included within the scope of any provision herein or in any other Loan Document, including without limitation any representation, warranty, covenant or Event of Default herein or in any other Loan Document, except as set forth in this Section 7.10.</w:t>
      </w:r>
    </w:p>
    <w:p>
      <w:pPr>
        <w:spacing w:after="0" w:line="186" w:lineRule="exact"/>
        <w:rPr>
          <w:rFonts w:ascii="Arial" w:cs="Arial" w:eastAsia="Arial" w:hAnsi="Arial"/>
          <w:sz w:val="18"/>
          <w:szCs w:val="18"/>
          <w:color w:val="auto"/>
        </w:rPr>
      </w:pPr>
    </w:p>
    <w:p>
      <w:pPr>
        <w:jc w:val="both"/>
        <w:ind w:right="120" w:firstLine="656"/>
        <w:spacing w:after="0" w:line="259" w:lineRule="auto"/>
        <w:tabs>
          <w:tab w:leader="none" w:pos="130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Restricted Person shall guarantee or otherwise become liable in respect of any Indebtedness of, grant any Lien on any of its property to secure any Indebtedness of or other obligation of, or provide any other form of credit support to, any Unrestricted Subsidiary, and no Restricted Person shall enter into any contract or agreement with any Unrestricted Subsidiary, except on terms no less favorable to such Restricted Person, as applicable, than could be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 xml:space="preserve">obtained in a comparable arm’s length transaction with a non-Affiliate of such Restricted Person; </w:t>
      </w:r>
      <w:r>
        <w:rPr>
          <w:rFonts w:ascii="Arial" w:cs="Arial" w:eastAsia="Arial" w:hAnsi="Arial"/>
          <w:sz w:val="18"/>
          <w:szCs w:val="18"/>
          <w:u w:val="single" w:color="auto"/>
          <w:color w:val="auto"/>
        </w:rPr>
        <w:t>provided</w:t>
      </w:r>
      <w:r>
        <w:rPr>
          <w:rFonts w:ascii="Arial" w:cs="Arial" w:eastAsia="Arial" w:hAnsi="Arial"/>
          <w:sz w:val="18"/>
          <w:szCs w:val="18"/>
          <w:color w:val="auto"/>
        </w:rPr>
        <w:t>, Restricted Persons may guarantee trade accounts payable of Unrestricted Subsidiaries that arise in the ordinary course of business in an amount not to exceed five percent (5%) of Consolidated Tangible Net Worth.</w:t>
      </w:r>
    </w:p>
    <w:p>
      <w:pPr>
        <w:spacing w:after="0" w:line="181" w:lineRule="exact"/>
        <w:rPr>
          <w:sz w:val="20"/>
          <w:szCs w:val="20"/>
          <w:color w:val="auto"/>
        </w:rPr>
      </w:pPr>
    </w:p>
    <w:p>
      <w:pPr>
        <w:ind w:right="800" w:firstLine="656"/>
        <w:spacing w:after="0" w:line="277" w:lineRule="auto"/>
        <w:tabs>
          <w:tab w:leader="none" w:pos="130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Borrowers shall at all times maintain, as between Restricted Persons and Unrestricted Subsidiaries, the separate existence of each Unrestricted Subsidiary.</w:t>
      </w:r>
    </w:p>
    <w:p>
      <w:pPr>
        <w:spacing w:after="0" w:line="170" w:lineRule="exact"/>
        <w:rPr>
          <w:rFonts w:ascii="Arial" w:cs="Arial" w:eastAsia="Arial" w:hAnsi="Arial"/>
          <w:sz w:val="18"/>
          <w:szCs w:val="18"/>
          <w:color w:val="auto"/>
        </w:rPr>
      </w:pPr>
    </w:p>
    <w:p>
      <w:pPr>
        <w:ind w:right="60" w:firstLine="656"/>
        <w:spacing w:after="0" w:line="259" w:lineRule="auto"/>
        <w:tabs>
          <w:tab w:leader="none" w:pos="130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Restricted Persons shall notify each Lender Party, not later than five (5) Business Days after any executive officer of Restricted Persons has knowledge of, any claim, including any claim under any Environmental Law, or any notice of potential liability under any Environmental Law, asserted against any Unrestricted Subsidiary or with respect to any Unrestricted Subsidiary’s properties that would reasonably be expected to result in a Material Adverse Change, stating that such notice is being given pursuant to this Section 7.10.</w:t>
      </w:r>
    </w:p>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US Borrower may designate any Unrestricted Subsidiary to become a Restricted Person if a Default or Event of Default is not continuing, such designation would not result in a Default or an Event of Default, and immediately thereafter such Subsidiary has no outstanding Indebtedness. Immediately thereafter, US Borrower shall promptly notify Administrative Agent of such designation and provide to it an officer’s certificate that such designation was made in compliance with this Section 7.10.</w:t>
      </w:r>
    </w:p>
    <w:p>
      <w:pPr>
        <w:spacing w:after="0" w:line="18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Section 7.11. </w:t>
      </w:r>
      <w:r>
        <w:rPr>
          <w:rFonts w:ascii="Arial" w:cs="Arial" w:eastAsia="Arial" w:hAnsi="Arial"/>
          <w:sz w:val="17"/>
          <w:szCs w:val="17"/>
          <w:u w:val="single" w:color="auto"/>
          <w:color w:val="auto"/>
        </w:rPr>
        <w:t>No Negative Pledges</w:t>
      </w:r>
      <w:r>
        <w:rPr>
          <w:rFonts w:ascii="Arial" w:cs="Arial" w:eastAsia="Arial" w:hAnsi="Arial"/>
          <w:sz w:val="17"/>
          <w:szCs w:val="17"/>
          <w:color w:val="auto"/>
        </w:rPr>
        <w:t>. Except as described in the Disclosure Schedule or pursuant to a Restriction Exception, the substance of which, in detail satisfactory to Administrative Agent, is promptly reported to Administrative Agent, no Restricted Person will, directly or indirectly, enter into, create, or consent to be bound to any contract or other consensual restriction that restricts the ability of any Restricted Person to create or maintain Liens on its assets in favor of Agents, LC Issuers and Lenders to secure, in whole or part, the Obligations.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 - Events of Default and Remedies</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Each of the following events constitutes an Event of Default under this Agreement:</w:t>
      </w:r>
    </w:p>
    <w:p>
      <w:pPr>
        <w:spacing w:after="0" w:line="225" w:lineRule="exact"/>
        <w:rPr>
          <w:sz w:val="20"/>
          <w:szCs w:val="20"/>
          <w:color w:val="auto"/>
        </w:rPr>
      </w:pPr>
    </w:p>
    <w:p>
      <w:pPr>
        <w:ind w:right="180" w:firstLine="656"/>
        <w:spacing w:after="0" w:line="308" w:lineRule="auto"/>
        <w:tabs>
          <w:tab w:leader="none" w:pos="1307"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Any Borrower fails to pay the principal component of any Loan made to it or any LC Borrowing when due and payable, whether at a date for the payment of a fixed installment or as a contingent or other payment becomes due and payable or as a result of acceleration or otherwise,</w:t>
      </w:r>
    </w:p>
    <w:p>
      <w:pPr>
        <w:spacing w:after="0" w:line="146" w:lineRule="exact"/>
        <w:rPr>
          <w:rFonts w:ascii="Arial" w:cs="Arial" w:eastAsia="Arial" w:hAnsi="Arial"/>
          <w:sz w:val="17"/>
          <w:szCs w:val="17"/>
          <w:color w:val="auto"/>
        </w:rPr>
      </w:pPr>
    </w:p>
    <w:p>
      <w:pPr>
        <w:ind w:right="100" w:firstLine="656"/>
        <w:spacing w:after="0" w:line="264" w:lineRule="auto"/>
        <w:tabs>
          <w:tab w:leader="none" w:pos="130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Restricted Person fails to pay any Obligation for which it is contractually liable (other than the Obligations in subsection (a) above) when due and payable, whether at a date for the payment of a fixed installment or as a contingent or other payment becomes due and payable or as a result of acceleration or otherwise, within three Business Days after the same becomes due;</w:t>
      </w:r>
    </w:p>
    <w:p>
      <w:pPr>
        <w:spacing w:after="0" w:line="181" w:lineRule="exact"/>
        <w:rPr>
          <w:rFonts w:ascii="Arial" w:cs="Arial" w:eastAsia="Arial" w:hAnsi="Arial"/>
          <w:sz w:val="18"/>
          <w:szCs w:val="18"/>
          <w:color w:val="auto"/>
        </w:rPr>
      </w:pPr>
    </w:p>
    <w:p>
      <w:pPr>
        <w:ind w:left="5620" w:right="260" w:hanging="4964"/>
        <w:spacing w:after="0" w:line="528" w:lineRule="auto"/>
        <w:tabs>
          <w:tab w:leader="none" w:pos="131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Restricted Person fails to duly observe, perform or comply with any covenant, agreement or provision of Section 6.4 or Article VII; 84</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right="40" w:firstLine="656"/>
        <w:spacing w:after="0" w:line="264" w:lineRule="auto"/>
        <w:tabs>
          <w:tab w:leader="none" w:pos="130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Restricted Person fails (other than as referred to in subsections (a), (b) or (c) above) to duly observe, perform or comply with any of its obligations under any covenant, agreement, condition or provision of any Loan Document to which it is a party, and such failure remains unremedied for a period of thirty (30) days after notice of such failure is given by Administrative Agent to US Borrower;</w:t>
      </w:r>
    </w:p>
    <w:p>
      <w:pPr>
        <w:spacing w:after="0" w:line="181" w:lineRule="exact"/>
        <w:rPr>
          <w:rFonts w:ascii="Arial" w:cs="Arial" w:eastAsia="Arial" w:hAnsi="Arial"/>
          <w:sz w:val="18"/>
          <w:szCs w:val="18"/>
          <w:color w:val="auto"/>
        </w:rPr>
      </w:pPr>
    </w:p>
    <w:p>
      <w:pPr>
        <w:ind w:firstLine="656"/>
        <w:spacing w:after="0" w:line="312" w:lineRule="auto"/>
        <w:tabs>
          <w:tab w:leader="none" w:pos="130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Any representation or warranty previously, presently or hereafter made in writing by or on behalf of any Restricted Person in connection with any Loan Document shall prove to have been false or incorrect in any material respect on any date on or as of which made, or any Loan Document at any time ceases to be valid, binding and enforceable as warranted in Section 5.5 for any reason other than its release or subordination by Administrative Agent;</w:t>
      </w:r>
    </w:p>
    <w:p>
      <w:pPr>
        <w:spacing w:after="0" w:line="146" w:lineRule="exact"/>
        <w:rPr>
          <w:rFonts w:ascii="Arial" w:cs="Arial" w:eastAsia="Arial" w:hAnsi="Arial"/>
          <w:sz w:val="16"/>
          <w:szCs w:val="16"/>
          <w:color w:val="auto"/>
        </w:rPr>
      </w:pPr>
    </w:p>
    <w:p>
      <w:pPr>
        <w:ind w:right="40" w:firstLine="656"/>
        <w:spacing w:after="0" w:line="289" w:lineRule="auto"/>
        <w:tabs>
          <w:tab w:leader="none" w:pos="1314"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Any Restricted Person shall default in the payment when due of any principal of or interest on any of its other Indebtedness, or any net hedging obligations, in excess of the Dollar Equivalent of $25,000,000 in the aggregate (other than such Indebtedness or hedging obligations the validity of which is being contested in good faith, by appropriate proceedings (if necessary) and for which adequate reserves with respect thereto are maintained on the books of such Restricted Person as required by GAAP), or any event specified in any note, agreement, indenture or other document evidencing or relating to any such Indebtedness or hedging obligations shall occur for a period beyond the applicable grace, cure extension, forbearance or other similar period, if the effect of such event is to cause, or (with the giving of any notice or the lapse of time or both) to permit the holder or holders of such Indebtedness or hedging obligations (or a trustee or agent on behalf of such holder or holders) to cause, as applicable, such Indebtedness to become due, or to be prepaid in full (whether by redemption, purchase, offer to purchase or otherwise), prior to its stated maturity, or an early termination event or similar event to occur and such Restricted Person’s related net hedging obligations in excess of the Dollar Equivalent of $25,000,000 to become due and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-2741930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48" w:name="page49"/>
    <w:bookmarkEnd w:id="48"/>
    <w:p>
      <w:pPr>
        <w:spacing w:after="0" w:line="137" w:lineRule="exact"/>
        <w:rPr>
          <w:sz w:val="20"/>
          <w:szCs w:val="20"/>
          <w:color w:val="auto"/>
        </w:rPr>
      </w:pPr>
    </w:p>
    <w:p>
      <w:pPr>
        <w:ind w:firstLine="656"/>
        <w:spacing w:after="0" w:line="257" w:lineRule="auto"/>
        <w:tabs>
          <w:tab w:leader="none" w:pos="130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Either (i) any “accumulated funding deficiency” (as defined in Section 412(a) of the Code) in excess of $5,000,000 exists with respect to any ERISA Plan, whether or not waived by the Secretary of the Treasury or his delegate, or (ii) any Termination Event occurs with respect to any ERISA Plan and the then current value of such ERISA Plan’s benefit liabilities exceeds the then current value of such ERISA Plan’s assets available for the payment of such benefit liabilities by more than $5,000,000 (or in the case of a Termination Event involving the withdrawal of a substantial employer, the withdrawing employer’s proportionate share of such excess exceeds such amount);</w:t>
      </w:r>
    </w:p>
    <w:p>
      <w:pPr>
        <w:spacing w:after="0" w:line="188" w:lineRule="exact"/>
        <w:rPr>
          <w:rFonts w:ascii="Arial" w:cs="Arial" w:eastAsia="Arial" w:hAnsi="Arial"/>
          <w:sz w:val="18"/>
          <w:szCs w:val="18"/>
          <w:color w:val="auto"/>
        </w:rPr>
      </w:pPr>
    </w:p>
    <w:p>
      <w:pPr>
        <w:ind w:left="1320" w:hanging="664"/>
        <w:spacing w:after="0"/>
        <w:tabs>
          <w:tab w:leader="none" w:pos="13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GP LLC, General Partner, or any Significant Restricted Person:</w:t>
      </w:r>
    </w:p>
    <w:p>
      <w:pPr>
        <w:spacing w:after="0" w:line="225" w:lineRule="exact"/>
        <w:rPr>
          <w:rFonts w:ascii="Arial" w:cs="Arial" w:eastAsia="Arial" w:hAnsi="Arial"/>
          <w:sz w:val="18"/>
          <w:szCs w:val="18"/>
          <w:color w:val="auto"/>
        </w:rPr>
      </w:pPr>
    </w:p>
    <w:p>
      <w:pPr>
        <w:ind w:right="320" w:firstLine="1305"/>
        <w:spacing w:after="0" w:line="257" w:lineRule="auto"/>
        <w:tabs>
          <w:tab w:leader="none" w:pos="196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has entered against it a judgment, decree or order for relief by a Governmental Authority of competent jurisdiction having jurisdiction over it in an involuntary proceeding commenced under any applicable bankruptcy, insolvency or other similar Law of any jurisdiction now or hereafter in effect, including the federal Bankruptcy Code, the Bankruptcy and Insolvency Act (Canada) or the Companies’ Creditors Arrangement Act (Canada), as from time to time amended, or has any such proceeding commenced against it, in each case, which remains undismissed for a period of sixty days;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305"/>
        <w:spacing w:after="0" w:line="257" w:lineRule="auto"/>
        <w:tabs>
          <w:tab w:leader="none" w:pos="197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similar Law now or hereafter in effect, including the federal Bankruptcy Code, the Bankruptcy and Insolvency Act (Canada) or the Companies’ Creditors Arrangement Act (Canada), as from time to time amended; or applies for or consents to the entry of an order for relief in an involuntary case under any such Law; or makes a general assignment for the benefit of creditors; or is generally unable to pay (or admits in writing its inability to so pay) its debts as such debts become due; or takes corporate or other action to authorize any of the foregoing; or</w:t>
      </w:r>
    </w:p>
    <w:p>
      <w:pPr>
        <w:spacing w:after="0" w:line="188" w:lineRule="exact"/>
        <w:rPr>
          <w:rFonts w:ascii="Arial" w:cs="Arial" w:eastAsia="Arial" w:hAnsi="Arial"/>
          <w:sz w:val="18"/>
          <w:szCs w:val="18"/>
          <w:color w:val="auto"/>
        </w:rPr>
      </w:pPr>
    </w:p>
    <w:p>
      <w:pPr>
        <w:ind w:right="20" w:firstLine="1305"/>
        <w:spacing w:after="0" w:line="259" w:lineRule="auto"/>
        <w:tabs>
          <w:tab w:leader="none" w:pos="198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has entered against it the appointment of or taking possession by a receiver, liquidator, assignee, custodian, trustee, sequestrator or similar official of all or a substantial part of its assets in a proceeding brought against or initiated by it, and such appointment or taking possession is neither made ineffective nor discharged within sixty days after the making thereof, or such appointment or taking possession is at any time consented to, requested by, or acquiesced to by it; or</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Significant Restricted Person:</w:t>
      </w:r>
    </w:p>
    <w:p>
      <w:pPr>
        <w:spacing w:after="0" w:line="225" w:lineRule="exact"/>
        <w:rPr>
          <w:rFonts w:ascii="Arial" w:cs="Arial" w:eastAsia="Arial" w:hAnsi="Arial"/>
          <w:sz w:val="18"/>
          <w:szCs w:val="18"/>
          <w:color w:val="auto"/>
        </w:rPr>
      </w:pPr>
    </w:p>
    <w:p>
      <w:pPr>
        <w:ind w:right="160" w:firstLine="1305"/>
        <w:spacing w:after="0" w:line="259" w:lineRule="auto"/>
        <w:tabs>
          <w:tab w:leader="none" w:pos="196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has entered against it a final judgment for the payment of money in excess of the Dollar Equivalent of $25,000,000 (in each case not covered by insurance satisfactory to Administrative Agent in its discretion), unless the same is stayed or discharged within thirty days after the date of entry thereof (or longer period for which a stay of enforcement is allowed by applicable Law) or an appeal or appropriate proceeding for review thereof is taken within such period and a stay of execution pending such appeal is obtained; or</w:t>
      </w:r>
    </w:p>
    <w:p>
      <w:pPr>
        <w:spacing w:after="0" w:line="186" w:lineRule="exact"/>
        <w:rPr>
          <w:rFonts w:ascii="Arial" w:cs="Arial" w:eastAsia="Arial" w:hAnsi="Arial"/>
          <w:sz w:val="18"/>
          <w:szCs w:val="18"/>
          <w:color w:val="auto"/>
        </w:rPr>
      </w:pPr>
    </w:p>
    <w:p>
      <w:pPr>
        <w:jc w:val="both"/>
        <w:ind w:right="20" w:firstLine="1305"/>
        <w:spacing w:after="0" w:line="312" w:lineRule="auto"/>
        <w:tabs>
          <w:tab w:leader="none" w:pos="1976" w:val="left"/>
        </w:tabs>
        <w:numPr>
          <w:ilvl w:val="1"/>
          <w:numId w:val="117"/>
        </w:numPr>
        <w:rPr>
          <w:rFonts w:ascii="Arial" w:cs="Arial" w:eastAsia="Arial" w:hAnsi="Arial"/>
          <w:sz w:val="16"/>
          <w:szCs w:val="16"/>
          <w:color w:val="auto"/>
        </w:rPr>
      </w:pPr>
      <w:r>
        <w:rPr>
          <w:rFonts w:ascii="Arial" w:cs="Arial" w:eastAsia="Arial" w:hAnsi="Arial"/>
          <w:sz w:val="16"/>
          <w:szCs w:val="16"/>
          <w:color w:val="auto"/>
        </w:rPr>
        <w:t>suffers a writ or warrant of attachment or any similar process to be issued by any Governmental Authority having jurisdiction over it against all or any substantial part of its assets, and such writ or warrant of attachment or any similar process is not stayed or released within sixty days after the entry or levy thereof (or longer period for which a stay of enforcement is allowed by applicable Law) or after any stay is vacated or set aside;</w:t>
      </w:r>
    </w:p>
    <w:p>
      <w:pPr>
        <w:spacing w:after="0" w:line="147" w:lineRule="exact"/>
        <w:rPr>
          <w:sz w:val="20"/>
          <w:szCs w:val="20"/>
          <w:color w:val="auto"/>
        </w:rPr>
      </w:pPr>
    </w:p>
    <w:p>
      <w:pPr>
        <w:ind w:left="1320" w:hanging="664"/>
        <w:spacing w:after="0"/>
        <w:tabs>
          <w:tab w:leader="none" w:pos="13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Change in Control occurs.</w:t>
      </w:r>
    </w:p>
    <w:p>
      <w:pPr>
        <w:spacing w:after="0" w:line="22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Upon the occurrence of an Event of Default described in subsection (h)(i), (h)(ii) or (h)(iii) of this section: (a) with respect to US Borrower, all of the Obligations or (b) with respect to any other Borrower, all of such Borrower’s Obligations, shall thereupon be immediately due and payable, without demand, presentment, notice of demand or of dishonor and nonpayment, protest, notice of protest, notice of intention to accelerate, declaration or notice of acceleration, or any other notice or declaration of any kind, all of which are hereby expressly waived by each Borrower and each Restricted Person who at any time ratifies or approves this Agreement. Upon any such acceleration, any obligation of any Lender to make any further Loans and any obligation of any LC Issuer to issue Letters of Credit hereunder to or for the account of such Borrower shall be permanently terminated. During the continuance of any other Event of Default, Administrative Agent at any time and from time to time may (and upon written instructions from Majority Lenders, Administrative Agent shall), without notice to any Borrower or any other Restricted Person, do either or both of the following: (1) terminate or suspend any obligation of Lenders to make Loans hereunder and any obligation of any LC Issuer to issue Letters of Credit hereunder, and (2) declare any or all of the Obligations immediately due and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payable, and all such Obligations shall thereupon be immediately due and payable, without demand, presentment, notice of demand or of dishonor and nonpayment, protest, notice of protest, notice of intention to accelerate, declaration or notice of acceleration, or any other notice or declaration of any kind, all of which are hereby expressly waived by each Borrower and each Restricted Person who at any time ratifies or approves this Agreement. If the Obligations or any part thereof become immediately due and payable pursuant to the foregoing, then, unless all Lenders otherwise specifically elect to the contrary (which election may thereafter be retracted by any Lender at any time), all LC Obligations shall become immediately due and payable without regard to whether or not actual drawings or payments on the Letters of Credit have occurred, and each Borrower shall be obligated to immediately pay to the appropriate LC Issuer an amount equal to the aggregate LC Obligations which are then outstanding with respect to Letters of Credit issued by such LC Issuer at the request of such Borrower, to be held by such LC Issuer and applied to such LC Obligations as they mature.</w:t>
      </w:r>
    </w:p>
    <w:p>
      <w:pPr>
        <w:spacing w:after="0" w:line="17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Remedies</w:t>
      </w:r>
      <w:r>
        <w:rPr>
          <w:rFonts w:ascii="Arial" w:cs="Arial" w:eastAsia="Arial" w:hAnsi="Arial"/>
          <w:sz w:val="18"/>
          <w:szCs w:val="18"/>
          <w:color w:val="auto"/>
        </w:rPr>
        <w:t>. If any Default shall occur and be continuing, each Lender Party may protect and enforce its rights under the Loan Documents by any appropriate proceedings, including proceedings for specific performance of any covenant or agreement contained in any Loan Document, and each Lender Party may enforce the payment of any Obligations due it or enforce any other legal or equitable right which it may have. All rights, remedies and powers conferred upon Lender Parties under the Loan Documents shall be deemed cumulative and not exclusive of any other rights, remedies or powers available under the Loan Documents or at Law or in equity.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 – Agents</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Appointment and Authority</w:t>
      </w:r>
      <w:r>
        <w:rPr>
          <w:rFonts w:ascii="Arial" w:cs="Arial" w:eastAsia="Arial" w:hAnsi="Arial"/>
          <w:sz w:val="16"/>
          <w:szCs w:val="16"/>
          <w:color w:val="auto"/>
        </w:rPr>
        <w:t>. Each of the Lenders and the LC Issuers hereby irrevocably appoints Bank of America to act on its behalf as Administrative Agent and Bank of America, N.A., acting through its Canada Branch to act on its behalf as Canadian Administrative Agent, as the</w:t>
      </w:r>
    </w:p>
    <w:p>
      <w:pPr>
        <w:sectPr>
          <w:pgSz w:w="11900" w:h="16975" w:orient="portrait"/>
          <w:cols w:equalWidth="0" w:num="1">
            <w:col w:w="11400"/>
          </w:cols>
          <w:pgMar w:left="240" w:top="125" w:right="259" w:bottom="0" w:gutter="0" w:footer="0" w:header="0"/>
        </w:sectPr>
      </w:pPr>
    </w:p>
    <w:bookmarkStart w:id="49" w:name="page50"/>
    <w:bookmarkEnd w:id="49"/>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case may be, hereunder and under the other Loan Documents and authorizes the Agents to take such actions on its behalf and to exercise such powers as are delegated to such Agents by the terms hereof or thereof, together with such actions and powers as are reasonably incidental thereto. The provisions of this Article are solely for the benefit of the Agents, the Lenders and the LC Issuers, and neither </w:t>
      </w:r>
      <w:r>
        <w:rPr>
          <w:rFonts w:ascii="Arial" w:cs="Arial" w:eastAsia="Arial" w:hAnsi="Arial"/>
          <w:sz w:val="18"/>
          <w:szCs w:val="18"/>
          <w:u w:val="single" w:color="auto"/>
          <w:color w:val="auto"/>
        </w:rPr>
        <w:t>any</w:t>
      </w:r>
      <w:r>
        <w:rPr>
          <w:rFonts w:ascii="Arial" w:cs="Arial" w:eastAsia="Arial" w:hAnsi="Arial"/>
          <w:sz w:val="18"/>
          <w:szCs w:val="18"/>
          <w:color w:val="auto"/>
        </w:rPr>
        <w:t xml:space="preserve"> Borrower nor any other Lender Party shall have rights as a third party beneficiary of any of such provisions (other than the right to reasonably approve a successor Agent under Section 9.6 or with respect to application of payments among Lenders as provided in Section 9.11).</w:t>
      </w:r>
    </w:p>
    <w:p>
      <w:pPr>
        <w:spacing w:after="0" w:line="18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Rights as a Lender</w:t>
      </w:r>
      <w:r>
        <w:rPr>
          <w:rFonts w:ascii="Arial" w:cs="Arial" w:eastAsia="Arial" w:hAnsi="Arial"/>
          <w:sz w:val="18"/>
          <w:szCs w:val="18"/>
          <w:color w:val="auto"/>
        </w:rPr>
        <w:t>. The Person serving as Administrative Agent or Canadian Administrative Agent hereunder shall have the same rights and powers in its capacity as a Lender as any other Lender and may exercise the same as though it were not an Agent and the term “Lender” or “Lenders” shall, unless otherwise expressly indicated or unless the context otherwise requires, include the Person serving as an Agent hereunder in its individual capacity. Such Person and its Affiliates may accept deposits from, lend money to, act as the financial advisor or in any other advisory capacity for and generally engage in any kind of business with the Borrowers or any Subsidiary or other Affiliate thereof as if such Person were not an Agent hereunder and without any duty to account therefor to the Lenders.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Neither Agent shall have any duties or obligations except those expressly set forth herein and in the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Loan Documents. Without limiting the generality of the foregoing, neither Agent:</w:t>
      </w:r>
    </w:p>
    <w:p>
      <w:pPr>
        <w:spacing w:after="0" w:line="211" w:lineRule="exact"/>
        <w:rPr>
          <w:sz w:val="20"/>
          <w:szCs w:val="20"/>
          <w:color w:val="auto"/>
        </w:rPr>
      </w:pPr>
    </w:p>
    <w:p>
      <w:pPr>
        <w:ind w:left="1320" w:hanging="664"/>
        <w:spacing w:after="0"/>
        <w:tabs>
          <w:tab w:leader="none" w:pos="1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shall be subject to any fiduciary or other implied duties, regardless of whether a Default has occurred and is continuing;</w:t>
      </w:r>
    </w:p>
    <w:p>
      <w:pPr>
        <w:spacing w:after="0" w:line="225" w:lineRule="exact"/>
        <w:rPr>
          <w:rFonts w:ascii="Arial" w:cs="Arial" w:eastAsia="Arial" w:hAnsi="Arial"/>
          <w:sz w:val="18"/>
          <w:szCs w:val="18"/>
          <w:color w:val="auto"/>
        </w:rPr>
      </w:pPr>
    </w:p>
    <w:p>
      <w:pPr>
        <w:ind w:right="20" w:firstLine="656"/>
        <w:spacing w:after="0" w:line="257" w:lineRule="auto"/>
        <w:tabs>
          <w:tab w:leader="none" w:pos="130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shall have any duty to take any discretionary action or exercise any discretionary powers, except discretionary rights and powers expressly contemplated hereby or by the other Loan Documents that such Agent is required to exercise as directed in writing by the Majority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Agents shall not be required to take any action that, in its opinion or the opinion of its counsel, may expose such Agent to liability or that is contrary to any Loan Document or applicable law; and</w:t>
      </w:r>
    </w:p>
    <w:p>
      <w:pPr>
        <w:spacing w:after="0" w:line="188" w:lineRule="exact"/>
        <w:rPr>
          <w:rFonts w:ascii="Arial" w:cs="Arial" w:eastAsia="Arial" w:hAnsi="Arial"/>
          <w:sz w:val="18"/>
          <w:szCs w:val="18"/>
          <w:color w:val="auto"/>
        </w:rPr>
      </w:pPr>
    </w:p>
    <w:p>
      <w:pPr>
        <w:ind w:right="60" w:firstLine="656"/>
        <w:spacing w:after="0" w:line="264" w:lineRule="auto"/>
        <w:tabs>
          <w:tab w:leader="none" w:pos="130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shall, except as expressly set forth herein and in the other Loan Documents, have any duty to disclose, nor shall it be liable for the failure to disclose, any information relating to </w:t>
      </w:r>
      <w:r>
        <w:rPr>
          <w:rFonts w:ascii="Arial" w:cs="Arial" w:eastAsia="Arial" w:hAnsi="Arial"/>
          <w:sz w:val="18"/>
          <w:szCs w:val="18"/>
          <w:u w:val="single" w:color="auto"/>
          <w:color w:val="auto"/>
        </w:rPr>
        <w:t>any of</w:t>
      </w:r>
      <w:r>
        <w:rPr>
          <w:rFonts w:ascii="Arial" w:cs="Arial" w:eastAsia="Arial" w:hAnsi="Arial"/>
          <w:sz w:val="18"/>
          <w:szCs w:val="18"/>
          <w:color w:val="auto"/>
        </w:rPr>
        <w:t xml:space="preserve"> the Borrowers or any of </w:t>
      </w:r>
      <w:r>
        <w:rPr>
          <w:rFonts w:ascii="Arial" w:cs="Arial" w:eastAsia="Arial" w:hAnsi="Arial"/>
          <w:sz w:val="18"/>
          <w:szCs w:val="18"/>
          <w:u w:val="single" w:color="auto"/>
          <w:color w:val="auto"/>
        </w:rPr>
        <w:t>their respective</w:t>
      </w:r>
      <w:r>
        <w:rPr>
          <w:rFonts w:ascii="Arial" w:cs="Arial" w:eastAsia="Arial" w:hAnsi="Arial"/>
          <w:sz w:val="18"/>
          <w:szCs w:val="18"/>
          <w:color w:val="auto"/>
        </w:rPr>
        <w:t xml:space="preserve"> Affiliates that is communicated to or obtained by the Person serving as the relevant Agent or any of its Affiliates in any capacity.</w:t>
      </w:r>
    </w:p>
    <w:p>
      <w:pPr>
        <w:spacing w:after="0" w:line="18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Neither Agent shall be liable for any action taken or not taken by it (i) with the consent or at the request of the Majority Lenders (or such other number or percentage of the Lenders as shall be necessary, or as the relevant shall believe in good faith shall be necessary, under the circumstances as provided in Sections 10.1 and 8.2) or (ii) in the absence of its own gross negligence or willful misconduct. Neither Agent shall be deemed to have knowledge of any Default unless and until notice describing such Default is given to such Agent by a Borrower, a Lender or an LC Issuer.</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Neither Agent shall be responsible for nor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herein, other than to confirm receipt of items expressly required to be delivered to Administrative Agent.</w:t>
      </w:r>
    </w:p>
    <w:p>
      <w:pPr>
        <w:spacing w:after="0" w:line="17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Section 9.4. </w:t>
      </w:r>
      <w:r>
        <w:rPr>
          <w:rFonts w:ascii="Arial" w:cs="Arial" w:eastAsia="Arial" w:hAnsi="Arial"/>
          <w:sz w:val="17"/>
          <w:szCs w:val="17"/>
          <w:u w:val="single" w:color="auto"/>
          <w:color w:val="auto"/>
        </w:rPr>
        <w:t>Reliance by Agents</w:t>
      </w:r>
      <w:r>
        <w:rPr>
          <w:rFonts w:ascii="Arial" w:cs="Arial" w:eastAsia="Arial" w:hAnsi="Arial"/>
          <w:sz w:val="17"/>
          <w:szCs w:val="17"/>
          <w:color w:val="auto"/>
        </w:rPr>
        <w:t>. 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LC Issuer, each Agent may presume that such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condition is satisfactory to such Lender or such LC Issuer unless such Agent shall have received notice to the contrary from such Lender or such LC Issuer prior to the making of such Loan or the issuance of such Letter of Credit. Each Agent may consult with legal counsel (who may be counsel for any Borrower), independent accountants and other experts selected by it, and shall not be liable for any action taken or not taken by it in accordance with the advice of any such counsel, accountants or experts.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Each Agent may perform any and all of its duties and exercise its rights and powers hereunder or under any other Loan Document by or through any one or more sub-agents appointed by such Agent. Such Agent and any such sub-agent may perform any and all of its duties and exercise its rights and powers by or through their respective Related Parties. The exculpatory provisions of this Article shall apply to any such sub-agent and to the Related Parties of such Agent and any such sub-agent, and shall apply to their respective activities in connection with the syndication of the credit facilities provided for herein as well as activities as an Agent.</w:t>
      </w:r>
    </w:p>
    <w:p>
      <w:pPr>
        <w:spacing w:after="0" w:line="18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9.6.</w:t>
      </w:r>
      <w:r>
        <w:rPr>
          <w:sz w:val="20"/>
          <w:szCs w:val="20"/>
          <w:color w:val="auto"/>
        </w:rPr>
        <w:tab/>
      </w:r>
      <w:r>
        <w:rPr>
          <w:rFonts w:ascii="Arial" w:cs="Arial" w:eastAsia="Arial" w:hAnsi="Arial"/>
          <w:sz w:val="16"/>
          <w:szCs w:val="16"/>
          <w:u w:val="single" w:color="auto"/>
          <w:color w:val="auto"/>
        </w:rPr>
        <w:t>Resignation of Agent</w:t>
      </w:r>
      <w:r>
        <w:rPr>
          <w:rFonts w:ascii="Arial" w:cs="Arial" w:eastAsia="Arial" w:hAnsi="Arial"/>
          <w:sz w:val="16"/>
          <w:szCs w:val="16"/>
          <w:color w:val="auto"/>
        </w:rPr>
        <w:t>. Either Agent may at any time give notice of its resignation to the Lenders, the LC Issuers and the</w:t>
      </w:r>
    </w:p>
    <w:p>
      <w:pPr>
        <w:spacing w:after="0" w:line="2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Borrowers, which notice shall set forth the proposed date of resignation. Upon receipt of any such notice of resignation, the Majority Lenders shall have the right to appoint a successor (subject to the approval of US Borrower, unless a Default has occurred and is continuing, which approval will not be unreasonably withheld), which shall, with respect to Administrative Agent, be a bank with an office in the United States, or an Affiliate of any such bank with an office in the United States, and, with respect to Canadian Administrative Agent, be a commercial bank organized or licensed to conduct a banking or trust business under the Laws of the Dominion of Canada or of any province thereof. If no such successor shall have been so appointed by the Majority Lenders and shall have accepted such appointment within 30 days after the retiring Agent gives notice of its resignation, then the retiring Agent may on behalf of the Lenders and the LC Issuers, appoint a successor Agent meeting the qualifications set forth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Agent shall notify US Borrower and the Lenders that no qualifying Person has accepted such appointment, then such resignation shall nonetheless become effective in accordance with such notice and (1) the retiring Agent shall be discharged from its duties and obligations hereunder and under the other Loan Documents and (2) all payments,</w:t>
      </w:r>
    </w:p>
    <w:p>
      <w:pPr>
        <w:sectPr>
          <w:pgSz w:w="11900" w:h="16933" w:orient="portrait"/>
          <w:cols w:equalWidth="0" w:num="1">
            <w:col w:w="11420"/>
          </w:cols>
          <w:pgMar w:left="240" w:top="125" w:right="239" w:bottom="0" w:gutter="0" w:footer="0" w:header="0"/>
        </w:sectPr>
      </w:pPr>
    </w:p>
    <w:bookmarkStart w:id="50" w:name="page51"/>
    <w:bookmarkEnd w:id="50"/>
    <w:p>
      <w:pPr>
        <w:ind w:right="120"/>
        <w:spacing w:after="0" w:line="290" w:lineRule="auto"/>
        <w:rPr>
          <w:sz w:val="20"/>
          <w:szCs w:val="20"/>
          <w:color w:val="auto"/>
        </w:rPr>
      </w:pPr>
      <w:r>
        <w:rPr>
          <w:rFonts w:ascii="Arial" w:cs="Arial" w:eastAsia="Arial" w:hAnsi="Arial"/>
          <w:sz w:val="16"/>
          <w:szCs w:val="16"/>
          <w:color w:val="auto"/>
        </w:rPr>
        <w:t>communications and determinations provided to be made by, to or through such Agent shall instead be made by or to each Lender and each LC Issuer directly, until such time as the Majority Lenders appoint a successor Agent as provided for above in this Section. Upon the acceptance of a successor’s appointment as an Agent hereunder, such successor shall succeed to and become vested with all of the rights, powers, privileges and duties of the retiring (or retired) Agent, and the retiring Agent shall be discharged from all of its duties and obligations hereunder or under the other Loan Documents (if not already discharged therefrom as provided above in this Section). The fees payable by the Borrowers to a successor Agent shall be the same as those payable to its predecessor unless otherwise agreed between the Borrowers and such successor. After the retiring Agent’s resignation hereunder and under the other Loan Documents, the provisions of this Article and Section 10.4 shall continue in effect for the benefit of such retiring Agent, its sub-agents and their respective Related Parties in respect of any actions taken or omitted to be taken by any of them while the retiring Agent was acting as Agent.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Any resignation by Bank of America or Bank of America, N.A., acting through its Canada Branch, as an Agent pursuant to this Section shall also constitute its resignation as LC Issuer and Swing Line Lender. Upon the acceptance of a successor’s appointment as Agent hereunder, (a) such successor shall succeed to and become vested with all of the rights, powers, privileges and duties of the retiring LC Issuer and Swing Line Lender,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 satisfactory to the retiring LC Issuer to effectively assume the obligations of the retiring LC Issuer with respect to such Letters of Credit.</w:t>
      </w:r>
    </w:p>
    <w:p>
      <w:pPr>
        <w:spacing w:after="0" w:line="16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Section 9.7. </w:t>
      </w:r>
      <w:r>
        <w:rPr>
          <w:rFonts w:ascii="Arial" w:cs="Arial" w:eastAsia="Arial" w:hAnsi="Arial"/>
          <w:sz w:val="17"/>
          <w:szCs w:val="17"/>
          <w:u w:val="single" w:color="auto"/>
          <w:color w:val="auto"/>
        </w:rPr>
        <w:t>Non-Reliance on Agents and Other Lenders</w:t>
      </w:r>
      <w:r>
        <w:rPr>
          <w:rFonts w:ascii="Arial" w:cs="Arial" w:eastAsia="Arial" w:hAnsi="Arial"/>
          <w:sz w:val="17"/>
          <w:szCs w:val="17"/>
          <w:color w:val="auto"/>
        </w:rPr>
        <w:t>. Each Lender and each LC Issuer acknowledges that it has, independently and without reliance upon the Agents or any other Lender or any of their Related Parties and based on such documents and information as it has deemed appropriate, made its own credit analysis and decision to enter into this Agreement. Each Lender and each LC Issuer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8"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No Other Duties, Etc</w:t>
      </w:r>
      <w:r>
        <w:rPr>
          <w:rFonts w:ascii="Arial" w:cs="Arial" w:eastAsia="Arial" w:hAnsi="Arial"/>
          <w:sz w:val="18"/>
          <w:szCs w:val="18"/>
          <w:color w:val="auto"/>
        </w:rPr>
        <w:t>. Anything herein to the contrary notwithstanding, neither the Agents, Co-Syndication Agents nor the Co-Documentation Agents listed on the cover page hereof shall have any powers, duties or responsibilities under this Agreement or any of the other Loan Documents, except in its capacity, as applicable, as Agent, a Lender or an LC Issuer hereunder.</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u w:val="single" w:color="auto"/>
          <w:color w:val="auto"/>
        </w:rPr>
        <w:t>Guaranty Matters</w:t>
      </w:r>
      <w:r>
        <w:rPr>
          <w:rFonts w:ascii="Arial" w:cs="Arial" w:eastAsia="Arial" w:hAnsi="Arial"/>
          <w:sz w:val="18"/>
          <w:szCs w:val="18"/>
          <w:color w:val="auto"/>
        </w:rPr>
        <w:t>. The Lenders and the LC Issuers irrevocably authorize each Agent, at its option and in its discretion, to release any Guarantor from its obligations under the Guaranty if such Person ceases to be a Subsidiary as a result of a transaction permitted hereunder or as otherwise expressly provided in any Loan Document.</w:t>
      </w:r>
    </w:p>
    <w:p>
      <w:pPr>
        <w:spacing w:after="0" w:line="181"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Upon request by an Agent at any time, the Majority Lenders will confirm in writing an Agent’s authority to release any Guarantor from its obligations under the Guaranty pursuant to this Section 9.9.</w:t>
      </w:r>
    </w:p>
    <w:p>
      <w:pPr>
        <w:spacing w:after="0" w:line="17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Indemnification</w:t>
      </w:r>
      <w:r>
        <w:rPr>
          <w:rFonts w:ascii="Arial" w:cs="Arial" w:eastAsia="Arial" w:hAnsi="Arial"/>
          <w:sz w:val="17"/>
          <w:szCs w:val="17"/>
          <w:color w:val="auto"/>
        </w:rPr>
        <w:t>. Each Lender agrees to indemnify each Agent (to the extent not reimbursed by US Borrower or Canadian Borrowers within ten (10) days after demand) from and against such Lender’s US Percentage Share or Canadian Percentage Share, as the case may be, of any and all liabilities, obligations, claims, losses, damages, penalties, fines, actions, judgments, suits, settlements, costs, expenses or disbursements (including reasonable fees of attorneys, accountants, experts and advisors) of any kind or nature whatsoever (in this section collectively called “liabilities and costs”) which to any extent (in whole or in part) may be imposed on, incurred by, or asserted against such Agent growing out of, resulting from or in any other way associated with the Loan Documents and the transactions and events (including the enforcement thereof) at any time associated therewith or contemplated therein and any borrower’s use of loan proceeds (whether arising in contract or in tort or otherwise and including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any violation or noncompliance with any Environmental Laws by any Person or any liabilities or duties of any Person with respect to Hazardous Materials found in or released into the environment).</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color w:val="auto"/>
        </w:rPr>
        <w:t xml:space="preserve">THE FOREGOING INDEMNIFICATION SHALL APPLY WHETHER OR NOT SUCH LIABILITIES AND COSTS ARE IN ANY WAY OR TO ANY EXTENT OWED, IN WHOLE OR IN PART, UNDER ANY CLAIM OR THEORY OF STRICT LIABILITY OR CAUSED, IN WHOLE OR IN PART, BY ANY NEGLIGENT ACT OR OMISSION OF ANY KIND BY ANY AGENT, </w:t>
      </w:r>
      <w:r>
        <w:rPr>
          <w:rFonts w:ascii="Arial" w:cs="Arial" w:eastAsia="Arial" w:hAnsi="Arial"/>
          <w:sz w:val="17"/>
          <w:szCs w:val="17"/>
          <w:color w:val="auto"/>
        </w:rPr>
        <w:t>provided only that no Lender shall be obligated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to indemnify any Agent for that portion, if any, of any liabilities and costs which is proximately caused by such Agent’s own individual gross negligence or willful misconduct, as determined in a final judgment. Cumulative of the foregoing, each Lender agrees to reimburse each Agent promptly upon demand for such Lender’s US Percentage Share or Canadian Percentage Share, as the case may be, of any costs and expenses to be paid to such Agent by US Borrower or Canadian Borrowers under Section 10.4(a) to the extent that such Agent is not timely reimbursed for such expenses by such Persons as provided in such section. As used in this section the term “Agent” shall refer not only to the Persons designated as such in Section 1.1 but also to each director, officer, agent, attorney, employee, representative and Affiliate of such Person.</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Sharing of Set-Offs and Other Payments</w:t>
      </w:r>
      <w:r>
        <w:rPr>
          <w:rFonts w:ascii="Arial" w:cs="Arial" w:eastAsia="Arial" w:hAnsi="Arial"/>
          <w:sz w:val="17"/>
          <w:szCs w:val="17"/>
          <w:color w:val="auto"/>
        </w:rPr>
        <w:t>. Each Lender Party agrees that if it shall, whether through the exercise of rights of banker’s lien, set off, or counterclaim against any Borrower or otherwise, obtain payment of a portion of the aggregate Obligations owed to it which, taking into account all distributions made by either Agent under Section 3.1, causes such Lender Party to have received more than it would have received had such payment been received by either Agent and distributed pursuant to Section 3.1, then (a) it shall be deemed to have simultaneously purchased and shall be obligated to purchase interests in the Obligations as necessary to cause all Lender Parties to share all payments as provided for in Section 3.1, and (b) such other adjustments shall be made from time to time as shall be equitable to ensure that such Agent and all Lender Parties share all payments of Obligations as provided in Section 3.1; provided, however, and for the avoidance of doubt, that nothing herein contained shall in any way affect the right of any Lender Party to obtain payment (whether by exercise of rights of banker’s lien, set-off or counterclaim or otherwise) of indebtedness other than the Obligations. Each Borrower expressly consents to the foregoing arrangements, subject to Section 10.11. If all or any part of any funds transferred pursuant to this section is thereafter recovered from the seller under this section which received the same, the purchase provided for in this section shall be deemed to have been rescinded to the extent of such recovery, together with interest, if any, if interest is required pursuant to the order of a Governmental Authority to be paid on account of the possession of such funds prior to such recovery.</w:t>
      </w:r>
    </w:p>
    <w:p>
      <w:pPr>
        <w:sectPr>
          <w:pgSz w:w="11900" w:h="16838" w:orient="portrait"/>
          <w:cols w:equalWidth="0" w:num="1">
            <w:col w:w="11420"/>
          </w:cols>
          <w:pgMar w:left="240" w:top="125" w:right="239" w:bottom="0" w:gutter="0" w:footer="0" w:header="0"/>
        </w:sectPr>
      </w:pPr>
    </w:p>
    <w:bookmarkStart w:id="51" w:name="page52"/>
    <w:bookmarkEnd w:id="51"/>
    <w:p>
      <w:pPr>
        <w:spacing w:after="0" w:line="94"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Investments</w:t>
      </w:r>
      <w:r>
        <w:rPr>
          <w:rFonts w:ascii="Arial" w:cs="Arial" w:eastAsia="Arial" w:hAnsi="Arial"/>
          <w:sz w:val="16"/>
          <w:szCs w:val="16"/>
          <w:color w:val="auto"/>
        </w:rPr>
        <w:t>. Whenever either Agent in good faith determines that it is uncertain about how to distribute to Lender Parties any funds which it has received, or whenever either Agent in good faith determines that there is any dispute among Lender Parties about how such funds should be distributed, such Agent may choose to defer distribution of the funds which are the subject of such uncertainty or dispute. If either Agent in good faith believes that the uncertainty or dispute will not be promptly resolved, or if either Agent is otherwise required to invest funds pending distribution to Lender Parties, such Agent shall invest such funds pending distribution; all interest on any such Investment shall be distributed upon the distribution of such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 and in the same proportion and to the same Persons as such Investment. All moneys received by any Agent for distribution to Lender Parties (other than to the Person who is Administrative Agent in its separate capacity as a Lender Party, or the Person who is Canadian Administrative Agent in its separate capacity as a Lender Party) shall be held by such Agent pending such distribution solely as such Agent for such Lender Parties, and such Agent shall have no equitable title to any portion thereof.</w:t>
      </w:r>
    </w:p>
    <w:p>
      <w:pPr>
        <w:spacing w:after="0" w:line="18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ARTICLE X. – Miscellaneous</w:t>
      </w:r>
    </w:p>
    <w:p>
      <w:pPr>
        <w:spacing w:after="0" w:line="22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Waivers and Amendments; Acknowledgments.</w:t>
      </w:r>
    </w:p>
    <w:p>
      <w:pPr>
        <w:spacing w:after="0" w:line="225" w:lineRule="exact"/>
        <w:rPr>
          <w:sz w:val="20"/>
          <w:szCs w:val="20"/>
          <w:color w:val="auto"/>
        </w:rPr>
      </w:pPr>
    </w:p>
    <w:p>
      <w:pPr>
        <w:ind w:firstLine="656"/>
        <w:spacing w:after="0" w:line="287" w:lineRule="auto"/>
        <w:tabs>
          <w:tab w:leader="none" w:pos="1307"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Waivers and Amendments</w:t>
      </w:r>
      <w:r>
        <w:rPr>
          <w:rFonts w:ascii="Arial" w:cs="Arial" w:eastAsia="Arial" w:hAnsi="Arial"/>
          <w:sz w:val="16"/>
          <w:szCs w:val="16"/>
          <w:color w:val="auto"/>
        </w:rPr>
        <w:t>. No failure or delay (whether by course of conduct or otherwise) by any Lender in exercising any right, power or remedy which such Lender Party may have under any of the Loan Documents shall operate as a waiver thereof or of any other right, power or remedy, nor shall any single or partial exercise by any Lender Party of any such right, power or remedy preclude any other or further exercise thereof or of any other right, power or remedy. No waiver of any provision of any Loan Document and no consent to any departure therefrom shall ever be effective unless it is in writing and signed as provided below in this section, and then such waiver or consent shall be effective only in the specific instances and for the purposes for which given and to the extent specified in such writing. This Agreement and the other Loan Documents set forth the entire understanding between the parties hereto with respect to the transactions contemplated herein and therein and supersede all prior discussions and understandings with respect to the subject matter hereof and thereof, and no amendment or waiver of any provision of this Agreement or any other Loan Document, and no consent to any departure by a Borrower or any other Restricted Person therefrom, shall be effective unless in writing signed by the Majority Lenders and the applicable Borrower or the applicable Restricted Person, as the case may be, and acknowledged by Administrative Agent, and each such waiver or consent shall be effective only in the specific instance and for the specific purpose for which given; provided, however, that no such amendment, waiver or consent shall:</w:t>
      </w:r>
    </w:p>
    <w:p>
      <w:pPr>
        <w:spacing w:after="0" w:line="172" w:lineRule="exact"/>
        <w:rPr>
          <w:rFonts w:ascii="Arial" w:cs="Arial" w:eastAsia="Arial" w:hAnsi="Arial"/>
          <w:sz w:val="16"/>
          <w:szCs w:val="16"/>
          <w:color w:val="auto"/>
        </w:rPr>
      </w:pPr>
    </w:p>
    <w:p>
      <w:pPr>
        <w:ind w:right="40" w:firstLine="1305"/>
        <w:spacing w:after="0" w:line="264" w:lineRule="auto"/>
        <w:tabs>
          <w:tab w:leader="none" w:pos="196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waive any condition set forth in Section 4.1 without the written consent of each Lender (provided Administrative Agent may in its discretion withdraw any request it has made under Section 4.1(i) to the extent such request does not pertain to an item expressly covered by any other subsection of Section 4.1);</w:t>
      </w:r>
    </w:p>
    <w:p>
      <w:pPr>
        <w:spacing w:after="0" w:line="181" w:lineRule="exact"/>
        <w:rPr>
          <w:rFonts w:ascii="Arial" w:cs="Arial" w:eastAsia="Arial" w:hAnsi="Arial"/>
          <w:sz w:val="18"/>
          <w:szCs w:val="18"/>
          <w:color w:val="auto"/>
        </w:rPr>
      </w:pPr>
    </w:p>
    <w:p>
      <w:pPr>
        <w:ind w:right="140" w:firstLine="1305"/>
        <w:spacing w:after="0" w:line="277" w:lineRule="auto"/>
        <w:tabs>
          <w:tab w:leader="none" w:pos="197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extend or increase the Commitment of any Lender (or reinstate any Commitment terminated pursuant to Section 8.1) without the written consent of such Lender;</w:t>
      </w:r>
    </w:p>
    <w:p>
      <w:pPr>
        <w:spacing w:after="0" w:line="170" w:lineRule="exact"/>
        <w:rPr>
          <w:rFonts w:ascii="Arial" w:cs="Arial" w:eastAsia="Arial" w:hAnsi="Arial"/>
          <w:sz w:val="18"/>
          <w:szCs w:val="18"/>
          <w:color w:val="auto"/>
        </w:rPr>
      </w:pPr>
    </w:p>
    <w:p>
      <w:pPr>
        <w:jc w:val="both"/>
        <w:ind w:right="140" w:firstLine="1305"/>
        <w:spacing w:after="0" w:line="264" w:lineRule="auto"/>
        <w:tabs>
          <w:tab w:leader="none" w:pos="1985" w:val="left"/>
        </w:tabs>
        <w:numPr>
          <w:ilvl w:val="1"/>
          <w:numId w:val="120"/>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or mandatory prepayment of principal, interest, fees or other amounts due to the Lenders (or any of them) hereunder or under any other Loan Document without the written consent of each Lender directly affected thereby;</w:t>
      </w:r>
    </w:p>
    <w:p>
      <w:pPr>
        <w:spacing w:after="0" w:line="181" w:lineRule="exact"/>
        <w:rPr>
          <w:rFonts w:ascii="Arial" w:cs="Arial" w:eastAsia="Arial" w:hAnsi="Arial"/>
          <w:sz w:val="18"/>
          <w:szCs w:val="18"/>
          <w:color w:val="auto"/>
        </w:rPr>
      </w:pPr>
    </w:p>
    <w:p>
      <w:pPr>
        <w:ind w:right="440" w:firstLine="1305"/>
        <w:spacing w:after="0" w:line="264" w:lineRule="auto"/>
        <w:tabs>
          <w:tab w:leader="none" w:pos="1961" w:val="left"/>
        </w:tabs>
        <w:numPr>
          <w:ilvl w:val="1"/>
          <w:numId w:val="120"/>
        </w:numPr>
        <w:rPr>
          <w:rFonts w:ascii="Arial" w:cs="Arial" w:eastAsia="Arial" w:hAnsi="Arial"/>
          <w:sz w:val="18"/>
          <w:szCs w:val="18"/>
          <w:color w:val="auto"/>
        </w:rPr>
      </w:pPr>
      <w:r>
        <w:rPr>
          <w:rFonts w:ascii="Arial" w:cs="Arial" w:eastAsia="Arial" w:hAnsi="Arial"/>
          <w:sz w:val="18"/>
          <w:szCs w:val="18"/>
          <w:color w:val="auto"/>
        </w:rPr>
        <w:t>reduce the principal of, or the rate of interest specified herein on, any Loan or LC Borrowing, or (subject to clause (iii) of the proviso at the end of this Section 10.1) any fees or other amounts payable hereunder or under any other Loan Document, or change the manner of computation of any financial ratio (including any change in any applicable defined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term) used in determining the Applicable Margin that would result in a reduction of any interest rate on any Loan or any fee payable hereunder without the written consent of each Lender directly affected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and for the avoidance of doubt, that only the consent of the Majority Lenders shall be necessary (A) to amend the definition of “Default Rate” or to waive any obligation of any Borrower to pay interest, Letter of Credit Fees or stamping fees at the Default Rate or (B) to amend any financial covenant hereunder (or any defined term used therein) even if the effect of such amendment would be to reduce the rate of interest on any Loan or LC Borrowing or to reduce any fee payable hereunder;</w:t>
      </w:r>
    </w:p>
    <w:p>
      <w:pPr>
        <w:spacing w:after="0" w:line="173" w:lineRule="exact"/>
        <w:rPr>
          <w:sz w:val="20"/>
          <w:szCs w:val="20"/>
          <w:color w:val="auto"/>
        </w:rPr>
      </w:pPr>
    </w:p>
    <w:p>
      <w:pPr>
        <w:ind w:right="420" w:firstLine="1305"/>
        <w:spacing w:after="0" w:line="277" w:lineRule="auto"/>
        <w:tabs>
          <w:tab w:leader="none" w:pos="19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change Section 9.11 or Section 8.2 in a manner that would alter the pro rata sharing of payments required thereby without the written consent of each Lender; or</w:t>
      </w:r>
    </w:p>
    <w:p>
      <w:pPr>
        <w:spacing w:after="0" w:line="170" w:lineRule="exact"/>
        <w:rPr>
          <w:rFonts w:ascii="Arial" w:cs="Arial" w:eastAsia="Arial" w:hAnsi="Arial"/>
          <w:sz w:val="18"/>
          <w:szCs w:val="18"/>
          <w:color w:val="auto"/>
        </w:rPr>
      </w:pPr>
    </w:p>
    <w:p>
      <w:pPr>
        <w:ind w:right="140" w:firstLine="1305"/>
        <w:spacing w:after="0" w:line="264" w:lineRule="auto"/>
        <w:tabs>
          <w:tab w:leader="none" w:pos="196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change any provision of this Section or the definition of “Majority Lenders” or any other provision hereof specifying the number or percentage of Lenders required to amend, waive or otherwise modify any rights hereunder or make any determination or grant any consent hereunder, without the written consent of each Lender; or</w:t>
      </w:r>
    </w:p>
    <w:p>
      <w:pPr>
        <w:spacing w:after="0" w:line="181" w:lineRule="exact"/>
        <w:rPr>
          <w:rFonts w:ascii="Arial" w:cs="Arial" w:eastAsia="Arial" w:hAnsi="Arial"/>
          <w:sz w:val="18"/>
          <w:szCs w:val="18"/>
          <w:color w:val="auto"/>
        </w:rPr>
      </w:pPr>
    </w:p>
    <w:p>
      <w:pPr>
        <w:ind w:right="40" w:firstLine="1305"/>
        <w:spacing w:after="0" w:line="264" w:lineRule="auto"/>
        <w:tabs>
          <w:tab w:leader="none" w:pos="197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except as expressly provided herein or in any other Loan Document, release (A) any Borrower from its obligation to pay such Lender’s Note, (B) any Guarantor from its guaranty of such payment or (C) any Restricted Person from the negative pledge covenant set forth in Section 7.11 hereof.</w:t>
      </w:r>
    </w:p>
    <w:p>
      <w:pPr>
        <w:spacing w:after="0" w:line="18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 no amendment, waiver or consent shall, unless in writing and signed by an LC Issuer in addition to the Lenders required above, affect the rights or duties of an LC Issuer under this Agreement or any LC Application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Administrative Agent or Canadian Administrative Agent, as the case may be, in addition to the Lenders required above, affect the rights or duties of such Agent under this Agreement or any other Loan Document; and (iv) the Fee Letter may be amended, or rights or privileges thereunder waived, in a writing executed only by the parties thereto. Notwithstanding anything to the contrary herein, no Defaulting Lender shall have any right to approve or disapprove any amendment, waiver or consent hereunder or any other Loan Document, nor shall a Defaulting Lender’s vote or status as a Lender be required in determining majority, unanimity or other condition or effect of any vote, except that the Commitment of such Lender may not be increased or extended without the consent of such Lender.</w:t>
      </w:r>
    </w:p>
    <w:p>
      <w:pPr>
        <w:sectPr>
          <w:pgSz w:w="11900" w:h="16932" w:orient="portrait"/>
          <w:cols w:equalWidth="0" w:num="1">
            <w:col w:w="11400"/>
          </w:cols>
          <w:pgMar w:left="240" w:top="125" w:right="259" w:bottom="0" w:gutter="0" w:footer="0" w:header="0"/>
        </w:sectPr>
      </w:pPr>
    </w:p>
    <w:bookmarkStart w:id="52" w:name="page53"/>
    <w:bookmarkEnd w:id="52"/>
    <w:p>
      <w:pPr>
        <w:ind w:right="20" w:firstLine="656"/>
        <w:spacing w:after="0" w:line="297" w:lineRule="auto"/>
        <w:tabs>
          <w:tab w:leader="none" w:pos="1304"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Acknowledgments and Admissions</w:t>
      </w:r>
      <w:r>
        <w:rPr>
          <w:rFonts w:ascii="Arial" w:cs="Arial" w:eastAsia="Arial" w:hAnsi="Arial"/>
          <w:sz w:val="16"/>
          <w:szCs w:val="16"/>
          <w:color w:val="auto"/>
        </w:rPr>
        <w:t>. Each Borrower hereby represents, warrants, acknowledges and admits that (i) it has been advised by counsel in the negotiation, execution and delivery of the Loan Documents to which it is a party, (ii) no Lender Party has any fiduciary obligation toward such Borrower with respect to any Loan Document or the transactions contemplated thereby, (iii) the relationship pursuant to the Loan Documents between such Borrower and the other Restricted Persons, on one hand, and each Lender Party, on the other hand, is and shall be solely that of debtor and creditor, respectively, and (iv) no partnership or joint venture exists with respect to the Loan Documents between any Restricted Person and any Lender Party.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79" w:lineRule="auto"/>
        <w:tabs>
          <w:tab w:leader="none" w:pos="1307"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Representation by Lenders</w:t>
      </w:r>
      <w:r>
        <w:rPr>
          <w:rFonts w:ascii="Arial" w:cs="Arial" w:eastAsia="Arial" w:hAnsi="Arial"/>
          <w:sz w:val="17"/>
          <w:szCs w:val="17"/>
          <w:color w:val="auto"/>
        </w:rPr>
        <w:t>. Each Lender hereby represents that it will acquire its Notes for its own account in the ordinary course of its commercial lending or investing business; however, the disposition of such Lender’s property shall at all times be and remain within its control and, in particular and without limitation, such Lender may sell or otherwise transfer its Note, any participation interest or other interest in its Note, or any of its other rights and obligations under the Loan Documents subject to compliance with Section 10.5 and applicable Law.</w:t>
      </w:r>
    </w:p>
    <w:p>
      <w:pPr>
        <w:spacing w:after="0" w:line="167" w:lineRule="exact"/>
        <w:rPr>
          <w:rFonts w:ascii="Arial" w:cs="Arial" w:eastAsia="Arial" w:hAnsi="Arial"/>
          <w:sz w:val="17"/>
          <w:szCs w:val="17"/>
          <w:color w:val="auto"/>
        </w:rPr>
      </w:pPr>
    </w:p>
    <w:p>
      <w:pPr>
        <w:jc w:val="both"/>
        <w:ind w:firstLine="656"/>
        <w:spacing w:after="0" w:line="266" w:lineRule="auto"/>
        <w:tabs>
          <w:tab w:leader="none" w:pos="1304" w:val="left"/>
        </w:tabs>
        <w:numPr>
          <w:ilvl w:val="0"/>
          <w:numId w:val="123"/>
        </w:numPr>
        <w:rPr>
          <w:rFonts w:ascii="Arial" w:cs="Arial" w:eastAsia="Arial" w:hAnsi="Arial"/>
          <w:sz w:val="18"/>
          <w:szCs w:val="18"/>
          <w:color w:val="auto"/>
        </w:rPr>
      </w:pPr>
      <w:r>
        <w:rPr>
          <w:rFonts w:ascii="Arial" w:cs="Arial" w:eastAsia="Arial" w:hAnsi="Arial"/>
          <w:sz w:val="18"/>
          <w:szCs w:val="18"/>
          <w:b w:val="1"/>
          <w:bCs w:val="1"/>
          <w:u w:val="single" w:color="auto"/>
          <w:color w:val="auto"/>
        </w:rPr>
        <w:t>JOINT ACKNOWLEDGMENT</w:t>
      </w:r>
      <w:r>
        <w:rPr>
          <w:rFonts w:ascii="Arial" w:cs="Arial" w:eastAsia="Arial" w:hAnsi="Arial"/>
          <w:sz w:val="18"/>
          <w:szCs w:val="18"/>
          <w:b w:val="1"/>
          <w:bCs w:val="1"/>
          <w:color w:val="auto"/>
        </w:rPr>
        <w:t>. THIS WRITTEN AGREEMENT AND THE OTHER LOAN DOCUMENTS REPRESENT THE FINAL AGREEMENT BETWEEN THE PARTIES AND MAY NOT BE CONTRADICTED BY EVIDENCE OF PRIOR, CONTEMPORANEOUS, OR SUBSEQUENT ORAL AGREEMENTS OF THE PARTIES.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THERE ARE NO UNWRITTEN ORAL AGREEMENTS BETWEEN THE PARTIES.</w:t>
      </w:r>
    </w:p>
    <w:p>
      <w:pPr>
        <w:spacing w:after="0" w:line="229" w:lineRule="exact"/>
        <w:rPr>
          <w:sz w:val="20"/>
          <w:szCs w:val="20"/>
          <w:color w:val="auto"/>
        </w:rPr>
      </w:pPr>
    </w:p>
    <w:p>
      <w:pPr>
        <w:jc w:val="both"/>
        <w:ind w:right="60" w:firstLine="656"/>
        <w:spacing w:after="0" w:line="259" w:lineRule="auto"/>
        <w:tabs>
          <w:tab w:leader="none" w:pos="1307"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Annual Rates of Interest</w:t>
      </w:r>
      <w:r>
        <w:rPr>
          <w:rFonts w:ascii="Arial" w:cs="Arial" w:eastAsia="Arial" w:hAnsi="Arial"/>
          <w:sz w:val="18"/>
          <w:szCs w:val="18"/>
          <w:color w:val="auto"/>
        </w:rPr>
        <w:t xml:space="preserve">. For the purposes of the </w:t>
      </w:r>
      <w:r>
        <w:rPr>
          <w:rFonts w:ascii="Arial" w:cs="Arial" w:eastAsia="Arial" w:hAnsi="Arial"/>
          <w:sz w:val="18"/>
          <w:szCs w:val="18"/>
          <w:i w:val="1"/>
          <w:iCs w:val="1"/>
          <w:color w:val="auto"/>
        </w:rPr>
        <w:t>Interest Act</w:t>
      </w:r>
      <w:r>
        <w:rPr>
          <w:rFonts w:ascii="Arial" w:cs="Arial" w:eastAsia="Arial" w:hAnsi="Arial"/>
          <w:sz w:val="18"/>
          <w:szCs w:val="18"/>
          <w:color w:val="auto"/>
        </w:rPr>
        <w:t xml:space="preserve"> (Canada), whenever interest payable pursuant to this Agreement is calculated on the basis of a period other than a calendar year (in this Section 10.1(e), the “Interest Period”), each rate of interest determined pursuant to such calculation expressed as an annual rate is equivalent to such rate as so determined multiplied by the actual number of days in the calendar year in which the same is to be ascertained and divided by the number of days in the Interest Period.</w:t>
      </w:r>
    </w:p>
    <w:p>
      <w:pPr>
        <w:spacing w:after="0" w:line="186" w:lineRule="exact"/>
        <w:rPr>
          <w:rFonts w:ascii="Arial" w:cs="Arial" w:eastAsia="Arial" w:hAnsi="Arial"/>
          <w:sz w:val="18"/>
          <w:szCs w:val="18"/>
          <w:color w:val="auto"/>
        </w:rPr>
      </w:pPr>
    </w:p>
    <w:p>
      <w:pPr>
        <w:ind w:firstLine="656"/>
        <w:spacing w:after="0" w:line="277" w:lineRule="auto"/>
        <w:tabs>
          <w:tab w:leader="none" w:pos="1314"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Joint and Several Liability</w:t>
      </w:r>
      <w:r>
        <w:rPr>
          <w:rFonts w:ascii="Arial" w:cs="Arial" w:eastAsia="Arial" w:hAnsi="Arial"/>
          <w:sz w:val="18"/>
          <w:szCs w:val="18"/>
          <w:color w:val="auto"/>
        </w:rPr>
        <w:t>. All Obligations which are incurred by two or more Restricted Persons shall be their joint and several obligations and liabilities of such Restricted Persons.</w:t>
      </w:r>
    </w:p>
    <w:p>
      <w:pPr>
        <w:spacing w:after="0" w:line="170" w:lineRule="exact"/>
        <w:rPr>
          <w:rFonts w:ascii="Arial" w:cs="Arial" w:eastAsia="Arial" w:hAnsi="Arial"/>
          <w:sz w:val="18"/>
          <w:szCs w:val="18"/>
          <w:color w:val="auto"/>
        </w:rPr>
      </w:pPr>
    </w:p>
    <w:p>
      <w:pPr>
        <w:ind w:right="20" w:firstLine="656"/>
        <w:spacing w:after="0" w:line="257" w:lineRule="auto"/>
        <w:tabs>
          <w:tab w:leader="none" w:pos="1304"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No Recourse to Other Persons</w:t>
      </w:r>
      <w:r>
        <w:rPr>
          <w:rFonts w:ascii="Arial" w:cs="Arial" w:eastAsia="Arial" w:hAnsi="Arial"/>
          <w:sz w:val="18"/>
          <w:szCs w:val="18"/>
          <w:color w:val="auto"/>
        </w:rPr>
        <w:t>. No past, present or future director, officer, partner, employee, incorporator, manager, stockholder, unitholder or member of US Borrower, General Partner or GP LLC, and no past, present or future director, officer, partner, employee, incorporator, manager, stockholder, unitholder or member of any Borrower or any Guarantor who, in each such case, is a natural person, shall have any liability for any Obligations or for any claim based on, in respect of, or by reason of, the Obligations or their creation. Each Lender Party waives and releases all such liability. The waiver and release are part of the consideration for the making of the Notes.</w:t>
      </w:r>
    </w:p>
    <w:p>
      <w:pPr>
        <w:spacing w:after="0" w:line="18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Survival of Representations, Warranties and Agreements; Cumulative Nature</w:t>
      </w:r>
      <w:r>
        <w:rPr>
          <w:rFonts w:ascii="Arial" w:cs="Arial" w:eastAsia="Arial" w:hAnsi="Arial"/>
          <w:sz w:val="17"/>
          <w:szCs w:val="17"/>
          <w:color w:val="auto"/>
        </w:rPr>
        <w:t>. All of Restricted Persons’ various representations, warranties, covenants and agreements in the Loan Documents shall survive the execution and delivery of this Agreement and the other Loan Documents and the performance hereof and thereof, including the making or granting of the Loans and the delivery of the Notes and the other Loan Documents, and shall further survive until all of the Obligations are paid in full to each Lender Party and all of Lender Parties’ obligations to Borrowers are terminated. Such representations and warranties have been or will be relied upon by the Agents and each Lender, regardless of any investigation made by either Agent or any Lender or on their behalf and notwithstanding that either Agent or any Lender may have had notice or knowledge of any Default at the time of any credit extension hereunder. The rights, powers, and privileges granted to Lender Parties in the Loan Documents, are cumulative, and, except for expressly specified waivers and consents, no Loan Document shall be construed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 the context of another to diminish, nullify, or otherwise reduce the benefit to any Lender Party of any such right, power or privilege.</w:t>
      </w:r>
    </w:p>
    <w:p>
      <w:pPr>
        <w:spacing w:after="0" w:line="22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Notices; Effectiveness; Electronic Communication</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302" w:lineRule="auto"/>
        <w:tabs>
          <w:tab w:leader="none" w:pos="1307"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Notices Generally</w:t>
      </w:r>
      <w:r>
        <w:rPr>
          <w:rFonts w:ascii="Arial" w:cs="Arial" w:eastAsia="Arial" w:hAnsi="Arial"/>
          <w:sz w:val="16"/>
          <w:szCs w:val="16"/>
          <w:color w:val="auto"/>
        </w:rPr>
        <w:t>. Except in the case of notices and other communications expressly permitted to be given by telephone or otherwise (and except as provided in subsection (b) below), all notices and other communications provided for herein shall be in writing and shall be delivered by hand or overnight courier service, mailed by certified or registered mail or sent by telecopier or other electronic transmission as follows, and all notices and other communications expressly permitted hereunder to be given by telephone shall be made to the applicable telephone number, as follows:</w:t>
      </w:r>
    </w:p>
    <w:p>
      <w:pPr>
        <w:spacing w:after="0" w:line="154" w:lineRule="exact"/>
        <w:rPr>
          <w:rFonts w:ascii="Arial" w:cs="Arial" w:eastAsia="Arial" w:hAnsi="Arial"/>
          <w:sz w:val="16"/>
          <w:szCs w:val="16"/>
          <w:color w:val="auto"/>
        </w:rPr>
      </w:pPr>
    </w:p>
    <w:p>
      <w:pPr>
        <w:ind w:right="560" w:firstLine="1305"/>
        <w:spacing w:after="0" w:line="277" w:lineRule="auto"/>
        <w:tabs>
          <w:tab w:leader="none" w:pos="196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if to any Borrower, either Agent or either LC Issuer, to the address, telecopier number, electronic mail address or telephone number specified for such Person on Schedule 10.3; and</w:t>
      </w:r>
    </w:p>
    <w:p>
      <w:pPr>
        <w:spacing w:after="0" w:line="170" w:lineRule="exact"/>
        <w:rPr>
          <w:rFonts w:ascii="Arial" w:cs="Arial" w:eastAsia="Arial" w:hAnsi="Arial"/>
          <w:sz w:val="18"/>
          <w:szCs w:val="18"/>
          <w:color w:val="auto"/>
        </w:rPr>
      </w:pPr>
    </w:p>
    <w:p>
      <w:pPr>
        <w:ind w:right="60" w:firstLine="1305"/>
        <w:spacing w:after="0" w:line="264" w:lineRule="auto"/>
        <w:tabs>
          <w:tab w:leader="none" w:pos="197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if to any other Lender, to the address, telecopier number, electronic mail address or telephone number specified in its Administrative Questionnaire if it has been delivered to the party sending such notice or communication; otherwise to such address reasonably believed to be correct by the sending party.</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telecopier shall be deemed to have been given when received (except that, if not given during normal business hours for the recipient, shall be deemed to have been received at the opening of business on the next business day for the recipient), with confirmation of the transmittal of any such telecopied notice evidencing receipt thereof. Notices delivered through electronic communications to the extent provided in subsection (b) below, shall be effective as provided in such subsection (b).</w:t>
      </w:r>
    </w:p>
    <w:p>
      <w:pPr>
        <w:spacing w:after="0" w:line="188" w:lineRule="exact"/>
        <w:rPr>
          <w:sz w:val="20"/>
          <w:szCs w:val="20"/>
          <w:color w:val="auto"/>
        </w:rPr>
      </w:pPr>
    </w:p>
    <w:p>
      <w:pPr>
        <w:ind w:right="40" w:firstLine="656"/>
        <w:spacing w:after="0" w:line="302" w:lineRule="auto"/>
        <w:tabs>
          <w:tab w:leader="none" w:pos="1304"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xml:space="preserve">. Notices and other communications to the Lenders and the LC Issuers hereunder may be delivered or furnished by electronic communication (including e-mail and Internet or intranet websites) pursuant to procedures approved by the relevant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or either LC Issuer pursuant to Article II if such Lender or such LC Issuer, as applicable, has notified Administrative Agent that it is incapable of receiving notices under such Article by electronic communication. Either Agent or any Borrower may, in its</w:t>
      </w:r>
    </w:p>
    <w:p>
      <w:pPr>
        <w:sectPr>
          <w:pgSz w:w="11900" w:h="16838" w:orient="portrait"/>
          <w:cols w:equalWidth="0" w:num="1">
            <w:col w:w="11400"/>
          </w:cols>
          <w:pgMar w:left="240" w:top="341" w:right="259" w:bottom="0" w:gutter="0" w:footer="0" w:header="0"/>
        </w:sectPr>
      </w:pPr>
    </w:p>
    <w:bookmarkStart w:id="53" w:name="page54"/>
    <w:bookmarkEnd w:id="53"/>
    <w:p>
      <w:pPr>
        <w:spacing w:after="0" w:line="137"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 xml:space="preserve">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70"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 xml:space="preserve">Unless the relevant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or other communication is not sent during the normal business hours of the recipient, such notice or communication shall be deemed to have been sent at the opening of business on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1" w:lineRule="exact"/>
        <w:rPr>
          <w:sz w:val="20"/>
          <w:szCs w:val="20"/>
          <w:color w:val="auto"/>
        </w:rPr>
      </w:pPr>
    </w:p>
    <w:p>
      <w:pPr>
        <w:ind w:right="20" w:firstLine="656"/>
        <w:spacing w:after="0" w:line="312" w:lineRule="auto"/>
        <w:tabs>
          <w:tab w:leader="none" w:pos="1307"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the Borrowers, the Agents and the LC Issuers may change its address, telecopier, e-mail address or telephone number for notices and other communications hereunder by notice to the other parties hereto. Each other Lender may change its address, telecopier, e-mail address or telephone number for notices and other communications hereunder by notice to the Borrowers, the Agents and the LC Issuers.</w:t>
      </w:r>
    </w:p>
    <w:p>
      <w:pPr>
        <w:spacing w:after="0" w:line="146" w:lineRule="exact"/>
        <w:rPr>
          <w:rFonts w:ascii="Arial" w:cs="Arial" w:eastAsia="Arial" w:hAnsi="Arial"/>
          <w:sz w:val="16"/>
          <w:szCs w:val="16"/>
          <w:color w:val="auto"/>
        </w:rPr>
      </w:pPr>
    </w:p>
    <w:p>
      <w:pPr>
        <w:ind w:right="60" w:firstLine="656"/>
        <w:spacing w:after="0" w:line="293" w:lineRule="auto"/>
        <w:tabs>
          <w:tab w:leader="none" w:pos="1304"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Reliance by Agents, LC Issuers and Lenders</w:t>
      </w:r>
      <w:r>
        <w:rPr>
          <w:rFonts w:ascii="Arial" w:cs="Arial" w:eastAsia="Arial" w:hAnsi="Arial"/>
          <w:sz w:val="16"/>
          <w:szCs w:val="16"/>
          <w:color w:val="auto"/>
        </w:rPr>
        <w:t>. The Lender Parties shall be entitled to rely and act upon any notices each of them reasonably believes is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Each Borrower shall jointly and severally indemnify the Lender Parties from all losses, costs, expenses and liabilities resulting from the reliance by such Person on each notice it reasonably believes is purportedly given by or on behalf of any Borrower, as provided in Section 10.4(b). All telephonic notices to and other telephonic communications with either Agent may be recorded by such Agent, and each of the parties hereto hereby consents to such recording.</w:t>
      </w:r>
    </w:p>
    <w:p>
      <w:pPr>
        <w:spacing w:after="0" w:line="16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225" w:lineRule="exact"/>
        <w:rPr>
          <w:sz w:val="20"/>
          <w:szCs w:val="20"/>
          <w:color w:val="auto"/>
        </w:rPr>
      </w:pPr>
    </w:p>
    <w:p>
      <w:pPr>
        <w:ind w:right="60" w:firstLine="656"/>
        <w:spacing w:after="0" w:line="289" w:lineRule="auto"/>
        <w:tabs>
          <w:tab w:leader="none" w:pos="1307"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Payment of Expenses</w:t>
      </w:r>
      <w:r>
        <w:rPr>
          <w:rFonts w:ascii="Arial" w:cs="Arial" w:eastAsia="Arial" w:hAnsi="Arial"/>
          <w:sz w:val="16"/>
          <w:szCs w:val="16"/>
          <w:color w:val="auto"/>
        </w:rPr>
        <w:t>. Each Borrower shall jointly and severally pay (i) all reasonable out-of-pocket expenses incurred by the Agents and their respective Affiliates (including the reasonable fees, charges and disbursements of counsel for Administrative Agent), in connection with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Issuers in connection with the issuance, amendment, renewal or extension of any Letter of Credit or any demand for payment thereunder and (iii) all out-of-pocket expenses incurred by any Agent, any Lender or any LC Issuer (including the fees, charges and disbursements of any counsel for any Agent, any Lender or any LC Issuer and all fees and time charges for attorneys who may be employees of any Agent or any LC Issuer), in connection with the enforcement or protection of its rights under this Agreement and the other Loan Documents, including its rights under this Section and out-of-pocket expenses incurred during any workout, restructuring or negotiations in respect of such Loans or Letters of Credit.</w:t>
      </w:r>
    </w:p>
    <w:p>
      <w:pPr>
        <w:spacing w:after="0" w:line="166" w:lineRule="exact"/>
        <w:rPr>
          <w:rFonts w:ascii="Arial" w:cs="Arial" w:eastAsia="Arial" w:hAnsi="Arial"/>
          <w:sz w:val="16"/>
          <w:szCs w:val="16"/>
          <w:color w:val="auto"/>
        </w:rPr>
      </w:pPr>
    </w:p>
    <w:p>
      <w:pPr>
        <w:ind w:firstLine="656"/>
        <w:spacing w:after="0" w:line="257" w:lineRule="auto"/>
        <w:tabs>
          <w:tab w:leader="none" w:pos="1304"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 Each Borrower agrees to indemnify each Lender Party from and against any and all liabilities, obligations, claims, losses, damages, penalties, fines, actions, judgments, suits, settlements, costs, expenses or disbursements (including reasonable fees of attorneys, accountants, experts and advisors) of any kind or nature whatsoever (in this section collectively called “liabilities and costs”) which to any extent (in whole or in part) may be imposed on, incurred by, or asserted against such Lender Party growing out of, resulting from or in any other way associated with the Loan Documents and the transactions and events (including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enforcement or defense thereof) at any time associated therewith or contemplated therein and any Borrower’s use of Loan proceeds (whether arising in contract or in tort or otherwise and including any violation or noncompliance with any Environmental Laws by any Lender Party or any other Person or any liabilities or duties of any Lender Party or any other Person with respect to Hazardous Materials found in or released into the environment). In the case of an investigation, litigation or proceeding to which the indemnity in this Section 10.4 applies, such indemnity shall be effective whether or not such investigation, litigation or proceeding is brought by any Borrower, any of its equity holders, Affiliates or creditors or a Lender Party or any third party and whether or not a Lender Party is otherwise a party thereto.</w:t>
      </w:r>
    </w:p>
    <w:p>
      <w:pPr>
        <w:spacing w:after="0" w:line="18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THE FOREGOING INDEMNIFICATION SHALL APPLY WHETHER OR NOT SUCH LIABILITIES AND COSTS ARE IN ANY WAY OR TO ANY EXTENT OWED, IN WHOLE OR IN PART, UNDER ANY CLAIM OR THEORY OF STRICT LIABILITY OR CAUSED, IN WHOLE OR IN PART, BY ANY NEGLIGENT ACT OR OMISSION OF ANY KIND BY ANY LENDER PARTY</w:t>
      </w:r>
      <w:r>
        <w:rPr>
          <w:rFonts w:ascii="Arial" w:cs="Arial" w:eastAsia="Arial" w:hAnsi="Arial"/>
          <w:sz w:val="16"/>
          <w:szCs w:val="16"/>
          <w:color w:val="auto"/>
        </w:rPr>
        <w:t>, provided only that no Lender Party</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entitled under this section to receive indemnification for that portion, if any, of any liabilities and costs which (i) is proximately caused by its own (A) individual gross negligence or willful misconduct, as determined in a final judgment, or (B) material breach of any of its obligations hereunder or under any other Loan Documents, as determined in a final judgment or (ii) arises by reason of a claim (A) by any one or more Lender Parties against any one or more other Lender Parties or (B) by an equity-interest owner of any Lender Party against any one or more Lender Parties, so long as in either such case, such claim is not proximately caused solely by the breach hereunder or under any other Loan Document by any Borrower or its Affiliates. If any Person (including any Borrower or any of its Affiliates) ever alleges gross negligence or willful misconduct pursuant to the preceding clause (i)(A) (but, for the avoidance of doubt, not with respect to an allegation of a material breach pursuant to the preceding clause (i)(B)) by any Lender Party, the indemnification provided for in this section shall nonetheless be paid upon demand, subject to later adjustment or reimbursement, until such time as a court of competent jurisdiction enters a final judgment as to the extent and effect of the alleged gross negligence or willful misconduct. As used in this section the term “Lender Party” shall refer not only to each Person designated as such in Section 1.1 but also to each director, officer, trustee, agent, attorney, employee, representative and Affiliate of such Persons. So long as no Default has occurred and is continuing and US Borrower is financially solvent, no Lender Party may settle any claim to be indemnified without the consent of US Borrower, such consent not to be unreasonably withheld; provided that US Borrower may not reasonably withhold consent to any settlement that a Lender Party proposes, if US Borrower does not have the financial ability to pay all its obligations outstanding and asserted against US Borrower at that time, including the maximum potential claims against the Lender Party to be indemnified pursuant to this Section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3078480</wp:posOffset>
            </wp:positionH>
            <wp:positionV relativeFrom="paragraph">
              <wp:posOffset>-768350</wp:posOffset>
            </wp:positionV>
            <wp:extent cx="285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9" w:lineRule="exact"/>
        <w:rPr>
          <w:sz w:val="20"/>
          <w:szCs w:val="20"/>
          <w:color w:val="auto"/>
        </w:rPr>
      </w:pPr>
    </w:p>
    <w:p>
      <w:pPr>
        <w:ind w:right="60" w:firstLine="656"/>
        <w:spacing w:after="0" w:line="342" w:lineRule="auto"/>
        <w:tabs>
          <w:tab w:leader="none" w:pos="1307"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To the extent that any amounts required to be paid to any Agent, an LC Issuer or any Related Party of any of the foregoing pursuant to subsection (a) or (b) of this Section 10.4 are not indefeasibly paid, each Lender severally agrees to pay to such Agent, the LC Issuer</w:t>
      </w:r>
    </w:p>
    <w:p>
      <w:pPr>
        <w:sectPr>
          <w:pgSz w:w="11900" w:h="16975" w:orient="portrait"/>
          <w:cols w:equalWidth="0" w:num="1">
            <w:col w:w="11420"/>
          </w:cols>
          <w:pgMar w:left="240" w:top="125" w:right="239" w:bottom="0" w:gutter="0" w:footer="0" w:header="0"/>
        </w:sectPr>
      </w:pPr>
    </w:p>
    <w:bookmarkStart w:id="54" w:name="page55"/>
    <w:bookmarkEnd w:id="54"/>
    <w:p>
      <w:pPr>
        <w:jc w:val="both"/>
        <w:ind w:right="200"/>
        <w:spacing w:after="0" w:line="312" w:lineRule="auto"/>
        <w:rPr>
          <w:sz w:val="20"/>
          <w:szCs w:val="20"/>
          <w:color w:val="auto"/>
        </w:rPr>
      </w:pPr>
      <w:r>
        <w:rPr>
          <w:rFonts w:ascii="Arial" w:cs="Arial" w:eastAsia="Arial" w:hAnsi="Arial"/>
          <w:sz w:val="16"/>
          <w:szCs w:val="16"/>
          <w:color w:val="auto"/>
        </w:rPr>
        <w:t xml:space="preserve">or such Related Party, as the case may be, such Lender’s US Percentage Share or Canadian Percentage Share, as appropriate (determined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any Agent, or an LC Issuer in its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capacity as such, or against any such Related Party of any of the foregoing acting for such Agent or LC Issuer in connection with such capacity. The obligations of the Lenders under this subsection (c) shall be several, as provided in the second next to last sentence of Section 2.2 with respect to the several obligations of Lenders to make Loans.</w:t>
      </w:r>
    </w:p>
    <w:p>
      <w:pPr>
        <w:spacing w:after="0" w:line="181" w:lineRule="exact"/>
        <w:rPr>
          <w:sz w:val="20"/>
          <w:szCs w:val="20"/>
          <w:color w:val="auto"/>
        </w:rPr>
      </w:pPr>
    </w:p>
    <w:p>
      <w:pPr>
        <w:ind w:firstLine="656"/>
        <w:spacing w:after="0" w:line="253" w:lineRule="auto"/>
        <w:tabs>
          <w:tab w:leader="none" w:pos="1304"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w:t>
      </w:r>
      <w:r>
        <w:rPr>
          <w:rFonts w:ascii="Arial" w:cs="Arial" w:eastAsia="Arial" w:hAnsi="Arial"/>
          <w:sz w:val="18"/>
          <w:szCs w:val="18"/>
          <w:u w:val="single" w:color="auto"/>
          <w:color w:val="auto"/>
        </w:rPr>
        <w:t>no</w:t>
      </w:r>
      <w:r>
        <w:rPr>
          <w:rFonts w:ascii="Arial" w:cs="Arial" w:eastAsia="Arial" w:hAnsi="Arial"/>
          <w:sz w:val="18"/>
          <w:szCs w:val="18"/>
          <w:color w:val="auto"/>
        </w:rPr>
        <w:t xml:space="preserve"> party hereto or Related Party of any party hereto shall assert, and hereby waives, any claim against each other party hereto and its Related Parties (including, as applicable, each indemnitee referred to in subsection (b) above),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other than as a result of such indemnitee’s gross negligence, willful misconduct or material breach of any of its obligations under any Loan Document.</w:t>
      </w:r>
    </w:p>
    <w:p>
      <w:pPr>
        <w:spacing w:after="0" w:line="197" w:lineRule="exact"/>
        <w:rPr>
          <w:rFonts w:ascii="Arial" w:cs="Arial" w:eastAsia="Arial" w:hAnsi="Arial"/>
          <w:sz w:val="18"/>
          <w:szCs w:val="18"/>
          <w:color w:val="auto"/>
        </w:rPr>
      </w:pPr>
    </w:p>
    <w:p>
      <w:pPr>
        <w:ind w:firstLine="656"/>
        <w:spacing w:after="0" w:line="264" w:lineRule="auto"/>
        <w:tabs>
          <w:tab w:leader="none" w:pos="1307"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Each Borrower hereby promises to pay to each Lender Party interest at the Default Rate on all obligations to pay fees or to reimburse or indemnify any Lender Party which such Borrower has promised to pay to such Lender Party pursuant to this Section 10.4 and which are not paid when due. Such interest shall accrue from the date such Obligations become due until they are paid.</w:t>
      </w:r>
    </w:p>
    <w:p>
      <w:pPr>
        <w:spacing w:after="0" w:line="181" w:lineRule="exact"/>
        <w:rPr>
          <w:rFonts w:ascii="Arial" w:cs="Arial" w:eastAsia="Arial" w:hAnsi="Arial"/>
          <w:sz w:val="18"/>
          <w:szCs w:val="18"/>
          <w:color w:val="auto"/>
        </w:rPr>
      </w:pPr>
    </w:p>
    <w:p>
      <w:pPr>
        <w:ind w:right="160" w:firstLine="656"/>
        <w:spacing w:after="0" w:line="277" w:lineRule="auto"/>
        <w:tabs>
          <w:tab w:leader="none" w:pos="1314"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 and US Borrower’s receipt of reasonably detailed invoices or statements related thereto.</w:t>
      </w:r>
    </w:p>
    <w:p>
      <w:pPr>
        <w:spacing w:after="0" w:line="170" w:lineRule="exact"/>
        <w:rPr>
          <w:rFonts w:ascii="Arial" w:cs="Arial" w:eastAsia="Arial" w:hAnsi="Arial"/>
          <w:sz w:val="18"/>
          <w:szCs w:val="18"/>
          <w:color w:val="auto"/>
        </w:rPr>
      </w:pPr>
    </w:p>
    <w:p>
      <w:pPr>
        <w:ind w:right="100" w:firstLine="656"/>
        <w:spacing w:after="0" w:line="277" w:lineRule="auto"/>
        <w:tabs>
          <w:tab w:leader="none" w:pos="1304"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agreements in this Section shall survive the resignation of the Agents and the LC Issuers, the replacement of any Lender, the termination of the Commitments and the repayment, satisfaction or discharge of all the other Obligations.</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225" w:lineRule="exact"/>
        <w:rPr>
          <w:sz w:val="20"/>
          <w:szCs w:val="20"/>
          <w:color w:val="auto"/>
        </w:rPr>
      </w:pPr>
    </w:p>
    <w:p>
      <w:pPr>
        <w:ind w:firstLine="656"/>
        <w:spacing w:after="0" w:line="291" w:lineRule="auto"/>
        <w:tabs>
          <w:tab w:leader="none" w:pos="1307"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The provisions of this Agreement shall be binding upon and inure to the benefit of the parties hereto and their respective successors and assigns permitted hereby, except that no Borrower nor any other Restricted Person may assign or otherwise transfer any of its rights or obligations hereunder without the prior written consent of Administrative Agent or Canadian Administrative Agent, as applicable, and each Lender, and no Lender may assign or otherwise transfer any of its rights or obligations hereunder except (i) to an Eligible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Person (other than the parties hereto, their respective successors and assigns permitted hereby, Participants to the extent provided in subsection (d) of this Section and, to the extent expressly contemplated hereby, the Affiliates of the Agents, the LC Issuers and the Lenders) any legal or equitable right, remedy or claim under or by reason of this Agreement.</w:t>
      </w:r>
    </w:p>
    <w:p>
      <w:pPr>
        <w:spacing w:after="0" w:line="181" w:lineRule="exact"/>
        <w:rPr>
          <w:sz w:val="20"/>
          <w:szCs w:val="20"/>
          <w:color w:val="auto"/>
        </w:rPr>
      </w:pPr>
    </w:p>
    <w:p>
      <w:pPr>
        <w:ind w:right="60" w:firstLine="656"/>
        <w:spacing w:after="0" w:line="264" w:lineRule="auto"/>
        <w:tabs>
          <w:tab w:leader="none" w:pos="1304"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Eligible Assignees all or a portion of its rights and obligations under this Agreement (including all or a portion of its Commitment and the Loans (including for purposes of this subsection (b), participations in LC Obligations and Swing Line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1" w:lineRule="exact"/>
        <w:rPr>
          <w:rFonts w:ascii="Arial" w:cs="Arial" w:eastAsia="Arial" w:hAnsi="Arial"/>
          <w:sz w:val="18"/>
          <w:szCs w:val="18"/>
          <w:color w:val="auto"/>
        </w:rPr>
      </w:pPr>
    </w:p>
    <w:p>
      <w:pPr>
        <w:ind w:right="220" w:firstLine="1305"/>
        <w:spacing w:after="0" w:line="272" w:lineRule="auto"/>
        <w:tabs>
          <w:tab w:leader="none" w:pos="1966" w:val="left"/>
        </w:tabs>
        <w:numPr>
          <w:ilvl w:val="1"/>
          <w:numId w:val="132"/>
        </w:numPr>
        <w:rPr>
          <w:rFonts w:ascii="Arial" w:cs="Arial" w:eastAsia="Arial" w:hAnsi="Arial"/>
          <w:sz w:val="17"/>
          <w:szCs w:val="17"/>
          <w:color w:val="auto"/>
        </w:rPr>
      </w:pPr>
      <w:r>
        <w:rPr>
          <w:rFonts w:ascii="Arial" w:cs="Arial" w:eastAsia="Arial" w:hAnsi="Arial"/>
          <w:sz w:val="17"/>
          <w:szCs w:val="17"/>
          <w:color w:val="auto"/>
        </w:rPr>
        <w:t>except (A) in the case of an assignment of the entire remaining amount of the assigning Lender’s Commitments, if any, and the Loans at the time owing to it, or (B) in the case of an assignment to a Lender and the assigning Lender retains a Commitment of $5,000,000,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relevant Agent or, if “Trade Date” is specified in the Assignment and Assumption, as of the Trade Date, shall not be less than $5,000,000, unless the relevant Agent and, so long as no Event of Default has occurred and is continuing, US Borrower otherwise consents (each such consent not to be unreasonably withheld or delayed);</w:t>
      </w:r>
    </w:p>
    <w:p>
      <w:pPr>
        <w:spacing w:after="0" w:line="177" w:lineRule="exact"/>
        <w:rPr>
          <w:rFonts w:ascii="Arial" w:cs="Arial" w:eastAsia="Arial" w:hAnsi="Arial"/>
          <w:sz w:val="17"/>
          <w:szCs w:val="17"/>
          <w:color w:val="auto"/>
        </w:rPr>
      </w:pPr>
    </w:p>
    <w:p>
      <w:pPr>
        <w:ind w:right="80" w:firstLine="1305"/>
        <w:spacing w:after="0" w:line="297" w:lineRule="auto"/>
        <w:tabs>
          <w:tab w:leader="none" w:pos="1976" w:val="left"/>
        </w:tabs>
        <w:numPr>
          <w:ilvl w:val="1"/>
          <w:numId w:val="132"/>
        </w:numPr>
        <w:rPr>
          <w:rFonts w:ascii="Arial" w:cs="Arial" w:eastAsia="Arial" w:hAnsi="Arial"/>
          <w:sz w:val="16"/>
          <w:szCs w:val="16"/>
          <w:color w:val="auto"/>
        </w:rPr>
      </w:pPr>
      <w:r>
        <w:rPr>
          <w:rFonts w:ascii="Arial" w:cs="Arial" w:eastAsia="Arial" w:hAnsi="Arial"/>
          <w:sz w:val="16"/>
          <w:szCs w:val="16"/>
          <w:color w:val="auto"/>
        </w:rPr>
        <w:t>each partial assignment shall be made as an assignment of a proportionate part of all the assigning Lender’s rights and obligations under this Agreement with respect to the Loans or the Commitment assigned, any assignment of a Lender’s US Commitment that may be allocated in whole or in part to the Canadian Allocated Total Commitment shall include a proportionate assignment by such Lender (or its affiliate) of such allocable amount, and no assignment of a Canadian Lender’s Canadian Commitment shall be made unless a proportionate assignment of such Lender’s (or its affiliate’s) US Commitment is also assigned, except that this clause (ii) shall not apply to rights of the Swing Line Lender in respect of Swing Line Loans;</w:t>
      </w:r>
    </w:p>
    <w:p>
      <w:pPr>
        <w:spacing w:after="0" w:line="158" w:lineRule="exact"/>
        <w:rPr>
          <w:rFonts w:ascii="Arial" w:cs="Arial" w:eastAsia="Arial" w:hAnsi="Arial"/>
          <w:sz w:val="16"/>
          <w:szCs w:val="16"/>
          <w:color w:val="auto"/>
        </w:rPr>
      </w:pPr>
    </w:p>
    <w:p>
      <w:pPr>
        <w:ind w:right="220" w:firstLine="1305"/>
        <w:spacing w:after="0" w:line="308" w:lineRule="auto"/>
        <w:tabs>
          <w:tab w:leader="none" w:pos="1985" w:val="left"/>
        </w:tabs>
        <w:numPr>
          <w:ilvl w:val="1"/>
          <w:numId w:val="132"/>
        </w:numPr>
        <w:rPr>
          <w:rFonts w:ascii="Arial" w:cs="Arial" w:eastAsia="Arial" w:hAnsi="Arial"/>
          <w:sz w:val="17"/>
          <w:szCs w:val="17"/>
          <w:color w:val="auto"/>
        </w:rPr>
      </w:pPr>
      <w:r>
        <w:rPr>
          <w:rFonts w:ascii="Arial" w:cs="Arial" w:eastAsia="Arial" w:hAnsi="Arial"/>
          <w:sz w:val="17"/>
          <w:szCs w:val="17"/>
          <w:color w:val="auto"/>
        </w:rPr>
        <w:t>any assignment of a Commitment must be approved by the relevant Agent, LC Issuer and Swing Line Lender unless the Person that is the proposed assignee is itself a Lender (whether or not the proposed assignee would otherwise qualify as an Eligible Assignee); and</w:t>
      </w:r>
    </w:p>
    <w:p>
      <w:pPr>
        <w:spacing w:after="0" w:line="146" w:lineRule="exact"/>
        <w:rPr>
          <w:rFonts w:ascii="Arial" w:cs="Arial" w:eastAsia="Arial" w:hAnsi="Arial"/>
          <w:sz w:val="17"/>
          <w:szCs w:val="17"/>
          <w:color w:val="auto"/>
        </w:rPr>
      </w:pPr>
    </w:p>
    <w:p>
      <w:pPr>
        <w:jc w:val="both"/>
        <w:ind w:right="380" w:firstLine="1305"/>
        <w:spacing w:after="0" w:line="264" w:lineRule="auto"/>
        <w:tabs>
          <w:tab w:leader="none" w:pos="1961"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relevant Agent an Assignment and Assumption, together with a processing and recordation fee payable by such assignor Lender (and not at Borrower’s expense) of $3,500, and the Eligible Assignee, if it shall not be a Lender, shall deliver to the relevant Agent an Administrative Questionnaire.</w:t>
      </w:r>
    </w:p>
    <w:p>
      <w:pPr>
        <w:sectPr>
          <w:pgSz w:w="11900" w:h="16838" w:orient="portrait"/>
          <w:cols w:equalWidth="0" w:num="1">
            <w:col w:w="11400"/>
          </w:cols>
          <w:pgMar w:left="240" w:top="125" w:right="259" w:bottom="0" w:gutter="0" w:footer="0" w:header="0"/>
        </w:sectPr>
      </w:pPr>
    </w:p>
    <w:bookmarkStart w:id="55" w:name="page56"/>
    <w:bookmarkEnd w:id="55"/>
    <w:p>
      <w:pPr>
        <w:ind w:right="20"/>
        <w:spacing w:after="0" w:line="279" w:lineRule="auto"/>
        <w:rPr>
          <w:sz w:val="20"/>
          <w:szCs w:val="20"/>
          <w:color w:val="auto"/>
        </w:rPr>
      </w:pPr>
      <w:r>
        <w:rPr>
          <w:rFonts w:ascii="Arial" w:cs="Arial" w:eastAsia="Arial" w:hAnsi="Arial"/>
          <w:sz w:val="17"/>
          <w:szCs w:val="17"/>
          <w:color w:val="auto"/>
        </w:rPr>
        <w:t>Subject to acceptance and recording thereof by the relevant Agent pursuant to subsection (c)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(and, in the case of an Assignment and Assumption covering all of the assigning Lender’s rights and obligations under this Agreement, such Lender shall cease to be a party hereto) but shall continue to be entitled to the benefits of Sections 3.2, 3.3, 3.6 and 3.7 and Section 10.4 with respect to facts and circumstances occurring prior to the effective date of such assignment. Upon request, each applicable Borrower (at its expense), as applicable, shall execute and deliver a Note to the assignee Lender against receipt by such Borrower of the canceled original Note of the assignor, if its entire Commitment was assigned, or evidence that such assignor’s Note is marked to reflect its reduction..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78"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Each Eligible Assignee of a US Lender which is not a United States person (as such term is defined in Section 7701(a)(30) of the Code) for Federal income tax purposes, must (to the extent it has not already done so) provide Administrative Agent and US Borrower with the “Prescribed Forms” referred to in Section 3.7(d).</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Each Eligible Assignee of a Canadian Lender must be a financial institution that is (i) not a non-resident of Canada for the purposes of the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 Act </w:t>
      </w:r>
      <w:r>
        <w:rPr>
          <w:rFonts w:ascii="Arial" w:cs="Arial" w:eastAsia="Arial" w:hAnsi="Arial"/>
          <w:sz w:val="18"/>
          <w:szCs w:val="18"/>
          <w:color w:val="auto"/>
        </w:rPr>
        <w:t>(Canada) or (ii) an “authorized foreign bank” as defined in section 2 of the</w:t>
      </w:r>
      <w:r>
        <w:rPr>
          <w:rFonts w:ascii="Arial" w:cs="Arial" w:eastAsia="Arial" w:hAnsi="Arial"/>
          <w:sz w:val="18"/>
          <w:szCs w:val="18"/>
          <w:i w:val="1"/>
          <w:iCs w:val="1"/>
          <w:color w:val="auto"/>
        </w:rPr>
        <w:t xml:space="preserve"> Bank Act </w:t>
      </w:r>
      <w:r>
        <w:rPr>
          <w:rFonts w:ascii="Arial" w:cs="Arial" w:eastAsia="Arial" w:hAnsi="Arial"/>
          <w:sz w:val="18"/>
          <w:szCs w:val="18"/>
          <w:color w:val="auto"/>
        </w:rPr>
        <w:t>(Canada) and in subsection 248(1) of the</w:t>
      </w:r>
      <w:r>
        <w:rPr>
          <w:rFonts w:ascii="Arial" w:cs="Arial" w:eastAsia="Arial" w:hAnsi="Arial"/>
          <w:sz w:val="18"/>
          <w:szCs w:val="18"/>
          <w:i w:val="1"/>
          <w:iCs w:val="1"/>
          <w:color w:val="auto"/>
        </w:rPr>
        <w:t xml:space="preserve"> Income Tax Act </w:t>
      </w:r>
      <w:r>
        <w:rPr>
          <w:rFonts w:ascii="Arial" w:cs="Arial" w:eastAsia="Arial" w:hAnsi="Arial"/>
          <w:sz w:val="18"/>
          <w:szCs w:val="18"/>
          <w:color w:val="auto"/>
        </w:rPr>
        <w:t xml:space="preserve">(Canada), that is not subject to the restrictions and requirements referred to in subsection 524(2) of the </w:t>
      </w:r>
      <w:r>
        <w:rPr>
          <w:rFonts w:ascii="Arial" w:cs="Arial" w:eastAsia="Arial" w:hAnsi="Arial"/>
          <w:sz w:val="18"/>
          <w:szCs w:val="18"/>
          <w:i w:val="1"/>
          <w:iCs w:val="1"/>
          <w:color w:val="auto"/>
        </w:rPr>
        <w:t>Bank Act</w:t>
      </w:r>
      <w:r>
        <w:rPr>
          <w:rFonts w:ascii="Arial" w:cs="Arial" w:eastAsia="Arial" w:hAnsi="Arial"/>
          <w:sz w:val="18"/>
          <w:szCs w:val="18"/>
          <w:color w:val="auto"/>
        </w:rPr>
        <w:t xml:space="preserve"> (Canada) and which will receive all amounts paid or credited to it under its Canadian Loans and Canadian Note in respect of its “Canadian banking business” for the purposes of paragraph 212(13.3)(a) of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Any purported assignment by a Canadian Lender to an assignee failing to satisfy the foregoing conditions shall be null and void on its face.</w:t>
      </w:r>
    </w:p>
    <w:p>
      <w:pPr>
        <w:spacing w:after="0" w:line="193" w:lineRule="exact"/>
        <w:rPr>
          <w:sz w:val="20"/>
          <w:szCs w:val="20"/>
          <w:color w:val="auto"/>
        </w:rPr>
      </w:pPr>
    </w:p>
    <w:p>
      <w:pPr>
        <w:ind w:right="100" w:firstLine="656"/>
        <w:spacing w:after="0" w:line="270" w:lineRule="auto"/>
        <w:tabs>
          <w:tab w:leader="none" w:pos="1307"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Register</w:t>
      </w:r>
      <w:r>
        <w:rPr>
          <w:rFonts w:ascii="Arial" w:cs="Arial" w:eastAsia="Arial" w:hAnsi="Arial"/>
          <w:sz w:val="17"/>
          <w:szCs w:val="17"/>
          <w:color w:val="auto"/>
        </w:rPr>
        <w:t>. Administrative Agent or, with respect to Canadian Obligations, Canadian Administrative Agent, acting solely for this purpose as an agent of US Borrower or Canadian Borrowers, as applicable, shall maintain at its Applicable Lending Office a copy of each Assignment and Assumption delivered to it and a register for the recordation of the names and addresses of the Lenders, and the Commitments of, and principal amounts of the Loans and LC Obligations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each Borrower, the relevant Agent and the Lenders may treat each Person whose name is recorded in the Register pursuant to the terms hereof, and its correspondingly recorded Commitment, as a Lender hereunder owning such Commitment for all purposes of this Agreement, notwithstanding notice to the contrary. The Register shall be available for inspection by Borrowers and the LC Issuers at any reasonable time and from time to time upon reasonable prior notice. In addition, at any time (i) requested by US Borrower or (ii) that a request for a consent for a material or substantive change to the Loan Documents is pending, US Borrower or any Lender wishing to consult with other Lenders in connection therewith, as applicable, may request and receive from the relevant Agent a copy of the Register.</w:t>
      </w:r>
    </w:p>
    <w:p>
      <w:pPr>
        <w:spacing w:after="0" w:line="177" w:lineRule="exact"/>
        <w:rPr>
          <w:rFonts w:ascii="Arial" w:cs="Arial" w:eastAsia="Arial" w:hAnsi="Arial"/>
          <w:sz w:val="17"/>
          <w:szCs w:val="17"/>
          <w:color w:val="auto"/>
        </w:rPr>
      </w:pPr>
    </w:p>
    <w:p>
      <w:pPr>
        <w:ind w:right="440" w:firstLine="656"/>
        <w:spacing w:after="0" w:line="308" w:lineRule="auto"/>
        <w:tabs>
          <w:tab w:leader="none" w:pos="1304"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Any Lender may at any time, without the consent of, or notice to, any Borrower or any Agent, sell participations to any Person (other than a natural person or the Borrowers or any of the Borrowers’ Affiliates or Subsidiaries) (each, a “Participant”) in all or a</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portion of the Obligations owing to such Lender and such Lender’s rights related thereto and such Lender’s obligations under this Agreement (including all or a portion of its Commitment and/or the Obligations (including such Lender’s participations in LC Obligations and/or Swing Line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Borrowers, the relevant Agent, the Lenders and the LC Issuers shall continue to deal solely and directly with such Lender in connection with such Lender’s rights and obligations under this Agreement.</w:t>
      </w:r>
    </w:p>
    <w:p>
      <w:pPr>
        <w:spacing w:after="0" w:line="17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waiver or other modification described in the first proviso to Section 10.1 that directly affects such Participant. Subject to subsection (e) of this Section, each Borrower agrees that each Participant shall be entitled to the benefits of Sections 3.2, 3.3, 3.6 and 3.7 and the obligations imposed by such Sections, and shall be subject to replacement pursuant to Section 3.8, to the same extent as if it were a Lender and had acquired its interest by assignment pursuant to subsection (b) of this Section. To the extent permitted by law, each Participant also shall be entitled to the benefits of Section 10.11 as though it were a Lender, provided such Participant agrees to be subject to Section 9.11 as though it were a Lender.</w:t>
      </w:r>
    </w:p>
    <w:p>
      <w:pPr>
        <w:spacing w:after="0" w:line="179" w:lineRule="exact"/>
        <w:rPr>
          <w:sz w:val="20"/>
          <w:szCs w:val="20"/>
          <w:color w:val="auto"/>
        </w:rPr>
      </w:pPr>
    </w:p>
    <w:p>
      <w:pPr>
        <w:ind w:right="100" w:firstLine="656"/>
        <w:spacing w:after="0" w:line="259" w:lineRule="auto"/>
        <w:tabs>
          <w:tab w:leader="none" w:pos="1307"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Limitation upon Participant Rights</w:t>
      </w:r>
      <w:r>
        <w:rPr>
          <w:rFonts w:ascii="Arial" w:cs="Arial" w:eastAsia="Arial" w:hAnsi="Arial"/>
          <w:sz w:val="18"/>
          <w:szCs w:val="18"/>
          <w:color w:val="auto"/>
        </w:rPr>
        <w:t>. A Participant shall not be entitled to receive any greater payment under Sections 3.2 through 3.7 than the applicable Lender would have been entitled to receive with respect to the participation sold to such Participant, unless the sale of the participation to such Participant is made with a Borrower’s prior written consent, which consent sets forth an express waiver of the limitation on Sections 3.2 through 3.7 which are set forth in this subsection.</w:t>
      </w:r>
    </w:p>
    <w:p>
      <w:pPr>
        <w:spacing w:after="0" w:line="186" w:lineRule="exact"/>
        <w:rPr>
          <w:rFonts w:ascii="Arial" w:cs="Arial" w:eastAsia="Arial" w:hAnsi="Arial"/>
          <w:sz w:val="18"/>
          <w:szCs w:val="18"/>
          <w:color w:val="auto"/>
        </w:rPr>
      </w:pPr>
    </w:p>
    <w:p>
      <w:pPr>
        <w:ind w:right="120" w:firstLine="656"/>
        <w:spacing w:after="0" w:line="257" w:lineRule="auto"/>
        <w:tabs>
          <w:tab w:leader="none" w:pos="1314"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(or, except as to the Federal Reserve Bank, permit the substitution of) any such pledgee or assignee for such Lender as a party hereto, and all costs, fees and expenses related to any such pledge shall be for the sole account of such Lender.</w:t>
      </w:r>
    </w:p>
    <w:p>
      <w:pPr>
        <w:spacing w:after="0" w:line="188" w:lineRule="exact"/>
        <w:rPr>
          <w:rFonts w:ascii="Arial" w:cs="Arial" w:eastAsia="Arial" w:hAnsi="Arial"/>
          <w:sz w:val="18"/>
          <w:szCs w:val="18"/>
          <w:color w:val="auto"/>
        </w:rPr>
      </w:pPr>
    </w:p>
    <w:p>
      <w:pPr>
        <w:ind w:firstLine="656"/>
        <w:spacing w:after="0" w:line="312" w:lineRule="auto"/>
        <w:tabs>
          <w:tab w:leader="none" w:pos="1304"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Electronic Execution of Assignments</w:t>
      </w:r>
      <w:r>
        <w:rPr>
          <w:rFonts w:ascii="Arial" w:cs="Arial" w:eastAsia="Arial" w:hAnsi="Arial"/>
          <w:sz w:val="16"/>
          <w:szCs w:val="16"/>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w:t>
      </w:r>
    </w:p>
    <w:p>
      <w:pPr>
        <w:sectPr>
          <w:pgSz w:w="11900" w:h="16838" w:orient="portrait"/>
          <w:cols w:equalWidth="0" w:num="1">
            <w:col w:w="11420"/>
          </w:cols>
          <w:pgMar w:left="240" w:top="125" w:right="239" w:bottom="0" w:gutter="0" w:footer="0" w:header="0"/>
        </w:sectPr>
      </w:pPr>
    </w:p>
    <w:bookmarkStart w:id="56" w:name="page57"/>
    <w:bookmarkEnd w:id="56"/>
    <w:p>
      <w:pPr>
        <w:spacing w:after="0" w:line="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83" w:lineRule="auto"/>
        <w:tabs>
          <w:tab w:leader="none" w:pos="1304"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Resignation as LC Issuer after Assignment</w:t>
      </w:r>
      <w:r>
        <w:rPr>
          <w:rFonts w:ascii="Arial" w:cs="Arial" w:eastAsia="Arial" w:hAnsi="Arial"/>
          <w:sz w:val="16"/>
          <w:szCs w:val="16"/>
          <w:color w:val="auto"/>
        </w:rPr>
        <w:t xml:space="preserve">. Notwithstanding anything to the contrary contained herein, if at any time Bank of America assigns all of its Commitments and Loans pursuant to subsection (b) above, Bank of America and Bank of America, N.A., acting through its Canada Branch, may, (i) upon 30 days’ notice to Borrowers and the Lenders, resign as an LC Issuer and/or (ii) upon 30 days’ notice to Borrowers, resign as Swing Line Lender. In the event of any such resignation as LC Issuer or Swing Line Lender, the Borrowers shall be entitled to appoint from among the Lenders successor LC Issuers or successor Swing Line Lender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failure by Borrowers to appoint any such successor shall affect the resignation of Bank of America and Bank of America, N.A., acting through its Canada Branch, as an LC Issuer or Swing Line Lender, as the case may be. If Bank of America or Bank of America, N.A., acting through its Canada Branch, resigns as an LC Issuer, it shall retain all the rights and obligations of the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w:t>
      </w:r>
      <w:r>
        <w:rPr>
          <w:rFonts w:ascii="Arial" w:cs="Arial" w:eastAsia="Arial" w:hAnsi="Arial"/>
          <w:sz w:val="16"/>
          <w:szCs w:val="16"/>
          <w:u w:val="single" w:color="auto"/>
          <w:color w:val="auto"/>
        </w:rPr>
        <w:t>Section</w:t>
      </w:r>
    </w:p>
    <w:p>
      <w:pPr>
        <w:spacing w:after="0" w:line="6" w:lineRule="exact"/>
        <w:rPr>
          <w:rFonts w:ascii="Arial" w:cs="Arial" w:eastAsia="Arial" w:hAnsi="Arial"/>
          <w:sz w:val="16"/>
          <w:szCs w:val="16"/>
          <w:color w:val="auto"/>
        </w:rPr>
      </w:pPr>
    </w:p>
    <w:p>
      <w:pPr>
        <w:ind w:right="20"/>
        <w:spacing w:after="0" w:line="252" w:lineRule="auto"/>
        <w:rPr>
          <w:rFonts w:ascii="Arial" w:cs="Arial" w:eastAsia="Arial" w:hAnsi="Arial"/>
          <w:sz w:val="16"/>
          <w:szCs w:val="16"/>
          <w:color w:val="auto"/>
        </w:rPr>
      </w:pPr>
      <w:r>
        <w:rPr>
          <w:rFonts w:ascii="Arial" w:cs="Arial" w:eastAsia="Arial" w:hAnsi="Arial"/>
          <w:sz w:val="18"/>
          <w:szCs w:val="18"/>
          <w:u w:val="single" w:color="auto"/>
          <w:color w:val="auto"/>
        </w:rPr>
        <w:t>2.10(c))</w:t>
      </w:r>
      <w:r>
        <w:rPr>
          <w:rFonts w:ascii="Arial" w:cs="Arial" w:eastAsia="Arial" w:hAnsi="Arial"/>
          <w:sz w:val="18"/>
          <w:szCs w:val="18"/>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8"/>
          <w:szCs w:val="18"/>
          <w:u w:val="single" w:color="auto"/>
          <w:color w:val="auto"/>
        </w:rPr>
        <w:t>Section 2.10A(c)</w:t>
      </w:r>
      <w:r>
        <w:rPr>
          <w:rFonts w:ascii="Arial" w:cs="Arial" w:eastAsia="Arial" w:hAnsi="Arial"/>
          <w:sz w:val="18"/>
          <w:szCs w:val="18"/>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93" w:lineRule="exact"/>
        <w:rPr>
          <w:rFonts w:ascii="Arial" w:cs="Arial" w:eastAsia="Arial" w:hAnsi="Arial"/>
          <w:sz w:val="16"/>
          <w:szCs w:val="16"/>
          <w:color w:val="auto"/>
        </w:rPr>
      </w:pPr>
    </w:p>
    <w:p>
      <w:pPr>
        <w:jc w:val="both"/>
        <w:ind w:right="60" w:firstLine="656"/>
        <w:spacing w:after="0" w:line="259" w:lineRule="auto"/>
        <w:tabs>
          <w:tab w:leader="none" w:pos="1318"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Lost Notes</w:t>
      </w:r>
      <w:r>
        <w:rPr>
          <w:rFonts w:ascii="Arial" w:cs="Arial" w:eastAsia="Arial" w:hAnsi="Arial"/>
          <w:sz w:val="18"/>
          <w:szCs w:val="18"/>
          <w:color w:val="auto"/>
        </w:rPr>
        <w:t>. Upon receipt of an affidavit reasonably satisfactory to US Borrower of an officer of any Lender as to the loss, theft, destruction or mutilation of its Note which is not of public record, and, in the case of any such loss, theft, destruction or mutilation, upon cancellation of such Note, such Borrower will execute and deliver, in lieu thereof, a replacement Note in the principal amount of such Lender’s then Commitment or if no Commitment is in effect, the outstanding principal amount owed to such Lender and otherwise of like tenor.</w:t>
      </w:r>
    </w:p>
    <w:p>
      <w:pPr>
        <w:spacing w:after="0" w:line="187"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u w:val="single" w:color="auto"/>
          <w:color w:val="auto"/>
        </w:rPr>
        <w:t>Treatment of Certain Information; Confidentiality</w:t>
      </w:r>
      <w:r>
        <w:rPr>
          <w:rFonts w:ascii="Arial" w:cs="Arial" w:eastAsia="Arial" w:hAnsi="Arial"/>
          <w:sz w:val="17"/>
          <w:szCs w:val="17"/>
          <w:color w:val="auto"/>
        </w:rPr>
        <w:t>. Each of the Agents, the Lenders and the LC Issuers (for itself and each of its Affiliates, and its and their Related Parties) agrees to maintain the confidentiality of the Information (as defined below), except that Information may be disclosed (a) to its Affiliates and to its and its Affiliates’ respective partners, directors, officers, employees, agents, advisors and representatives (it being understood that the Persons to whom such disclosure is made will be informed of the confidential nature of such Information and instructed to keep such Information confidential and will agree to maintain such confidences), (b) to the extent requested or required by applicable laws or regulations or by any subpoena or similar legal process, (c) subject to this Section 10.6, to any other party hereto, (d) in connection with the exercise of any remedies hereunder or under any other Loan Document or any action or proceeding relating to this Agreement or any other Loan Document or in connection with any Default or anticipated Default, the enforcement of rights hereunder or thereunder, (e) subject to an agreement containing provisions substantially the same as those of this Section, to (i) any assignee of or Participant in, or any prospective assignee of or Participant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 any of its rights or obligations under this Agreement or (ii) any actual or prospective counterparty (or its advisors) to any swap or derivative transaction relating to, and requested by, a Borrower and its obligations, (f) with the consent of the applicable Borrower, or (g) to the extent such Information becomes publicly available other than as a result of a breach of this Section, or becomes available to any Agent, any Lender, any LC Issuer or any of their respective Affiliates on a nonconfidential basis from a source other than the Borrowers.</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For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any of the Borrowers or any Subsidiary relating to any of the Borrowers or any Subsidiary, or any Affiliate of any of them, or any of their respective businesses, other than any such information that is available to any Agent, any Lender or the LC Issuer on a nonconfidential basis prior to disclosure by any of the Borrowers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any of the Borrowers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7"/>
          <w:szCs w:val="17"/>
          <w:u w:val="single" w:color="auto"/>
          <w:color w:val="auto"/>
        </w:rPr>
        <w:t>Governing Law; Submission to Process</w:t>
      </w:r>
      <w:r>
        <w:rPr>
          <w:rFonts w:ascii="Arial" w:cs="Arial" w:eastAsia="Arial" w:hAnsi="Arial"/>
          <w:sz w:val="17"/>
          <w:szCs w:val="17"/>
          <w:color w:val="auto"/>
        </w:rPr>
        <w:t>.</w:t>
      </w:r>
      <w:r>
        <w:rPr>
          <w:rFonts w:ascii="Arial" w:cs="Arial" w:eastAsia="Arial" w:hAnsi="Arial"/>
          <w:sz w:val="17"/>
          <w:szCs w:val="17"/>
          <w:u w:val="single" w:color="auto"/>
          <w:color w:val="auto"/>
        </w:rPr>
        <w:t xml:space="preserve"> </w:t>
      </w:r>
      <w:r>
        <w:rPr>
          <w:rFonts w:ascii="Arial" w:cs="Arial" w:eastAsia="Arial" w:hAnsi="Arial"/>
          <w:sz w:val="17"/>
          <w:szCs w:val="17"/>
          <w:b w:val="1"/>
          <w:bCs w:val="1"/>
          <w:color w:val="auto"/>
        </w:rPr>
        <w:t>EXCEPT TO THE EXTENT THAT THE LAW OF ANOTHER JURISDICTION IS</w:t>
      </w:r>
    </w:p>
    <w:p>
      <w:pPr>
        <w:spacing w:after="0" w:line="2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b w:val="1"/>
          <w:bCs w:val="1"/>
          <w:color w:val="auto"/>
        </w:rPr>
        <w:t>EXPRESSLY ELECTED IN A LOAN DOCUMENT, THE LOAN DOCUMENTS SHALL BE DEEMED CONTRACTS AND INSTRUMENTS MADE UNDER THE LAWS OF THE STATE OF NEW YORK AND SHALL BE CONSTRUED AND ENFORCED IN ACCORDANCE WITH AND GOVERNED BY THE LAWS OF THE STATE OF NEW YORK AND THE LAWS OF THE UNITED STATES OF AMERICA, WITHOUT REGARD TO PRINCIPLES OF CONFLICTS OF LAW. EACH BORROWER HEREBY AGREES THAT ANY LEGAL ACTION OR PROCEEDING AGAINST SUCH BORROWER WITH RESPECT TO THIS AGREEMENT, THE NOTES OR ANY OF THE LOAN DOCUMENTS MAY BE BROUGHT IN THE COURTS OF THE STATE OF NEW YORK OR OF THE UNITED STATES OF AMERICA FOR THE SOUTHERN DISTRICT OF NEW YORK AS LENDER PARTIES MAY ELECT, AND, BY EXECUTION AND DELIVERY HEREOF, EACH BORROWER ACCEPTS AND CONSENTS FOR ITSELF AND IN RESPECT TO ITS PROPERTY, GENERALLY AND UNCONDITIONALLY, THE NON-EXCLUSIVE JURISDICTION OF THE AFORESAID COURTS. EACH BORROWER AGREES THAT SECTIONS 5-1401 AND 5-1402 OF THE GENERAL OBLIGATIONS LAW OF THE STATE OF NEW YORK SHALL APPLY TO THE LOAN DOCUMENTS AND WAIVES ANY RIGHT TO STAY OR TO DISMISS ANY ACTION OR PROCEEDING BROUGHT BEFORE SAID COURTS ON THE BASIS OF FORUM NON CONVENIENS. IN FURTHERANCE OF THE FOREGOING, EACH BORROWER HEREBY IRREVOCABLY DESIGNATES AND APPOINTS CORPORATION SERVICE COMPANY, 80 STATE STREET, ALBANY, NEW YORK 12207, AS AGENT OF SUCH BORROWER TO RECEIVE SERVICE OF ALL PROCESS BROUGHT AGAINST SUCH BORROWER WITH RESPECT TO ANY SUCH PROCEEDING IN ANY SUCH COURT IN NEW YORK, SUCH SERVICE BEING HEREBY ACKNOWLEDGED BY SUCH BORROWER TO BE EFFECTIVE AND BINDING SERVICE IN EVERY RESPECT. COPIES OF ANY SUCH PROCESS SO SERVED SHALL ALSO, IF PERMITTED BY LAW, BE SENT BY REGISTERED MAIL TO THE RELEVANT BORROWER AT ITS ADDRESS SET FORTH BELOW, BUT THE FAILURE OF SUCH BORROWER TO RECEIVE SUCH COPIES SHALL NOT AFFECT IN ANY WAY THE SERVICE OF SUCH PROCESS AS AFORESAID. EACH BORROWER SHALL FURNISH TO LENDER PARTIES A CONSENT OF</w:t>
      </w:r>
    </w:p>
    <w:p>
      <w:pPr>
        <w:sectPr>
          <w:pgSz w:w="11900" w:h="16905" w:orient="portrait"/>
          <w:cols w:equalWidth="0" w:num="1">
            <w:col w:w="11420"/>
          </w:cols>
          <w:pgMar w:left="240" w:top="125" w:right="239" w:bottom="0" w:gutter="0" w:footer="0" w:header="0"/>
        </w:sectPr>
      </w:pPr>
    </w:p>
    <w:bookmarkStart w:id="57" w:name="page58"/>
    <w:bookmarkEnd w:id="57"/>
    <w:p>
      <w:pPr>
        <w:ind w:right="320"/>
        <w:spacing w:after="0" w:line="282" w:lineRule="auto"/>
        <w:rPr>
          <w:sz w:val="20"/>
          <w:szCs w:val="20"/>
          <w:color w:val="auto"/>
        </w:rPr>
      </w:pPr>
      <w:r>
        <w:rPr>
          <w:rFonts w:ascii="Arial" w:cs="Arial" w:eastAsia="Arial" w:hAnsi="Arial"/>
          <w:sz w:val="18"/>
          <w:szCs w:val="18"/>
          <w:b w:val="1"/>
          <w:bCs w:val="1"/>
          <w:color w:val="auto"/>
        </w:rPr>
        <w:t>CORPORATION SERVICE COMPANY AGREEING TO ACT HEREUNDER PRIOR TO THE EFFECTIVE DATE OF THIS AGREEMENT. NOTHING HEREIN SHALL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AFFECT THE RIGHT OF LENDER PARTIES TO SERVE PROCESS IN ANY OTHER MANNER PERMITTED BY LAW OR SHALL LIMIT THE RIGHT OF LENDER PARTIES TO BRING PROCEEDINGS AGAINST ANY BORROWER IN THE COURTS OF ANY OTHER JURISDICTION. IF FOR ANY REASON CORPORATION SERVICE COMPANY SHALL RESIGN OR OTHERWISE CEASE TO ACT AS ANY BORROWER’S AGENT, EACH BORROWER HEREBY IRREVOCABLY AGREES TO (A) IMMEDIATELY DESIGNATE AND APPOINT A NEW AGENT ACCEPTABLE TO ADMINISTRATIVE AGENT TO SERVE IN SUCH CAPACITY AND, IN SUCH EVENT, SUCH NEW AGENT SHALL BE DEEMED TO BE SUBSTITUTED FOR CORPORATION SERVICE COMPANY FOR ALL PURPOSES HEREOF AND (B) PROMPTLY DELIVER TO ADMINISTRATIVE AGENT THE WRITTEN CONSENT (IN FORM AND SUBSTANCE SATISFACTORY TO ADMINISTRATIVE AGENT) OF SUCH NEW AGENT AGREEING TO SERVE IN SUCH CAPACITY.</w:t>
      </w:r>
    </w:p>
    <w:p>
      <w:pPr>
        <w:spacing w:after="0" w:line="18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Waiver of Judgment Interest Act (Alberta)</w:t>
      </w:r>
      <w:r>
        <w:rPr>
          <w:rFonts w:ascii="Arial" w:cs="Arial" w:eastAsia="Arial" w:hAnsi="Arial"/>
          <w:sz w:val="18"/>
          <w:szCs w:val="18"/>
          <w:color w:val="auto"/>
        </w:rPr>
        <w:t>. To the extent permitted by Law, the provisions of the Judgment Interest Act (Alberta) shall not apply to the Canadian Notes and the other Loan Documents and are hereby expressly waived by each Canadian Borrower.</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Deemed Reinvestment Not Applicable</w:t>
      </w:r>
      <w:r>
        <w:rPr>
          <w:rFonts w:ascii="Arial" w:cs="Arial" w:eastAsia="Arial" w:hAnsi="Arial"/>
          <w:sz w:val="18"/>
          <w:szCs w:val="18"/>
          <w:color w:val="auto"/>
        </w:rPr>
        <w:t>. For the purposes of the Interest Act (Canada), the principle of deemed reinvestment of interest shall not apply to any interest calculation under the Loan Documents, and the rates of interest stipulated in this Agreement are intended to be nominal rates and not effective rates or yields.</w:t>
      </w:r>
    </w:p>
    <w:p>
      <w:pPr>
        <w:spacing w:after="0" w:line="181" w:lineRule="exact"/>
        <w:rPr>
          <w:sz w:val="20"/>
          <w:szCs w:val="20"/>
          <w:color w:val="auto"/>
        </w:rPr>
      </w:pPr>
    </w:p>
    <w:p>
      <w:pPr>
        <w:ind w:right="120" w:firstLine="648"/>
        <w:spacing w:after="0" w:line="283"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u w:val="single" w:color="auto"/>
          <w:color w:val="auto"/>
        </w:rPr>
        <w:t>Limitation on Interest</w:t>
      </w:r>
      <w:r>
        <w:rPr>
          <w:rFonts w:ascii="Arial" w:cs="Arial" w:eastAsia="Arial" w:hAnsi="Arial"/>
          <w:sz w:val="16"/>
          <w:szCs w:val="16"/>
          <w:color w:val="auto"/>
        </w:rPr>
        <w:t>. Lender Parties, Restricted Persons and any other parties to the Loan Documents intend to contract in strict compliance with applicable usury Law from time to time in effect. In furtherance thereof such Persons stipulate and agree that none of the terms and provisions contained in the Loan Documents shall ever be construed to create a contract to pay, for the use, forbearance or detention of money, interest in excess of the maximum amount of interest permitted to be contracted for, charged, or received by applicable Law from time to time in effect. Neither any Restricted Person nor any present or future guarantors, endorsers, or other Persons hereafter becoming liable for payment of any Obligation shall ever be liable for unearned interest thereon or shall ever be required to pay interest thereon in excess of the maximum amount that may be lawfully contracted for, charged, or received under applicable Law from time to time in effect, and the provisions of this section shall control over all other provisions of the Loan Documents which may be in conflict or apparent conflict herewith. Lender Parties expressly disavow any intention to contract for, charge, or receive excessive unearned interest or finance charges in the event the maturity of any Obligation is accelerated. If (a) the maturity of any Obligation is accelerated for any reason, (b) any Obligation is prepaid and as a result any amounts held to constitute interest are determined to be in excess of the legal maximum, or</w:t>
      </w:r>
    </w:p>
    <w:p>
      <w:pPr>
        <w:spacing w:after="0" w:line="6" w:lineRule="exact"/>
        <w:rPr>
          <w:sz w:val="20"/>
          <w:szCs w:val="20"/>
          <w:color w:val="auto"/>
        </w:rPr>
      </w:pPr>
    </w:p>
    <w:p>
      <w:pPr>
        <w:ind w:right="60" w:firstLine="8"/>
        <w:spacing w:after="0" w:line="290" w:lineRule="auto"/>
        <w:tabs>
          <w:tab w:leader="none" w:pos="24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any Lender or any other holder of any or all of the Obligations shall otherwise collect moneys which are determined to constitute interest which would otherwise increase the interest on any or all of the Obligations to an amount in excess of that permitted to be contracted for, charged or received by applicable Law then in effect, then all sums determined to constitute interest in excess of such legal limit shall, without penalty, be promptly applied to reduce the then outstanding principal of the related Obligations or, at such Lender’s or holder’s option, promptly returned to Borrower or other payor thereof upon such determination. In determining whether or not the interest paid or payable, under any specific circumstance, exceeds the maximum amount permitted under applicable Law, Lender Parties and Restricted Persons (and any other payors thereof) shall to the greatest extent permitted under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applicable Law, (i) characterize any non-principal payment as an expense, fee or premium rather than as interest, (ii) exclude voluntary prepayments and the effects thereof, and (iii) amortize, prorate, allocate, and spread the total amount of interest throughout the entire contemplated term of the instruments evidencing the Obligations in accordance with the amounts outstanding from time to time thereunder and the maximum legal rate of interest from time to time in effect under applicable Law in order to lawfully charge the maximum amount of interest permitted under applicable Law. In the event applicable Law provides for an interest ceiling under Chapter 303 of the Texas Finance Code (the “</w:t>
      </w:r>
      <w:r>
        <w:rPr>
          <w:rFonts w:ascii="Arial" w:cs="Arial" w:eastAsia="Arial" w:hAnsi="Arial"/>
          <w:sz w:val="17"/>
          <w:szCs w:val="17"/>
          <w:u w:val="single" w:color="auto"/>
          <w:color w:val="auto"/>
        </w:rPr>
        <w:t>Texas Finance Code</w:t>
      </w:r>
      <w:r>
        <w:rPr>
          <w:rFonts w:ascii="Arial" w:cs="Arial" w:eastAsia="Arial" w:hAnsi="Arial"/>
          <w:sz w:val="17"/>
          <w:szCs w:val="17"/>
          <w:color w:val="auto"/>
        </w:rPr>
        <w:t xml:space="preserve">”) as amended, to the extent that the Texas Finance Code is mandatorily applicable to any Lender, for that day, the ceiling shall be the “weekly ceiling” as defined in the Texas Finance Code, provided that if any applicable Law permits greater interest, the Law permitting the greatest interest shall apply. In no event shall Chapter 346 of the Texas Finance Code apply to this Agreement or any other Loan Document, or any transactions or loan arrangement provided or contemplated hereby or thereby. In no event shall the aggregate “interest” (as defined in section 347 of the Criminal Code (Canada)) payable under the Loan Documents exceed the maximum effective annual rate of interest on the “credit advanced” (as defined in that section) permitted under that section and, if any payment, collection or demand pursuant to this Agreement in respect of “interest” (as defined in that section) is determined to be contrary to the provisions of that section, such payment, collection or demand shall be deemed to have been made by mutual mistake of Borrowers, Agents and Lenders and the amount of such excess payment or collection shall be refunded to the relevant Borrower. For purposes of the Canadian Notes, the effective annual rate of interest shall be determined in accordance with generally accepted actuarial practices and principles over the term applicable thereto on the basis of annual compounding of the lawfully permitted rate of interest and, in the event of dispute, a certificate of a Fellow of the Canadian Institute of Actuaries appointed by Canadian Administrative Agent shall be </w:t>
      </w:r>
      <w:r>
        <w:rPr>
          <w:rFonts w:ascii="Arial" w:cs="Arial" w:eastAsia="Arial" w:hAnsi="Arial"/>
          <w:sz w:val="17"/>
          <w:szCs w:val="17"/>
          <w:i w:val="1"/>
          <w:iCs w:val="1"/>
          <w:color w:val="auto"/>
        </w:rPr>
        <w:t xml:space="preserve">prima facie </w:t>
      </w:r>
      <w:r>
        <w:rPr>
          <w:rFonts w:ascii="Arial" w:cs="Arial" w:eastAsia="Arial" w:hAnsi="Arial"/>
          <w:sz w:val="17"/>
          <w:szCs w:val="17"/>
          <w:color w:val="auto"/>
        </w:rPr>
        <w:t>evidence, for the purposes of such determination.</w:t>
      </w:r>
    </w:p>
    <w:p>
      <w:pPr>
        <w:spacing w:after="0" w:line="181"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 xml:space="preserve">Section 10.11. </w:t>
      </w:r>
      <w:r>
        <w:rPr>
          <w:rFonts w:ascii="Arial" w:cs="Arial" w:eastAsia="Arial" w:hAnsi="Arial"/>
          <w:sz w:val="17"/>
          <w:szCs w:val="17"/>
          <w:u w:val="single" w:color="auto"/>
          <w:color w:val="auto"/>
        </w:rPr>
        <w:t>Right of Offset</w:t>
      </w:r>
      <w:r>
        <w:rPr>
          <w:rFonts w:ascii="Arial" w:cs="Arial" w:eastAsia="Arial" w:hAnsi="Arial"/>
          <w:sz w:val="17"/>
          <w:szCs w:val="17"/>
          <w:color w:val="auto"/>
        </w:rPr>
        <w:t>. At any time and from time to time during the continuance of any Event of Default, each Lender is hereby authorized to offset against the Obligations then due and payable (without notice to any Restricted Person), (a) any and all moneys, securities or other property (and the proceeds therefrom) of such Restricted Person now or hereafter held or received by or in transit to any Lender or its Affiliates from or for the account of such Restricted Person, whether for safekeeping, custody, pledge, transmission, collection or otherwise, (b) any and all deposits (general or special, time or demand, provisional or final) of such Restricted Person with any Lender or its Affiliates, and (c) any other credits and claims of such Restricted Person at any time existing against any Lender, including claims under certificates of deposit.</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Termination; Limited Survival; Payments Set Aside</w:t>
      </w:r>
      <w:r>
        <w:rPr>
          <w:rFonts w:ascii="Arial" w:cs="Arial" w:eastAsia="Arial" w:hAnsi="Arial"/>
          <w:sz w:val="18"/>
          <w:szCs w:val="18"/>
          <w:color w:val="auto"/>
        </w:rPr>
        <w:t>. In its sole and absolute discretion US Borrower may at any time that no Obligations are owing or outstanding elect in a written notice delivered to Administrative Agent to terminate this Agreement. Upon receipt by Administrative Agent of such a notice, if no Obligations are then owing or outstanding this Agreement and all other Loan Documents shall thereupon be terminated and the parties thereto released from all prospective obligations thereunder. Notwithstanding the foregoing or anything herein to the contrary, any waivers or admissions made by any Restricted Person in any Loan Document, any Obligations under Sections 3.2 through 3.6, and any obligations which any Person may have to indemnify or compensate any Lender Party shall survive any termination of this Agreement or any other Loan Document. At the request and expense of Borrower,</w:t>
      </w:r>
    </w:p>
    <w:p>
      <w:pPr>
        <w:sectPr>
          <w:pgSz w:w="11900" w:h="16838" w:orient="portrait"/>
          <w:cols w:equalWidth="0" w:num="1">
            <w:col w:w="11420"/>
          </w:cols>
          <w:pgMar w:left="240" w:top="121" w:right="239" w:bottom="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Administrative Agent shall prepare and execute all necessary instruments to reflect and effect such termination of the Loan Documents. Administrative Agent is hereby authorized to execute all such instruments on behalf of all Lenders, without the joinder of or further action by any Lender.</w:t>
      </w:r>
    </w:p>
    <w:p>
      <w:pPr>
        <w:spacing w:after="0" w:line="14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To the extent that any payment by or on behalf of any Borrower is made to any Agent, the LC Issuer or any Lender, or any Agent, the LC Issuer or any Lender exercises its right of setoff, and such payment or the proceeds of such setoff or any part thereof is subsequently invalidated, declared to be fraudulent or preferential, set aside or required (including pursuant to any settlement entered into by such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such Agent upon demand its applicable share (without duplication) of any amount so recovered from or repaid by such Agent, plus interest thereon from the date of such demand to the date such payment is made at a rate per annum equal to the Federal Funds Rate from time to time in effect, in the applicable currency of such recovery or payment. The obligations of the Lenders and the LC Issuer under clause (b) of the preceding sentence shall survive the payment in full of the Obligations and the termination of this Agreement.</w:t>
      </w:r>
    </w:p>
    <w:p>
      <w:pPr>
        <w:spacing w:after="0" w:line="178"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 xml:space="preserve">Section 10.13.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provision of any Loan Document shall be determined to be illegal or unenforceable all other terms and provisions of the Loan Documents shall nevertheless remain effective and shall be enforced to the fullest extent permitted by applicable Law.</w:t>
      </w:r>
    </w:p>
    <w:p>
      <w:pPr>
        <w:spacing w:after="0" w:line="14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separately executed in any number of counterparts and by different parties hereto in separate counterparts, each of which when so executed shall be deemed to constitute one and the same Agreement.</w:t>
      </w:r>
    </w:p>
    <w:p>
      <w:pPr>
        <w:spacing w:after="0" w:line="170" w:lineRule="exact"/>
        <w:rPr>
          <w:sz w:val="20"/>
          <w:szCs w:val="20"/>
          <w:color w:val="auto"/>
        </w:rPr>
      </w:pPr>
    </w:p>
    <w:p>
      <w:pPr>
        <w:ind w:right="440" w:firstLine="648"/>
        <w:spacing w:after="0" w:line="269" w:lineRule="auto"/>
        <w:rPr>
          <w:sz w:val="20"/>
          <w:szCs w:val="20"/>
          <w:color w:val="auto"/>
        </w:rPr>
      </w:pPr>
      <w:r>
        <w:rPr>
          <w:rFonts w:ascii="Arial" w:cs="Arial" w:eastAsia="Arial" w:hAnsi="Arial"/>
          <w:sz w:val="17"/>
          <w:szCs w:val="17"/>
          <w:color w:val="auto"/>
        </w:rPr>
        <w:t xml:space="preserve">Section 10.15.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2" w:lineRule="exact"/>
        <w:rPr>
          <w:sz w:val="20"/>
          <w:szCs w:val="20"/>
          <w:color w:val="auto"/>
        </w:rPr>
      </w:pPr>
    </w:p>
    <w:p>
      <w:pPr>
        <w:ind w:right="200" w:firstLine="8"/>
        <w:spacing w:after="0" w:line="273" w:lineRule="auto"/>
        <w:tabs>
          <w:tab w:leader="none" w:pos="29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0" w:firstLine="648"/>
        <w:spacing w:after="0" w:line="257"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USA PATRIOT Act Notice</w:t>
      </w:r>
      <w:r>
        <w:rPr>
          <w:rFonts w:ascii="Arial" w:cs="Arial" w:eastAsia="Arial" w:hAnsi="Arial"/>
          <w:sz w:val="18"/>
          <w:szCs w:val="18"/>
          <w:color w:val="auto"/>
        </w:rPr>
        <w:t>. Each Lender that is subject to the Act (as hereinafter defined) and each Agent (for itself and not on behalf of any Lender) hereby notifies each Borrower that pursuant to the requirements of the USA Patriot Act (Title III of Pub. L. 107-56 (signed into law November 26, 2001)) (the “</w:t>
      </w:r>
      <w:r>
        <w:rPr>
          <w:rFonts w:ascii="Arial" w:cs="Arial" w:eastAsia="Arial" w:hAnsi="Arial"/>
          <w:sz w:val="18"/>
          <w:szCs w:val="18"/>
          <w:u w:val="single" w:color="auto"/>
          <w:color w:val="auto"/>
        </w:rPr>
        <w:t>Act</w:t>
      </w:r>
      <w:r>
        <w:rPr>
          <w:rFonts w:ascii="Arial" w:cs="Arial" w:eastAsia="Arial" w:hAnsi="Arial"/>
          <w:sz w:val="18"/>
          <w:szCs w:val="18"/>
          <w:color w:val="auto"/>
        </w:rPr>
        <w:t>”), it is required to obtain, verify and record information that identifies the Borrowers, which information includes the name and address of each Borrower and other information that will allow such Lender or such Agent, as applicable, to identify such Borrower in accordance with the Act.</w:t>
      </w:r>
    </w:p>
    <w:p>
      <w:pPr>
        <w:spacing w:after="0" w:line="188"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Section 10.17. </w:t>
      </w:r>
      <w:r>
        <w:rPr>
          <w:rFonts w:ascii="Arial" w:cs="Arial" w:eastAsia="Arial" w:hAnsi="Arial"/>
          <w:sz w:val="17"/>
          <w:szCs w:val="17"/>
          <w:u w:val="single" w:color="auto"/>
          <w:color w:val="auto"/>
        </w:rPr>
        <w:t>Reallocation of Commitments under Existing Agreement</w:t>
      </w:r>
      <w:r>
        <w:rPr>
          <w:rFonts w:ascii="Arial" w:cs="Arial" w:eastAsia="Arial" w:hAnsi="Arial"/>
          <w:sz w:val="17"/>
          <w:szCs w:val="17"/>
          <w:color w:val="auto"/>
        </w:rPr>
        <w:t>. In connection with the amendment and restatement of the Existing Agreement pursuant hereto, Borrowers, Administrative Agent and Lenders shall as of the Closing Date make adjustments to the outstanding principal amount of “US Loans” and “Canadian Loans” under the Existing Agreement (as such terms are defined therein) (but not any interest accrued thereon prior to the Closing Date or any accrued commitment fees under the Existing Agreement prior to the Closing Date), including the borrowing of additional US Loans and/or Canadian Loans hereunder and the repayment of US Loans and/or Canadian Loans plus all applicable accrued interest, fees and expenses as shall be necessary to provide for US Loans by each US Lender in the amount of its US Percentage Share of all US Loans as of the Closing Date and for Canadian Loans by each Canadian Lender in the amount of its new Canadian Percentage Share of all Canadian Loans as of the Closing Date, but in no event shall such adjustment of any Eurodollar Loans (i) constitute a payment or prepayment of all or a portion of any Eurodollar Loans or (ii) entitle any Lender to any reimbursement under Section 3.6 hereof, and each Lender shall be deemed to have made an assignment of its outstanding Loans and commitments under the Existing Agreement, and assumed outstanding Loans and commitments of other Lenders under the Existing Agreement as may be necessary to effect the foregoing.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is executed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Arial" w:cs="Arial" w:eastAsia="Arial" w:hAnsi="Arial"/>
                <w:sz w:val="18"/>
                <w:szCs w:val="18"/>
                <w:b w:val="1"/>
                <w:bCs w:val="1"/>
                <w:color w:val="auto"/>
              </w:rPr>
              <w:t>US BORROWER:</w:t>
            </w:r>
          </w:p>
        </w:tc>
        <w:tc>
          <w:tcPr>
            <w:tcW w:w="7960" w:type="dxa"/>
            <w:vAlign w:val="bottom"/>
            <w:gridSpan w:val="3"/>
          </w:tcPr>
          <w:p>
            <w:pPr>
              <w:ind w:left="2020"/>
              <w:spacing w:after="0"/>
              <w:rPr>
                <w:sz w:val="20"/>
                <w:szCs w:val="20"/>
                <w:color w:val="auto"/>
              </w:rPr>
            </w:pPr>
            <w:r>
              <w:rPr>
                <w:rFonts w:ascii="Arial" w:cs="Arial" w:eastAsia="Arial" w:hAnsi="Arial"/>
                <w:sz w:val="18"/>
                <w:szCs w:val="18"/>
                <w:color w:val="auto"/>
              </w:rPr>
              <w:t>PLAINS ALL AMERICAN PIPELINE, L.P.</w:t>
            </w:r>
          </w:p>
        </w:tc>
      </w:tr>
      <w:tr>
        <w:trPr>
          <w:trHeight w:val="418"/>
        </w:trPr>
        <w:tc>
          <w:tcPr>
            <w:tcW w:w="3460" w:type="dxa"/>
            <w:vAlign w:val="bottom"/>
          </w:tcPr>
          <w:p>
            <w:pPr>
              <w:spacing w:after="0"/>
              <w:rPr>
                <w:sz w:val="24"/>
                <w:szCs w:val="24"/>
                <w:color w:val="auto"/>
              </w:rPr>
            </w:pPr>
          </w:p>
        </w:tc>
        <w:tc>
          <w:tcPr>
            <w:tcW w:w="2460" w:type="dxa"/>
            <w:vAlign w:val="bottom"/>
          </w:tcPr>
          <w:p>
            <w:pPr>
              <w:ind w:left="202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ind w:left="200"/>
              <w:spacing w:after="0"/>
              <w:rPr>
                <w:sz w:val="20"/>
                <w:szCs w:val="20"/>
                <w:color w:val="auto"/>
              </w:rPr>
            </w:pPr>
            <w:r>
              <w:rPr>
                <w:rFonts w:ascii="Arial" w:cs="Arial" w:eastAsia="Arial" w:hAnsi="Arial"/>
                <w:sz w:val="18"/>
                <w:szCs w:val="18"/>
                <w:color w:val="auto"/>
              </w:rPr>
              <w:t>PLAINS AAP, L.P.,</w:t>
            </w:r>
          </w:p>
        </w:tc>
      </w:tr>
      <w:tr>
        <w:trPr>
          <w:trHeight w:val="230"/>
        </w:trPr>
        <w:tc>
          <w:tcPr>
            <w:tcW w:w="34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500" w:type="dxa"/>
            <w:vAlign w:val="bottom"/>
            <w:gridSpan w:val="2"/>
          </w:tcPr>
          <w:p>
            <w:pPr>
              <w:ind w:left="200"/>
              <w:spacing w:after="0"/>
              <w:rPr>
                <w:sz w:val="20"/>
                <w:szCs w:val="20"/>
                <w:color w:val="auto"/>
              </w:rPr>
            </w:pPr>
            <w:r>
              <w:rPr>
                <w:rFonts w:ascii="Arial" w:cs="Arial" w:eastAsia="Arial" w:hAnsi="Arial"/>
                <w:sz w:val="18"/>
                <w:szCs w:val="18"/>
                <w:color w:val="auto"/>
              </w:rPr>
              <w:t>its general partner</w:t>
            </w:r>
          </w:p>
        </w:tc>
      </w:tr>
      <w:tr>
        <w:trPr>
          <w:trHeight w:val="418"/>
        </w:trPr>
        <w:tc>
          <w:tcPr>
            <w:tcW w:w="3460" w:type="dxa"/>
            <w:vAlign w:val="bottom"/>
          </w:tcPr>
          <w:p>
            <w:pPr>
              <w:spacing w:after="0"/>
              <w:rPr>
                <w:sz w:val="24"/>
                <w:szCs w:val="24"/>
                <w:color w:val="auto"/>
              </w:rPr>
            </w:pPr>
          </w:p>
        </w:tc>
        <w:tc>
          <w:tcPr>
            <w:tcW w:w="2460" w:type="dxa"/>
            <w:vAlign w:val="bottom"/>
          </w:tcPr>
          <w:p>
            <w:pPr>
              <w:ind w:left="202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ind w:left="200"/>
              <w:spacing w:after="0"/>
              <w:rPr>
                <w:sz w:val="20"/>
                <w:szCs w:val="20"/>
                <w:color w:val="auto"/>
              </w:rPr>
            </w:pPr>
            <w:r>
              <w:rPr>
                <w:rFonts w:ascii="Arial" w:cs="Arial" w:eastAsia="Arial" w:hAnsi="Arial"/>
                <w:sz w:val="18"/>
                <w:szCs w:val="18"/>
                <w:color w:val="auto"/>
              </w:rPr>
              <w:t>PLAINS ALL AMERICAN GP LLC,</w:t>
            </w:r>
          </w:p>
        </w:tc>
      </w:tr>
      <w:tr>
        <w:trPr>
          <w:trHeight w:val="230"/>
        </w:trPr>
        <w:tc>
          <w:tcPr>
            <w:tcW w:w="34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500" w:type="dxa"/>
            <w:vAlign w:val="bottom"/>
            <w:gridSpan w:val="2"/>
          </w:tcPr>
          <w:p>
            <w:pPr>
              <w:ind w:left="200"/>
              <w:spacing w:after="0"/>
              <w:rPr>
                <w:sz w:val="20"/>
                <w:szCs w:val="20"/>
                <w:color w:val="auto"/>
              </w:rPr>
            </w:pPr>
            <w:r>
              <w:rPr>
                <w:rFonts w:ascii="Arial" w:cs="Arial" w:eastAsia="Arial" w:hAnsi="Arial"/>
                <w:sz w:val="18"/>
                <w:szCs w:val="18"/>
                <w:color w:val="auto"/>
              </w:rPr>
              <w:t>its general partner</w:t>
            </w:r>
          </w:p>
        </w:tc>
      </w:tr>
      <w:tr>
        <w:trPr>
          <w:trHeight w:val="432"/>
        </w:trPr>
        <w:tc>
          <w:tcPr>
            <w:tcW w:w="3460" w:type="dxa"/>
            <w:vAlign w:val="bottom"/>
          </w:tcPr>
          <w:p>
            <w:pPr>
              <w:spacing w:after="0"/>
              <w:rPr>
                <w:sz w:val="24"/>
                <w:szCs w:val="24"/>
                <w:color w:val="auto"/>
              </w:rPr>
            </w:pPr>
          </w:p>
        </w:tc>
        <w:tc>
          <w:tcPr>
            <w:tcW w:w="2460" w:type="dxa"/>
            <w:vAlign w:val="bottom"/>
          </w:tcPr>
          <w:p>
            <w:pPr>
              <w:ind w:left="2020"/>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5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Al Swanson</w:t>
            </w:r>
          </w:p>
        </w:tc>
      </w:tr>
      <w:tr>
        <w:trPr>
          <w:trHeight w:val="195"/>
        </w:trPr>
        <w:tc>
          <w:tcPr>
            <w:tcW w:w="34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300" w:type="dxa"/>
            <w:vAlign w:val="bottom"/>
          </w:tcPr>
          <w:p>
            <w:pPr>
              <w:spacing w:after="0" w:line="195" w:lineRule="exact"/>
              <w:rPr>
                <w:sz w:val="20"/>
                <w:szCs w:val="20"/>
                <w:color w:val="auto"/>
              </w:rPr>
            </w:pPr>
            <w:r>
              <w:rPr>
                <w:rFonts w:ascii="Arial" w:cs="Arial" w:eastAsia="Arial" w:hAnsi="Arial"/>
                <w:sz w:val="18"/>
                <w:szCs w:val="18"/>
                <w:color w:val="auto"/>
              </w:rPr>
              <w:t>Al Swanson</w:t>
            </w:r>
          </w:p>
        </w:tc>
      </w:tr>
      <w:tr>
        <w:trPr>
          <w:trHeight w:val="230"/>
        </w:trPr>
        <w:tc>
          <w:tcPr>
            <w:tcW w:w="34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500" w:type="dxa"/>
            <w:vAlign w:val="bottom"/>
            <w:gridSpan w:val="2"/>
          </w:tcPr>
          <w:p>
            <w:pPr>
              <w:ind w:left="200"/>
              <w:spacing w:after="0"/>
              <w:rPr>
                <w:sz w:val="20"/>
                <w:szCs w:val="20"/>
                <w:color w:val="auto"/>
              </w:rPr>
            </w:pPr>
            <w:r>
              <w:rPr>
                <w:rFonts w:ascii="Arial" w:cs="Arial" w:eastAsia="Arial" w:hAnsi="Arial"/>
                <w:sz w:val="18"/>
                <w:szCs w:val="18"/>
                <w:color w:val="auto"/>
              </w:rPr>
              <w:t>Vice President – Finance and Treasurer</w:t>
            </w:r>
          </w:p>
        </w:tc>
      </w:tr>
    </w:tbl>
    <w:p>
      <w:pPr>
        <w:sectPr>
          <w:pgSz w:w="11900" w:h="16838" w:orient="portrait"/>
          <w:cols w:equalWidth="0" w:num="1">
            <w:col w:w="11420"/>
          </w:cols>
          <w:pgMar w:left="240" w:top="125" w:right="239" w:bottom="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Arial" w:cs="Arial" w:eastAsia="Arial" w:hAnsi="Arial"/>
                <w:sz w:val="18"/>
                <w:szCs w:val="18"/>
                <w:b w:val="1"/>
                <w:bCs w:val="1"/>
                <w:color w:val="auto"/>
              </w:rPr>
              <w:t>CANADIAN BORROWERS</w:t>
            </w:r>
            <w:r>
              <w:rPr>
                <w:rFonts w:ascii="Arial" w:cs="Arial" w:eastAsia="Arial" w:hAnsi="Arial"/>
                <w:sz w:val="18"/>
                <w:szCs w:val="18"/>
                <w:color w:val="auto"/>
              </w:rPr>
              <w:t>:</w:t>
            </w:r>
          </w:p>
        </w:tc>
        <w:tc>
          <w:tcPr>
            <w:tcW w:w="7260" w:type="dxa"/>
            <w:vAlign w:val="bottom"/>
            <w:gridSpan w:val="3"/>
          </w:tcPr>
          <w:p>
            <w:pPr>
              <w:ind w:left="1320"/>
              <w:spacing w:after="0"/>
              <w:rPr>
                <w:sz w:val="20"/>
                <w:szCs w:val="20"/>
                <w:color w:val="auto"/>
              </w:rPr>
            </w:pPr>
            <w:r>
              <w:rPr>
                <w:rFonts w:ascii="Arial" w:cs="Arial" w:eastAsia="Arial" w:hAnsi="Arial"/>
                <w:sz w:val="18"/>
                <w:szCs w:val="18"/>
                <w:color w:val="auto"/>
              </w:rPr>
              <w:t>PMC (NOVA SCOTIA) COMPANY</w:t>
            </w:r>
          </w:p>
        </w:tc>
        <w:tc>
          <w:tcPr>
            <w:tcW w:w="40" w:type="dxa"/>
            <w:vAlign w:val="bottom"/>
          </w:tcPr>
          <w:p>
            <w:pPr>
              <w:spacing w:after="0"/>
              <w:rPr>
                <w:sz w:val="20"/>
                <w:szCs w:val="20"/>
                <w:color w:val="auto"/>
              </w:rPr>
            </w:pPr>
          </w:p>
        </w:tc>
      </w:tr>
      <w:tr>
        <w:trPr>
          <w:trHeight w:val="432"/>
        </w:trPr>
        <w:tc>
          <w:tcPr>
            <w:tcW w:w="4160" w:type="dxa"/>
            <w:vAlign w:val="bottom"/>
          </w:tcPr>
          <w:p>
            <w:pPr>
              <w:spacing w:after="0"/>
              <w:rPr>
                <w:sz w:val="24"/>
                <w:szCs w:val="24"/>
                <w:color w:val="auto"/>
              </w:rPr>
            </w:pPr>
          </w:p>
        </w:tc>
        <w:tc>
          <w:tcPr>
            <w:tcW w:w="1720" w:type="dxa"/>
            <w:vAlign w:val="bottom"/>
          </w:tcPr>
          <w:p>
            <w:pPr>
              <w:ind w:left="1320"/>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5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Al Swanson</w:t>
            </w:r>
          </w:p>
        </w:tc>
        <w:tc>
          <w:tcPr>
            <w:tcW w:w="40" w:type="dxa"/>
            <w:vAlign w:val="bottom"/>
          </w:tcPr>
          <w:p>
            <w:pPr>
              <w:spacing w:after="0"/>
              <w:rPr>
                <w:sz w:val="24"/>
                <w:szCs w:val="24"/>
                <w:color w:val="auto"/>
              </w:rPr>
            </w:pPr>
          </w:p>
        </w:tc>
      </w:tr>
      <w:tr>
        <w:trPr>
          <w:trHeight w:val="195"/>
        </w:trPr>
        <w:tc>
          <w:tcPr>
            <w:tcW w:w="4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300" w:type="dxa"/>
            <w:vAlign w:val="bottom"/>
          </w:tcPr>
          <w:p>
            <w:pPr>
              <w:spacing w:after="0" w:line="195" w:lineRule="exact"/>
              <w:rPr>
                <w:sz w:val="20"/>
                <w:szCs w:val="20"/>
                <w:color w:val="auto"/>
              </w:rPr>
            </w:pPr>
            <w:r>
              <w:rPr>
                <w:rFonts w:ascii="Arial" w:cs="Arial" w:eastAsia="Arial" w:hAnsi="Arial"/>
                <w:sz w:val="18"/>
                <w:szCs w:val="18"/>
                <w:color w:val="auto"/>
              </w:rPr>
              <w:t>Al Swanson</w:t>
            </w:r>
          </w:p>
        </w:tc>
        <w:tc>
          <w:tcPr>
            <w:tcW w:w="40" w:type="dxa"/>
            <w:vAlign w:val="bottom"/>
          </w:tcPr>
          <w:p>
            <w:pPr>
              <w:spacing w:after="0"/>
              <w:rPr>
                <w:sz w:val="16"/>
                <w:szCs w:val="16"/>
                <w:color w:val="auto"/>
              </w:rPr>
            </w:pPr>
          </w:p>
        </w:tc>
      </w:tr>
      <w:tr>
        <w:trPr>
          <w:trHeight w:val="230"/>
        </w:trPr>
        <w:tc>
          <w:tcPr>
            <w:tcW w:w="4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540" w:type="dxa"/>
            <w:vAlign w:val="bottom"/>
            <w:gridSpan w:val="2"/>
          </w:tcPr>
          <w:p>
            <w:pPr>
              <w:ind w:left="240"/>
              <w:spacing w:after="0"/>
              <w:rPr>
                <w:sz w:val="20"/>
                <w:szCs w:val="20"/>
                <w:color w:val="auto"/>
              </w:rPr>
            </w:pPr>
            <w:r>
              <w:rPr>
                <w:rFonts w:ascii="Arial" w:cs="Arial" w:eastAsia="Arial" w:hAnsi="Arial"/>
                <w:sz w:val="18"/>
                <w:szCs w:val="18"/>
                <w:color w:val="auto"/>
              </w:rPr>
              <w:t>Vice President and Treasurer</w:t>
            </w:r>
          </w:p>
        </w:tc>
        <w:tc>
          <w:tcPr>
            <w:tcW w:w="40" w:type="dxa"/>
            <w:vAlign w:val="bottom"/>
          </w:tcPr>
          <w:p>
            <w:pPr>
              <w:spacing w:after="0"/>
              <w:rPr>
                <w:sz w:val="20"/>
                <w:szCs w:val="20"/>
                <w:color w:val="auto"/>
              </w:rPr>
            </w:pPr>
          </w:p>
        </w:tc>
      </w:tr>
      <w:tr>
        <w:trPr>
          <w:trHeight w:val="432"/>
        </w:trPr>
        <w:tc>
          <w:tcPr>
            <w:tcW w:w="4160" w:type="dxa"/>
            <w:vAlign w:val="bottom"/>
          </w:tcPr>
          <w:p>
            <w:pPr>
              <w:spacing w:after="0"/>
              <w:rPr>
                <w:sz w:val="24"/>
                <w:szCs w:val="24"/>
                <w:color w:val="auto"/>
              </w:rPr>
            </w:pPr>
          </w:p>
        </w:tc>
        <w:tc>
          <w:tcPr>
            <w:tcW w:w="7260" w:type="dxa"/>
            <w:vAlign w:val="bottom"/>
            <w:gridSpan w:val="3"/>
          </w:tcPr>
          <w:p>
            <w:pPr>
              <w:ind w:left="1320"/>
              <w:spacing w:after="0"/>
              <w:rPr>
                <w:sz w:val="20"/>
                <w:szCs w:val="20"/>
                <w:color w:val="auto"/>
              </w:rPr>
            </w:pPr>
            <w:r>
              <w:rPr>
                <w:rFonts w:ascii="Arial" w:cs="Arial" w:eastAsia="Arial" w:hAnsi="Arial"/>
                <w:sz w:val="18"/>
                <w:szCs w:val="18"/>
                <w:color w:val="auto"/>
              </w:rPr>
              <w:t>PLAINS MARKETING CANADA, L.P.</w:t>
            </w:r>
          </w:p>
        </w:tc>
        <w:tc>
          <w:tcPr>
            <w:tcW w:w="40" w:type="dxa"/>
            <w:vAlign w:val="bottom"/>
          </w:tcPr>
          <w:p>
            <w:pPr>
              <w:spacing w:after="0"/>
              <w:rPr>
                <w:sz w:val="24"/>
                <w:szCs w:val="24"/>
                <w:color w:val="auto"/>
              </w:rPr>
            </w:pPr>
          </w:p>
        </w:tc>
      </w:tr>
      <w:tr>
        <w:trPr>
          <w:trHeight w:val="418"/>
        </w:trPr>
        <w:tc>
          <w:tcPr>
            <w:tcW w:w="4160" w:type="dxa"/>
            <w:vAlign w:val="bottom"/>
          </w:tcPr>
          <w:p>
            <w:pPr>
              <w:spacing w:after="0"/>
              <w:rPr>
                <w:sz w:val="24"/>
                <w:szCs w:val="24"/>
                <w:color w:val="auto"/>
              </w:rPr>
            </w:pPr>
          </w:p>
        </w:tc>
        <w:tc>
          <w:tcPr>
            <w:tcW w:w="1720" w:type="dxa"/>
            <w:vAlign w:val="bottom"/>
          </w:tcPr>
          <w:p>
            <w:pPr>
              <w:ind w:left="1320"/>
              <w:spacing w:after="0"/>
              <w:rPr>
                <w:sz w:val="20"/>
                <w:szCs w:val="20"/>
                <w:color w:val="auto"/>
              </w:rPr>
            </w:pPr>
            <w:r>
              <w:rPr>
                <w:rFonts w:ascii="Arial" w:cs="Arial" w:eastAsia="Arial" w:hAnsi="Arial"/>
                <w:sz w:val="18"/>
                <w:szCs w:val="18"/>
                <w:color w:val="auto"/>
              </w:rPr>
              <w:t>By:</w:t>
            </w:r>
          </w:p>
        </w:tc>
        <w:tc>
          <w:tcPr>
            <w:tcW w:w="5540" w:type="dxa"/>
            <w:vAlign w:val="bottom"/>
            <w:gridSpan w:val="2"/>
          </w:tcPr>
          <w:p>
            <w:pPr>
              <w:ind w:left="240"/>
              <w:spacing w:after="0"/>
              <w:rPr>
                <w:sz w:val="20"/>
                <w:szCs w:val="20"/>
                <w:color w:val="auto"/>
              </w:rPr>
            </w:pPr>
            <w:r>
              <w:rPr>
                <w:rFonts w:ascii="Arial" w:cs="Arial" w:eastAsia="Arial" w:hAnsi="Arial"/>
                <w:sz w:val="18"/>
                <w:szCs w:val="18"/>
                <w:color w:val="auto"/>
              </w:rPr>
              <w:t>PMC (Nova Scotia) Company,</w:t>
            </w:r>
          </w:p>
        </w:tc>
        <w:tc>
          <w:tcPr>
            <w:tcW w:w="40" w:type="dxa"/>
            <w:vAlign w:val="bottom"/>
          </w:tcPr>
          <w:p>
            <w:pPr>
              <w:spacing w:after="0"/>
              <w:rPr>
                <w:sz w:val="24"/>
                <w:szCs w:val="24"/>
                <w:color w:val="auto"/>
              </w:rPr>
            </w:pPr>
          </w:p>
        </w:tc>
      </w:tr>
      <w:tr>
        <w:trPr>
          <w:trHeight w:val="230"/>
        </w:trPr>
        <w:tc>
          <w:tcPr>
            <w:tcW w:w="4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540" w:type="dxa"/>
            <w:vAlign w:val="bottom"/>
            <w:gridSpan w:val="2"/>
          </w:tcPr>
          <w:p>
            <w:pPr>
              <w:ind w:left="240"/>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432"/>
        </w:trPr>
        <w:tc>
          <w:tcPr>
            <w:tcW w:w="4160" w:type="dxa"/>
            <w:vAlign w:val="bottom"/>
          </w:tcPr>
          <w:p>
            <w:pPr>
              <w:spacing w:after="0"/>
              <w:rPr>
                <w:sz w:val="24"/>
                <w:szCs w:val="24"/>
                <w:color w:val="auto"/>
              </w:rPr>
            </w:pPr>
          </w:p>
        </w:tc>
        <w:tc>
          <w:tcPr>
            <w:tcW w:w="1720" w:type="dxa"/>
            <w:vAlign w:val="bottom"/>
          </w:tcPr>
          <w:p>
            <w:pPr>
              <w:ind w:left="1320"/>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5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Al Swanson</w:t>
            </w:r>
          </w:p>
        </w:tc>
        <w:tc>
          <w:tcPr>
            <w:tcW w:w="40" w:type="dxa"/>
            <w:vAlign w:val="bottom"/>
          </w:tcPr>
          <w:p>
            <w:pPr>
              <w:spacing w:after="0"/>
              <w:rPr>
                <w:sz w:val="24"/>
                <w:szCs w:val="24"/>
                <w:color w:val="auto"/>
              </w:rPr>
            </w:pPr>
          </w:p>
        </w:tc>
      </w:tr>
      <w:tr>
        <w:trPr>
          <w:trHeight w:val="195"/>
        </w:trPr>
        <w:tc>
          <w:tcPr>
            <w:tcW w:w="4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300" w:type="dxa"/>
            <w:vAlign w:val="bottom"/>
          </w:tcPr>
          <w:p>
            <w:pPr>
              <w:spacing w:after="0" w:line="195" w:lineRule="exact"/>
              <w:rPr>
                <w:sz w:val="20"/>
                <w:szCs w:val="20"/>
                <w:color w:val="auto"/>
              </w:rPr>
            </w:pPr>
            <w:r>
              <w:rPr>
                <w:rFonts w:ascii="Arial" w:cs="Arial" w:eastAsia="Arial" w:hAnsi="Arial"/>
                <w:sz w:val="18"/>
                <w:szCs w:val="18"/>
                <w:color w:val="auto"/>
              </w:rPr>
              <w:t>Al Swanson</w:t>
            </w:r>
          </w:p>
        </w:tc>
        <w:tc>
          <w:tcPr>
            <w:tcW w:w="40" w:type="dxa"/>
            <w:vAlign w:val="bottom"/>
          </w:tcPr>
          <w:p>
            <w:pPr>
              <w:spacing w:after="0"/>
              <w:rPr>
                <w:sz w:val="16"/>
                <w:szCs w:val="16"/>
                <w:color w:val="auto"/>
              </w:rPr>
            </w:pPr>
          </w:p>
        </w:tc>
      </w:tr>
      <w:tr>
        <w:trPr>
          <w:trHeight w:val="230"/>
        </w:trPr>
        <w:tc>
          <w:tcPr>
            <w:tcW w:w="4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540" w:type="dxa"/>
            <w:vAlign w:val="bottom"/>
            <w:gridSpan w:val="2"/>
          </w:tcPr>
          <w:p>
            <w:pPr>
              <w:ind w:left="240"/>
              <w:spacing w:after="0"/>
              <w:rPr>
                <w:sz w:val="20"/>
                <w:szCs w:val="20"/>
                <w:color w:val="auto"/>
              </w:rPr>
            </w:pPr>
            <w:r>
              <w:rPr>
                <w:rFonts w:ascii="Arial" w:cs="Arial" w:eastAsia="Arial" w:hAnsi="Arial"/>
                <w:sz w:val="18"/>
                <w:szCs w:val="18"/>
                <w:color w:val="auto"/>
              </w:rPr>
              <w:t>Vice President and Treasurer</w:t>
            </w:r>
          </w:p>
        </w:tc>
        <w:tc>
          <w:tcPr>
            <w:tcW w:w="40" w:type="dxa"/>
            <w:vAlign w:val="bottom"/>
          </w:tcPr>
          <w:p>
            <w:pPr>
              <w:spacing w:after="0"/>
              <w:rPr>
                <w:sz w:val="20"/>
                <w:szCs w:val="20"/>
                <w:color w:val="auto"/>
              </w:rPr>
            </w:pPr>
          </w:p>
        </w:tc>
      </w:tr>
      <w:tr>
        <w:trPr>
          <w:trHeight w:val="648"/>
        </w:trPr>
        <w:tc>
          <w:tcPr>
            <w:tcW w:w="4160" w:type="dxa"/>
            <w:vAlign w:val="bottom"/>
          </w:tcPr>
          <w:p>
            <w:pPr>
              <w:spacing w:after="0"/>
              <w:rPr>
                <w:sz w:val="20"/>
                <w:szCs w:val="20"/>
                <w:color w:val="auto"/>
              </w:rPr>
            </w:pPr>
            <w:r>
              <w:rPr>
                <w:rFonts w:ascii="Arial" w:cs="Arial" w:eastAsia="Arial" w:hAnsi="Arial"/>
                <w:sz w:val="18"/>
                <w:szCs w:val="18"/>
                <w:b w:val="1"/>
                <w:bCs w:val="1"/>
                <w:color w:val="auto"/>
              </w:rPr>
              <w:t>GUARANTOR</w:t>
            </w:r>
            <w:r>
              <w:rPr>
                <w:rFonts w:ascii="Arial" w:cs="Arial" w:eastAsia="Arial" w:hAnsi="Arial"/>
                <w:sz w:val="18"/>
                <w:szCs w:val="18"/>
                <w:color w:val="auto"/>
              </w:rPr>
              <w:t>:</w:t>
            </w:r>
          </w:p>
        </w:tc>
        <w:tc>
          <w:tcPr>
            <w:tcW w:w="7260" w:type="dxa"/>
            <w:vAlign w:val="bottom"/>
            <w:gridSpan w:val="3"/>
          </w:tcPr>
          <w:p>
            <w:pPr>
              <w:ind w:left="132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4"/>
                <w:szCs w:val="24"/>
                <w:color w:val="auto"/>
              </w:rPr>
            </w:pPr>
          </w:p>
        </w:tc>
      </w:tr>
      <w:tr>
        <w:trPr>
          <w:trHeight w:val="418"/>
        </w:trPr>
        <w:tc>
          <w:tcPr>
            <w:tcW w:w="4160" w:type="dxa"/>
            <w:vAlign w:val="bottom"/>
          </w:tcPr>
          <w:p>
            <w:pPr>
              <w:spacing w:after="0"/>
              <w:rPr>
                <w:sz w:val="24"/>
                <w:szCs w:val="24"/>
                <w:color w:val="auto"/>
              </w:rPr>
            </w:pPr>
          </w:p>
        </w:tc>
        <w:tc>
          <w:tcPr>
            <w:tcW w:w="1720" w:type="dxa"/>
            <w:vAlign w:val="bottom"/>
          </w:tcPr>
          <w:p>
            <w:pPr>
              <w:ind w:left="1320"/>
              <w:spacing w:after="0"/>
              <w:rPr>
                <w:sz w:val="20"/>
                <w:szCs w:val="20"/>
                <w:color w:val="auto"/>
              </w:rPr>
            </w:pPr>
            <w:r>
              <w:rPr>
                <w:rFonts w:ascii="Arial" w:cs="Arial" w:eastAsia="Arial" w:hAnsi="Arial"/>
                <w:sz w:val="18"/>
                <w:szCs w:val="18"/>
                <w:color w:val="auto"/>
              </w:rPr>
              <w:t>By:</w:t>
            </w:r>
          </w:p>
        </w:tc>
        <w:tc>
          <w:tcPr>
            <w:tcW w:w="5540" w:type="dxa"/>
            <w:vAlign w:val="bottom"/>
            <w:gridSpan w:val="2"/>
          </w:tcPr>
          <w:p>
            <w:pPr>
              <w:ind w:left="240"/>
              <w:spacing w:after="0"/>
              <w:rPr>
                <w:sz w:val="20"/>
                <w:szCs w:val="20"/>
                <w:color w:val="auto"/>
              </w:rPr>
            </w:pPr>
            <w:r>
              <w:rPr>
                <w:rFonts w:ascii="Arial" w:cs="Arial" w:eastAsia="Arial" w:hAnsi="Arial"/>
                <w:sz w:val="18"/>
                <w:szCs w:val="18"/>
                <w:color w:val="auto"/>
              </w:rPr>
              <w:t>PLAINS AAP, L.P.,</w:t>
            </w:r>
          </w:p>
        </w:tc>
        <w:tc>
          <w:tcPr>
            <w:tcW w:w="40" w:type="dxa"/>
            <w:vAlign w:val="bottom"/>
          </w:tcPr>
          <w:p>
            <w:pPr>
              <w:spacing w:after="0"/>
              <w:rPr>
                <w:sz w:val="24"/>
                <w:szCs w:val="24"/>
                <w:color w:val="auto"/>
              </w:rPr>
            </w:pPr>
          </w:p>
        </w:tc>
      </w:tr>
      <w:tr>
        <w:trPr>
          <w:trHeight w:val="230"/>
        </w:trPr>
        <w:tc>
          <w:tcPr>
            <w:tcW w:w="4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540" w:type="dxa"/>
            <w:vAlign w:val="bottom"/>
            <w:gridSpan w:val="2"/>
          </w:tcPr>
          <w:p>
            <w:pPr>
              <w:ind w:left="240"/>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418"/>
        </w:trPr>
        <w:tc>
          <w:tcPr>
            <w:tcW w:w="4160" w:type="dxa"/>
            <w:vAlign w:val="bottom"/>
          </w:tcPr>
          <w:p>
            <w:pPr>
              <w:spacing w:after="0"/>
              <w:rPr>
                <w:sz w:val="24"/>
                <w:szCs w:val="24"/>
                <w:color w:val="auto"/>
              </w:rPr>
            </w:pPr>
          </w:p>
        </w:tc>
        <w:tc>
          <w:tcPr>
            <w:tcW w:w="1720" w:type="dxa"/>
            <w:vAlign w:val="bottom"/>
          </w:tcPr>
          <w:p>
            <w:pPr>
              <w:ind w:left="1320"/>
              <w:spacing w:after="0"/>
              <w:rPr>
                <w:sz w:val="20"/>
                <w:szCs w:val="20"/>
                <w:color w:val="auto"/>
              </w:rPr>
            </w:pPr>
            <w:r>
              <w:rPr>
                <w:rFonts w:ascii="Arial" w:cs="Arial" w:eastAsia="Arial" w:hAnsi="Arial"/>
                <w:sz w:val="18"/>
                <w:szCs w:val="18"/>
                <w:color w:val="auto"/>
              </w:rPr>
              <w:t>By:</w:t>
            </w:r>
          </w:p>
        </w:tc>
        <w:tc>
          <w:tcPr>
            <w:tcW w:w="5540" w:type="dxa"/>
            <w:vAlign w:val="bottom"/>
            <w:gridSpan w:val="2"/>
          </w:tcPr>
          <w:p>
            <w:pPr>
              <w:ind w:left="240"/>
              <w:spacing w:after="0"/>
              <w:rPr>
                <w:sz w:val="20"/>
                <w:szCs w:val="20"/>
                <w:color w:val="auto"/>
              </w:rPr>
            </w:pPr>
            <w:r>
              <w:rPr>
                <w:rFonts w:ascii="Arial" w:cs="Arial" w:eastAsia="Arial" w:hAnsi="Arial"/>
                <w:sz w:val="18"/>
                <w:szCs w:val="18"/>
                <w:color w:val="auto"/>
              </w:rPr>
              <w:t>PLAINS ALL AMERICAN GP LLC,</w:t>
            </w:r>
          </w:p>
        </w:tc>
        <w:tc>
          <w:tcPr>
            <w:tcW w:w="40" w:type="dxa"/>
            <w:vAlign w:val="bottom"/>
          </w:tcPr>
          <w:p>
            <w:pPr>
              <w:spacing w:after="0"/>
              <w:rPr>
                <w:sz w:val="24"/>
                <w:szCs w:val="24"/>
                <w:color w:val="auto"/>
              </w:rPr>
            </w:pPr>
          </w:p>
        </w:tc>
      </w:tr>
      <w:tr>
        <w:trPr>
          <w:trHeight w:val="230"/>
        </w:trPr>
        <w:tc>
          <w:tcPr>
            <w:tcW w:w="4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540" w:type="dxa"/>
            <w:vAlign w:val="bottom"/>
            <w:gridSpan w:val="2"/>
          </w:tcPr>
          <w:p>
            <w:pPr>
              <w:ind w:left="240"/>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432"/>
        </w:trPr>
        <w:tc>
          <w:tcPr>
            <w:tcW w:w="4160" w:type="dxa"/>
            <w:vAlign w:val="bottom"/>
          </w:tcPr>
          <w:p>
            <w:pPr>
              <w:spacing w:after="0"/>
              <w:rPr>
                <w:sz w:val="24"/>
                <w:szCs w:val="24"/>
                <w:color w:val="auto"/>
              </w:rPr>
            </w:pPr>
          </w:p>
        </w:tc>
        <w:tc>
          <w:tcPr>
            <w:tcW w:w="1720" w:type="dxa"/>
            <w:vAlign w:val="bottom"/>
          </w:tcPr>
          <w:p>
            <w:pPr>
              <w:ind w:left="1320"/>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5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Al Swanson</w:t>
            </w:r>
          </w:p>
        </w:tc>
        <w:tc>
          <w:tcPr>
            <w:tcW w:w="40" w:type="dxa"/>
            <w:vAlign w:val="bottom"/>
          </w:tcPr>
          <w:p>
            <w:pPr>
              <w:spacing w:after="0"/>
              <w:rPr>
                <w:sz w:val="24"/>
                <w:szCs w:val="24"/>
                <w:color w:val="auto"/>
              </w:rPr>
            </w:pPr>
          </w:p>
        </w:tc>
      </w:tr>
      <w:tr>
        <w:trPr>
          <w:trHeight w:val="195"/>
        </w:trPr>
        <w:tc>
          <w:tcPr>
            <w:tcW w:w="4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300" w:type="dxa"/>
            <w:vAlign w:val="bottom"/>
          </w:tcPr>
          <w:p>
            <w:pPr>
              <w:spacing w:after="0" w:line="195" w:lineRule="exact"/>
              <w:rPr>
                <w:sz w:val="20"/>
                <w:szCs w:val="20"/>
                <w:color w:val="auto"/>
              </w:rPr>
            </w:pPr>
            <w:r>
              <w:rPr>
                <w:rFonts w:ascii="Arial" w:cs="Arial" w:eastAsia="Arial" w:hAnsi="Arial"/>
                <w:sz w:val="18"/>
                <w:szCs w:val="18"/>
                <w:color w:val="auto"/>
              </w:rPr>
              <w:t>Al Swanson</w:t>
            </w:r>
          </w:p>
        </w:tc>
        <w:tc>
          <w:tcPr>
            <w:tcW w:w="40" w:type="dxa"/>
            <w:vAlign w:val="bottom"/>
          </w:tcPr>
          <w:p>
            <w:pPr>
              <w:spacing w:after="0"/>
              <w:rPr>
                <w:sz w:val="16"/>
                <w:szCs w:val="16"/>
                <w:color w:val="auto"/>
              </w:rPr>
            </w:pPr>
          </w:p>
        </w:tc>
      </w:tr>
      <w:tr>
        <w:trPr>
          <w:trHeight w:val="230"/>
        </w:trPr>
        <w:tc>
          <w:tcPr>
            <w:tcW w:w="4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540" w:type="dxa"/>
            <w:vAlign w:val="bottom"/>
            <w:gridSpan w:val="2"/>
          </w:tcPr>
          <w:p>
            <w:pPr>
              <w:ind w:left="240"/>
              <w:spacing w:after="0"/>
              <w:rPr>
                <w:sz w:val="20"/>
                <w:szCs w:val="20"/>
                <w:color w:val="auto"/>
              </w:rPr>
            </w:pPr>
            <w:r>
              <w:rPr>
                <w:rFonts w:ascii="Arial" w:cs="Arial" w:eastAsia="Arial" w:hAnsi="Arial"/>
                <w:sz w:val="18"/>
                <w:szCs w:val="18"/>
                <w:color w:val="auto"/>
              </w:rPr>
              <w:t>Vice President – Finance and Treasurer</w:t>
            </w:r>
          </w:p>
        </w:tc>
        <w:tc>
          <w:tcPr>
            <w:tcW w:w="40" w:type="dxa"/>
            <w:vAlign w:val="bottom"/>
          </w:tcPr>
          <w:p>
            <w:pPr>
              <w:spacing w:after="0"/>
              <w:rPr>
                <w:sz w:val="20"/>
                <w:szCs w:val="20"/>
                <w:color w:val="auto"/>
              </w:rPr>
            </w:pPr>
          </w:p>
        </w:tc>
      </w:tr>
      <w:tr>
        <w:trPr>
          <w:trHeight w:val="418"/>
        </w:trPr>
        <w:tc>
          <w:tcPr>
            <w:tcW w:w="4160" w:type="dxa"/>
            <w:vAlign w:val="bottom"/>
          </w:tcPr>
          <w:p>
            <w:pPr>
              <w:spacing w:after="0"/>
              <w:rPr>
                <w:sz w:val="20"/>
                <w:szCs w:val="20"/>
                <w:color w:val="auto"/>
              </w:rPr>
            </w:pPr>
            <w:r>
              <w:rPr>
                <w:rFonts w:ascii="Arial" w:cs="Arial" w:eastAsia="Arial" w:hAnsi="Arial"/>
                <w:sz w:val="18"/>
                <w:szCs w:val="18"/>
                <w:color w:val="auto"/>
              </w:rPr>
              <w:t>Address for Borrowers and Guarantors:</w:t>
            </w:r>
          </w:p>
        </w:tc>
        <w:tc>
          <w:tcPr>
            <w:tcW w:w="7260" w:type="dxa"/>
            <w:vAlign w:val="bottom"/>
            <w:gridSpan w:val="3"/>
          </w:tcPr>
          <w:p>
            <w:pPr>
              <w:ind w:left="1320"/>
              <w:spacing w:after="0"/>
              <w:rPr>
                <w:sz w:val="20"/>
                <w:szCs w:val="20"/>
                <w:color w:val="auto"/>
              </w:rPr>
            </w:pPr>
            <w:r>
              <w:rPr>
                <w:rFonts w:ascii="Arial" w:cs="Arial" w:eastAsia="Arial" w:hAnsi="Arial"/>
                <w:sz w:val="18"/>
                <w:szCs w:val="18"/>
                <w:color w:val="auto"/>
              </w:rPr>
              <w:t>333 Clay Street, Suite 1600</w:t>
            </w:r>
          </w:p>
        </w:tc>
        <w:tc>
          <w:tcPr>
            <w:tcW w:w="40" w:type="dxa"/>
            <w:vAlign w:val="bottom"/>
          </w:tcPr>
          <w:p>
            <w:pPr>
              <w:spacing w:after="0"/>
              <w:rPr>
                <w:sz w:val="24"/>
                <w:szCs w:val="24"/>
                <w:color w:val="auto"/>
              </w:rPr>
            </w:pPr>
          </w:p>
        </w:tc>
      </w:tr>
      <w:tr>
        <w:trPr>
          <w:trHeight w:val="216"/>
        </w:trPr>
        <w:tc>
          <w:tcPr>
            <w:tcW w:w="4160" w:type="dxa"/>
            <w:vAlign w:val="bottom"/>
          </w:tcPr>
          <w:p>
            <w:pPr>
              <w:spacing w:after="0"/>
              <w:rPr>
                <w:sz w:val="18"/>
                <w:szCs w:val="18"/>
                <w:color w:val="auto"/>
              </w:rPr>
            </w:pPr>
          </w:p>
        </w:tc>
        <w:tc>
          <w:tcPr>
            <w:tcW w:w="7260" w:type="dxa"/>
            <w:vAlign w:val="bottom"/>
            <w:gridSpan w:val="3"/>
          </w:tcPr>
          <w:p>
            <w:pPr>
              <w:ind w:left="1320"/>
              <w:spacing w:after="0"/>
              <w:rPr>
                <w:sz w:val="20"/>
                <w:szCs w:val="20"/>
                <w:color w:val="auto"/>
              </w:rPr>
            </w:pPr>
            <w:r>
              <w:rPr>
                <w:rFonts w:ascii="Arial" w:cs="Arial" w:eastAsia="Arial" w:hAnsi="Arial"/>
                <w:sz w:val="18"/>
                <w:szCs w:val="18"/>
                <w:color w:val="auto"/>
              </w:rPr>
              <w:t>Houston, Texas 77002</w:t>
            </w: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7260" w:type="dxa"/>
            <w:vAlign w:val="bottom"/>
            <w:gridSpan w:val="3"/>
          </w:tcPr>
          <w:p>
            <w:pPr>
              <w:ind w:left="1320"/>
              <w:spacing w:after="0"/>
              <w:rPr>
                <w:sz w:val="20"/>
                <w:szCs w:val="20"/>
                <w:color w:val="auto"/>
              </w:rPr>
            </w:pPr>
            <w:r>
              <w:rPr>
                <w:rFonts w:ascii="Arial" w:cs="Arial" w:eastAsia="Arial" w:hAnsi="Arial"/>
                <w:sz w:val="18"/>
                <w:szCs w:val="18"/>
                <w:color w:val="auto"/>
              </w:rPr>
              <w:t>Attention: Al Swanson</w:t>
            </w: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7260" w:type="dxa"/>
            <w:vAlign w:val="bottom"/>
            <w:gridSpan w:val="3"/>
          </w:tcPr>
          <w:p>
            <w:pPr>
              <w:ind w:left="1320"/>
              <w:spacing w:after="0"/>
              <w:rPr>
                <w:sz w:val="20"/>
                <w:szCs w:val="20"/>
                <w:color w:val="auto"/>
              </w:rPr>
            </w:pPr>
            <w:r>
              <w:rPr>
                <w:rFonts w:ascii="Arial" w:cs="Arial" w:eastAsia="Arial" w:hAnsi="Arial"/>
                <w:sz w:val="18"/>
                <w:szCs w:val="18"/>
                <w:color w:val="auto"/>
              </w:rPr>
              <w:t>Telephone: (713) 646-4455</w:t>
            </w: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7260" w:type="dxa"/>
            <w:vAlign w:val="bottom"/>
            <w:gridSpan w:val="3"/>
          </w:tcPr>
          <w:p>
            <w:pPr>
              <w:ind w:left="1320"/>
              <w:spacing w:after="0"/>
              <w:rPr>
                <w:sz w:val="20"/>
                <w:szCs w:val="20"/>
                <w:color w:val="auto"/>
              </w:rPr>
            </w:pPr>
            <w:r>
              <w:rPr>
                <w:rFonts w:ascii="Arial" w:cs="Arial" w:eastAsia="Arial" w:hAnsi="Arial"/>
                <w:sz w:val="18"/>
                <w:szCs w:val="18"/>
                <w:color w:val="auto"/>
              </w:rPr>
              <w:t>Fax: (713) 646-4564</w:t>
            </w:r>
          </w:p>
        </w:tc>
        <w:tc>
          <w:tcPr>
            <w:tcW w:w="4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p>
        </w:tc>
        <w:tc>
          <w:tcPr>
            <w:tcW w:w="7260" w:type="dxa"/>
            <w:vAlign w:val="bottom"/>
            <w:gridSpan w:val="3"/>
          </w:tcPr>
          <w:p>
            <w:pPr>
              <w:ind w:left="1320"/>
              <w:spacing w:after="0"/>
              <w:rPr>
                <w:sz w:val="20"/>
                <w:szCs w:val="20"/>
                <w:color w:val="auto"/>
              </w:rPr>
            </w:pPr>
            <w:r>
              <w:rPr>
                <w:rFonts w:ascii="Arial" w:cs="Arial" w:eastAsia="Arial" w:hAnsi="Arial"/>
                <w:sz w:val="18"/>
                <w:szCs w:val="18"/>
                <w:color w:val="auto"/>
              </w:rPr>
              <w:t>Website: www.paalp.com</w:t>
            </w:r>
          </w:p>
        </w:tc>
        <w:tc>
          <w:tcPr>
            <w:tcW w:w="40" w:type="dxa"/>
            <w:vAlign w:val="bottom"/>
          </w:tcPr>
          <w:p>
            <w:pPr>
              <w:spacing w:after="0"/>
              <w:rPr>
                <w:sz w:val="20"/>
                <w:szCs w:val="20"/>
                <w:color w:val="auto"/>
              </w:rPr>
            </w:pPr>
          </w:p>
        </w:tc>
      </w:tr>
      <w:tr>
        <w:trPr>
          <w:trHeight w:val="432"/>
        </w:trPr>
        <w:tc>
          <w:tcPr>
            <w:tcW w:w="4160" w:type="dxa"/>
            <w:vAlign w:val="bottom"/>
          </w:tcPr>
          <w:p>
            <w:pPr>
              <w:spacing w:after="0"/>
              <w:rPr>
                <w:sz w:val="24"/>
                <w:szCs w:val="24"/>
                <w:color w:val="auto"/>
              </w:rPr>
            </w:pPr>
          </w:p>
        </w:tc>
        <w:tc>
          <w:tcPr>
            <w:tcW w:w="1720" w:type="dxa"/>
            <w:vAlign w:val="bottom"/>
          </w:tcPr>
          <w:p>
            <w:pPr>
              <w:ind w:left="1420"/>
              <w:spacing w:after="0"/>
              <w:rPr>
                <w:sz w:val="20"/>
                <w:szCs w:val="20"/>
                <w:color w:val="auto"/>
              </w:rPr>
            </w:pPr>
            <w:r>
              <w:rPr>
                <w:rFonts w:ascii="Arial" w:cs="Arial" w:eastAsia="Arial" w:hAnsi="Arial"/>
                <w:sz w:val="18"/>
                <w:szCs w:val="18"/>
                <w:color w:val="auto"/>
                <w:w w:val="93"/>
              </w:rPr>
              <w:t>108</w:t>
            </w:r>
          </w:p>
        </w:tc>
        <w:tc>
          <w:tcPr>
            <w:tcW w:w="2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160" w:type="dxa"/>
            <w:vAlign w:val="bottom"/>
            <w:tcBorders>
              <w:bottom w:val="single" w:sz="8" w:color="010101"/>
            </w:tcBorders>
          </w:tcPr>
          <w:p>
            <w:pPr>
              <w:spacing w:after="0"/>
              <w:rPr>
                <w:sz w:val="11"/>
                <w:szCs w:val="11"/>
                <w:color w:val="auto"/>
              </w:rPr>
            </w:pPr>
          </w:p>
        </w:tc>
        <w:tc>
          <w:tcPr>
            <w:tcW w:w="7260" w:type="dxa"/>
            <w:vAlign w:val="bottom"/>
            <w:tcBorders>
              <w:bottom w:val="single" w:sz="8" w:color="010101"/>
            </w:tcBorders>
            <w:gridSpan w:val="3"/>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66"/>
        </w:trPr>
        <w:tc>
          <w:tcPr>
            <w:tcW w:w="4160" w:type="dxa"/>
            <w:vAlign w:val="bottom"/>
          </w:tcPr>
          <w:p>
            <w:pPr>
              <w:spacing w:after="0"/>
              <w:rPr>
                <w:sz w:val="24"/>
                <w:szCs w:val="24"/>
                <w:color w:val="auto"/>
              </w:rPr>
            </w:pPr>
          </w:p>
        </w:tc>
        <w:tc>
          <w:tcPr>
            <w:tcW w:w="7260" w:type="dxa"/>
            <w:vAlign w:val="bottom"/>
            <w:gridSpan w:val="3"/>
          </w:tcPr>
          <w:p>
            <w:pPr>
              <w:ind w:left="1300"/>
              <w:spacing w:after="0"/>
              <w:rPr>
                <w:sz w:val="20"/>
                <w:szCs w:val="20"/>
                <w:color w:val="auto"/>
              </w:rPr>
            </w:pPr>
            <w:r>
              <w:rPr>
                <w:rFonts w:ascii="Arial" w:cs="Arial" w:eastAsia="Arial" w:hAnsi="Arial"/>
                <w:sz w:val="18"/>
                <w:szCs w:val="18"/>
                <w:color w:val="auto"/>
              </w:rPr>
              <w:t>BANK OF AMERICA, N.A.,</w:t>
            </w:r>
          </w:p>
        </w:tc>
        <w:tc>
          <w:tcPr>
            <w:tcW w:w="40" w:type="dxa"/>
            <w:vAlign w:val="bottom"/>
          </w:tcPr>
          <w:p>
            <w:pPr>
              <w:spacing w:after="0"/>
              <w:rPr>
                <w:sz w:val="24"/>
                <w:szCs w:val="24"/>
                <w:color w:val="auto"/>
              </w:rPr>
            </w:pPr>
          </w:p>
        </w:tc>
      </w:tr>
      <w:tr>
        <w:trPr>
          <w:trHeight w:val="230"/>
        </w:trPr>
        <w:tc>
          <w:tcPr>
            <w:tcW w:w="4160" w:type="dxa"/>
            <w:vAlign w:val="bottom"/>
          </w:tcPr>
          <w:p>
            <w:pPr>
              <w:spacing w:after="0"/>
              <w:rPr>
                <w:sz w:val="20"/>
                <w:szCs w:val="20"/>
                <w:color w:val="auto"/>
              </w:rPr>
            </w:pPr>
          </w:p>
        </w:tc>
        <w:tc>
          <w:tcPr>
            <w:tcW w:w="7260" w:type="dxa"/>
            <w:vAlign w:val="bottom"/>
            <w:gridSpan w:val="3"/>
          </w:tcPr>
          <w:p>
            <w:pPr>
              <w:ind w:left="1300"/>
              <w:spacing w:after="0"/>
              <w:rPr>
                <w:sz w:val="20"/>
                <w:szCs w:val="20"/>
                <w:color w:val="auto"/>
              </w:rPr>
            </w:pPr>
            <w:r>
              <w:rPr>
                <w:rFonts w:ascii="Arial" w:cs="Arial" w:eastAsia="Arial" w:hAnsi="Arial"/>
                <w:sz w:val="18"/>
                <w:szCs w:val="18"/>
                <w:color w:val="auto"/>
              </w:rPr>
              <w:t>Administrative Agent</w:t>
            </w:r>
          </w:p>
        </w:tc>
        <w:tc>
          <w:tcPr>
            <w:tcW w:w="40" w:type="dxa"/>
            <w:vAlign w:val="bottom"/>
          </w:tcPr>
          <w:p>
            <w:pPr>
              <w:spacing w:after="0"/>
              <w:rPr>
                <w:sz w:val="20"/>
                <w:szCs w:val="20"/>
                <w:color w:val="auto"/>
              </w:rPr>
            </w:pPr>
          </w:p>
        </w:tc>
      </w:tr>
      <w:tr>
        <w:trPr>
          <w:trHeight w:val="648"/>
        </w:trPr>
        <w:tc>
          <w:tcPr>
            <w:tcW w:w="4160" w:type="dxa"/>
            <w:vAlign w:val="bottom"/>
          </w:tcPr>
          <w:p>
            <w:pPr>
              <w:spacing w:after="0"/>
              <w:rPr>
                <w:sz w:val="24"/>
                <w:szCs w:val="24"/>
                <w:color w:val="auto"/>
              </w:rPr>
            </w:pPr>
          </w:p>
        </w:tc>
        <w:tc>
          <w:tcPr>
            <w:tcW w:w="1720" w:type="dxa"/>
            <w:vAlign w:val="bottom"/>
          </w:tcPr>
          <w:p>
            <w:pPr>
              <w:ind w:left="1300"/>
              <w:spacing w:after="0"/>
              <w:rPr>
                <w:sz w:val="20"/>
                <w:szCs w:val="20"/>
                <w:color w:val="auto"/>
              </w:rPr>
            </w:pPr>
            <w:r>
              <w:rPr>
                <w:rFonts w:ascii="Arial" w:cs="Arial" w:eastAsia="Arial" w:hAnsi="Arial"/>
                <w:sz w:val="18"/>
                <w:szCs w:val="18"/>
                <w:color w:val="auto"/>
              </w:rPr>
              <w:t>By:</w:t>
            </w:r>
          </w:p>
        </w:tc>
        <w:tc>
          <w:tcPr>
            <w:tcW w:w="5540" w:type="dxa"/>
            <w:vAlign w:val="bottom"/>
            <w:gridSpan w:val="2"/>
          </w:tcPr>
          <w:p>
            <w:pPr>
              <w:ind w:left="40"/>
              <w:spacing w:after="0"/>
              <w:rPr>
                <w:sz w:val="20"/>
                <w:szCs w:val="20"/>
                <w:color w:val="auto"/>
              </w:rPr>
            </w:pPr>
            <w:r>
              <w:rPr>
                <w:rFonts w:ascii="Arial" w:cs="Arial" w:eastAsia="Arial" w:hAnsi="Arial"/>
                <w:sz w:val="18"/>
                <w:szCs w:val="18"/>
                <w:color w:val="auto"/>
              </w:rPr>
              <w:t>/s/ Todd MacNeill</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-1073150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6080"/>
        <w:spacing w:after="0"/>
        <w:tabs>
          <w:tab w:leader="none" w:pos="6800" w:val="left"/>
        </w:tabs>
        <w:rPr>
          <w:sz w:val="20"/>
          <w:szCs w:val="20"/>
          <w:color w:val="auto"/>
        </w:rPr>
      </w:pPr>
      <w:r>
        <w:rPr>
          <w:rFonts w:ascii="Arial" w:cs="Arial" w:eastAsia="Arial" w:hAnsi="Arial"/>
          <w:sz w:val="18"/>
          <w:szCs w:val="18"/>
          <w:color w:val="auto"/>
        </w:rPr>
        <w:t>Name:</w:t>
        <w:tab/>
        <w:t>Todd MacNeill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Agency Management Officer III</w:t>
      </w:r>
    </w:p>
    <w:p>
      <w:pPr>
        <w:spacing w:after="0" w:line="200" w:lineRule="exact"/>
        <w:rPr>
          <w:sz w:val="20"/>
          <w:szCs w:val="20"/>
          <w:color w:val="auto"/>
        </w:rPr>
      </w:pPr>
    </w:p>
    <w:p>
      <w:pPr>
        <w:spacing w:after="0" w:line="22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LC Issuer and a Lender</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Robert D. Valbona</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Robert D. Valbona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22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acting through its Canada Branch,</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as Canadian Administrative Agent, Canadian LC</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Issuer and a Canadian Lender</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Medina Sales de Andrade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Pr>
          <w:p>
            <w:pPr>
              <w:spacing w:after="0"/>
              <w:rPr>
                <w:sz w:val="16"/>
                <w:szCs w:val="16"/>
                <w:color w:val="auto"/>
              </w:rPr>
            </w:pPr>
          </w:p>
        </w:tc>
        <w:tc>
          <w:tcPr>
            <w:tcW w:w="880" w:type="dxa"/>
            <w:vAlign w:val="bottom"/>
            <w:tcBorders>
              <w:top w:val="single" w:sz="8" w:color="auto"/>
            </w:tcBorders>
          </w:tcPr>
          <w:p>
            <w:pPr>
              <w:ind w:left="260"/>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Medina Sales de Andrade</w:t>
            </w:r>
          </w:p>
        </w:tc>
        <w:tc>
          <w:tcPr>
            <w:tcW w:w="40" w:type="dxa"/>
            <w:vAlign w:val="bottom"/>
          </w:tcPr>
          <w:p>
            <w:pPr>
              <w:spacing w:after="0"/>
              <w:rPr>
                <w:sz w:val="16"/>
                <w:szCs w:val="16"/>
                <w:color w:val="auto"/>
              </w:rPr>
            </w:pPr>
          </w:p>
        </w:tc>
      </w:tr>
      <w:tr>
        <w:trPr>
          <w:trHeight w:val="230"/>
        </w:trPr>
        <w:tc>
          <w:tcPr>
            <w:tcW w:w="5820" w:type="dxa"/>
            <w:vAlign w:val="bottom"/>
          </w:tcPr>
          <w:p>
            <w:pPr>
              <w:spacing w:after="0"/>
              <w:rPr>
                <w:sz w:val="20"/>
                <w:szCs w:val="20"/>
                <w:color w:val="auto"/>
              </w:rPr>
            </w:pPr>
          </w:p>
        </w:tc>
        <w:tc>
          <w:tcPr>
            <w:tcW w:w="880" w:type="dxa"/>
            <w:vAlign w:val="bottom"/>
          </w:tcPr>
          <w:p>
            <w:pPr>
              <w:ind w:left="260"/>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Assistant Vice President</w:t>
            </w:r>
          </w:p>
        </w:tc>
        <w:tc>
          <w:tcPr>
            <w:tcW w:w="40" w:type="dxa"/>
            <w:vAlign w:val="bottom"/>
          </w:tcPr>
          <w:p>
            <w:pPr>
              <w:spacing w:after="0"/>
              <w:rPr>
                <w:sz w:val="20"/>
                <w:szCs w:val="20"/>
                <w:color w:val="auto"/>
              </w:rPr>
            </w:pPr>
          </w:p>
        </w:tc>
      </w:tr>
      <w:tr>
        <w:trPr>
          <w:trHeight w:val="432"/>
        </w:trPr>
        <w:tc>
          <w:tcPr>
            <w:tcW w:w="6700" w:type="dxa"/>
            <w:vAlign w:val="bottom"/>
            <w:gridSpan w:val="2"/>
          </w:tcPr>
          <w:p>
            <w:pPr>
              <w:jc w:val="right"/>
              <w:ind w:right="770"/>
              <w:spacing w:after="0"/>
              <w:rPr>
                <w:sz w:val="20"/>
                <w:szCs w:val="20"/>
                <w:color w:val="auto"/>
              </w:rPr>
            </w:pPr>
            <w:r>
              <w:rPr>
                <w:rFonts w:ascii="Arial" w:cs="Arial" w:eastAsia="Arial" w:hAnsi="Arial"/>
                <w:sz w:val="18"/>
                <w:szCs w:val="18"/>
                <w:color w:val="auto"/>
              </w:rPr>
              <w:t>109</w:t>
            </w:r>
          </w:p>
        </w:tc>
        <w:tc>
          <w:tcPr>
            <w:tcW w:w="4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82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4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WACHOVIA BANK, NATIONAL</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ASSOCIATION,</w:t>
      </w:r>
    </w:p>
    <w:p>
      <w:pPr>
        <w:sectPr>
          <w:pgSz w:w="11900" w:h="16838" w:orient="portrait"/>
          <w:cols w:equalWidth="0" w:num="1">
            <w:col w:w="11460"/>
          </w:cols>
          <w:pgMar w:left="240" w:top="337" w:right="199" w:bottom="0" w:gutter="0" w:footer="0" w:header="0"/>
        </w:sectPr>
      </w:pPr>
    </w:p>
    <w:bookmarkStart w:id="60" w:name="page61"/>
    <w:bookmarkEnd w:id="60"/>
    <w:p>
      <w:pPr>
        <w:ind w:left="4260"/>
        <w:spacing w:after="0"/>
        <w:rPr>
          <w:sz w:val="20"/>
          <w:szCs w:val="20"/>
          <w:color w:val="auto"/>
        </w:rPr>
      </w:pPr>
      <w:r>
        <w:rPr>
          <w:rFonts w:ascii="Arial" w:cs="Arial" w:eastAsia="Arial" w:hAnsi="Arial"/>
          <w:sz w:val="18"/>
          <w:szCs w:val="18"/>
          <w:color w:val="auto"/>
        </w:rPr>
        <w:t>Co-Syndication Agent and a Lender</w:t>
      </w:r>
    </w:p>
    <w:p>
      <w:pPr>
        <w:spacing w:after="0" w:line="200" w:lineRule="exact"/>
        <w:rPr>
          <w:sz w:val="20"/>
          <w:szCs w:val="20"/>
          <w:color w:val="auto"/>
        </w:rPr>
      </w:pPr>
    </w:p>
    <w:p>
      <w:pPr>
        <w:spacing w:after="0" w:line="24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Shawn Young</w:t>
      </w:r>
    </w:p>
    <w:p>
      <w:pPr>
        <w:spacing w:after="0" w:line="2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Name:</w:t>
        <w:tab/>
        <w:t>Shawn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0" w:lineRule="exact"/>
        <w:rPr>
          <w:sz w:val="20"/>
          <w:szCs w:val="20"/>
          <w:color w:val="auto"/>
        </w:rPr>
      </w:pPr>
    </w:p>
    <w:p>
      <w:pPr>
        <w:spacing w:after="0" w:line="2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WACHOVIA CAPITAL FINANCE</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CORPORATION (CANADA), a Canadian Lender</w:t>
      </w:r>
    </w:p>
    <w:p>
      <w:pPr>
        <w:spacing w:after="0" w:line="200" w:lineRule="exact"/>
        <w:rPr>
          <w:sz w:val="20"/>
          <w:szCs w:val="20"/>
          <w:color w:val="auto"/>
        </w:rPr>
      </w:pPr>
    </w:p>
    <w:p>
      <w:pPr>
        <w:spacing w:after="0" w:line="250"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Enza Agosta</w:t>
      </w:r>
    </w:p>
    <w:p>
      <w:pPr>
        <w:spacing w:after="0" w:line="2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Name:</w:t>
        <w:tab/>
        <w:t>Enza Agosta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Co-Syndication Agent and a Lender</w:t>
      </w:r>
    </w:p>
    <w:p>
      <w:pPr>
        <w:spacing w:after="0" w:line="200" w:lineRule="exact"/>
        <w:rPr>
          <w:sz w:val="20"/>
          <w:szCs w:val="20"/>
          <w:color w:val="auto"/>
        </w:rPr>
      </w:pPr>
    </w:p>
    <w:p>
      <w:pPr>
        <w:spacing w:after="0" w:line="227"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Tara Narasiman</w:t>
      </w:r>
    </w:p>
    <w:p>
      <w:pPr>
        <w:spacing w:after="0" w:line="2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Name:</w:t>
        <w:tab/>
        <w:t>Tara Narasiman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Associate</w:t>
      </w:r>
    </w:p>
    <w:p>
      <w:pPr>
        <w:spacing w:after="0" w:line="200" w:lineRule="exact"/>
        <w:rPr>
          <w:sz w:val="20"/>
          <w:szCs w:val="20"/>
          <w:color w:val="auto"/>
        </w:rPr>
      </w:pPr>
    </w:p>
    <w:p>
      <w:pPr>
        <w:spacing w:after="0" w:line="2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TORONTO BRANCH, a Canadian Lender</w:t>
      </w:r>
    </w:p>
    <w:p>
      <w:pPr>
        <w:spacing w:after="0" w:line="200" w:lineRule="exact"/>
        <w:rPr>
          <w:sz w:val="20"/>
          <w:szCs w:val="20"/>
          <w:color w:val="auto"/>
        </w:rPr>
      </w:pPr>
    </w:p>
    <w:p>
      <w:pPr>
        <w:spacing w:after="0" w:line="227"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Tara Narasiman</w:t>
      </w:r>
    </w:p>
    <w:p>
      <w:pPr>
        <w:spacing w:after="0" w:line="2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Name:</w:t>
        <w:tab/>
        <w:t>Tara Narasiman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Associate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Co-Documentation Agent and a Lender</w:t>
      </w:r>
    </w:p>
    <w:p>
      <w:pPr>
        <w:spacing w:after="0" w:line="200" w:lineRule="exact"/>
        <w:rPr>
          <w:sz w:val="20"/>
          <w:szCs w:val="20"/>
          <w:color w:val="auto"/>
        </w:rPr>
      </w:pPr>
    </w:p>
    <w:p>
      <w:pPr>
        <w:spacing w:after="0" w:line="227"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Todd J. Mogil</w:t>
      </w:r>
    </w:p>
    <w:p>
      <w:pPr>
        <w:spacing w:after="0" w:line="2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Name:</w:t>
        <w:tab/>
        <w:t>Todd J. Mogil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w:t>
      </w:r>
    </w:p>
    <w:p>
      <w:pPr>
        <w:spacing w:after="0" w:line="200" w:lineRule="exact"/>
        <w:rPr>
          <w:sz w:val="20"/>
          <w:szCs w:val="20"/>
          <w:color w:val="auto"/>
        </w:rPr>
      </w:pPr>
    </w:p>
    <w:p>
      <w:pPr>
        <w:spacing w:after="0" w:line="2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CITIBANK, N.A., Canadian branch,</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 Canadian Lender</w:t>
      </w:r>
    </w:p>
    <w:p>
      <w:pPr>
        <w:spacing w:after="0" w:line="200" w:lineRule="exact"/>
        <w:rPr>
          <w:sz w:val="20"/>
          <w:szCs w:val="20"/>
          <w:color w:val="auto"/>
        </w:rPr>
      </w:pPr>
    </w:p>
    <w:p>
      <w:pPr>
        <w:spacing w:after="0" w:line="227"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Niyousha Zarinpour</w:t>
      </w:r>
    </w:p>
    <w:p>
      <w:pPr>
        <w:spacing w:after="0" w:line="2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Name:</w:t>
        <w:tab/>
        <w:t>Niyousha Zarinpour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Authorised Signer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THE BANK OF NOVA SCOTIA,</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Co-Documentation Agent and a Lender</w:t>
      </w:r>
    </w:p>
    <w:p>
      <w:pPr>
        <w:spacing w:after="0" w:line="200" w:lineRule="exact"/>
        <w:rPr>
          <w:sz w:val="20"/>
          <w:szCs w:val="20"/>
          <w:color w:val="auto"/>
        </w:rPr>
      </w:pPr>
    </w:p>
    <w:p>
      <w:pPr>
        <w:spacing w:after="0" w:line="227"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N. Bell</w:t>
      </w:r>
    </w:p>
    <w:p>
      <w:pPr>
        <w:spacing w:after="0" w:line="2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Name:</w:t>
        <w:tab/>
        <w:t>N.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Manager</w:t>
      </w:r>
    </w:p>
    <w:p>
      <w:pPr>
        <w:spacing w:after="0" w:line="200" w:lineRule="exact"/>
        <w:rPr>
          <w:sz w:val="20"/>
          <w:szCs w:val="20"/>
          <w:color w:val="auto"/>
        </w:rPr>
      </w:pPr>
    </w:p>
    <w:p>
      <w:pPr>
        <w:spacing w:after="0" w:line="2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THE BANK OF NOVA SCOTIA,</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 Canadian Lender</w:t>
      </w:r>
    </w:p>
    <w:p>
      <w:pPr>
        <w:sectPr>
          <w:pgSz w:w="11900" w:h="16838" w:orient="portrait"/>
          <w:cols w:equalWidth="0" w:num="1">
            <w:col w:w="9019"/>
          </w:cols>
          <w:pgMar w:left="1440" w:top="125" w:right="1440" w:bottom="72" w:gutter="0" w:footer="0" w:header="0"/>
        </w:sectPr>
      </w:pPr>
    </w:p>
    <w:bookmarkStart w:id="61" w:name="page62"/>
    <w:bookmarkEnd w:id="61"/>
    <w:p>
      <w:pPr>
        <w:ind w:left="5460"/>
        <w:spacing w:after="0"/>
        <w:tabs>
          <w:tab w:leader="none" w:pos="5900" w:val="left"/>
        </w:tabs>
        <w:rPr>
          <w:sz w:val="20"/>
          <w:szCs w:val="20"/>
          <w:color w:val="auto"/>
        </w:rPr>
      </w:pPr>
      <w:r>
        <w:rPr>
          <w:rFonts w:ascii="Arial" w:cs="Arial" w:eastAsia="Arial" w:hAnsi="Arial"/>
          <w:sz w:val="18"/>
          <w:szCs w:val="18"/>
          <w:color w:val="auto"/>
        </w:rPr>
        <w:t>By:</w:t>
        <w:tab/>
        <w:t>/s/ Andrew Kellock</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Andrew Kellock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Associate Director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FORTIS CAPITAL CORP.,</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Co-Documentation Agent and a Lender</w:t>
      </w:r>
    </w:p>
    <w:p>
      <w:pPr>
        <w:spacing w:after="0" w:line="200" w:lineRule="exact"/>
        <w:rPr>
          <w:sz w:val="20"/>
          <w:szCs w:val="20"/>
          <w:color w:val="auto"/>
        </w:rPr>
      </w:pPr>
    </w:p>
    <w:p>
      <w:pPr>
        <w:spacing w:after="0" w:line="227" w:lineRule="exact"/>
        <w:rPr>
          <w:sz w:val="20"/>
          <w:szCs w:val="20"/>
          <w:color w:val="auto"/>
        </w:rPr>
      </w:pPr>
    </w:p>
    <w:tbl>
      <w:tblPr>
        <w:tblLayout w:type="fixed"/>
        <w:tblInd w:w="546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3"/>
              </w:rPr>
              <w:t>/s/</w:t>
            </w:r>
          </w:p>
        </w:tc>
        <w:tc>
          <w:tcPr>
            <w:tcW w:w="53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Deirdre Sanborn</w:t>
            </w:r>
          </w:p>
        </w:tc>
      </w:tr>
      <w:tr>
        <w:trPr>
          <w:trHeight w:val="195"/>
        </w:trPr>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20" w:type="dxa"/>
            <w:vAlign w:val="bottom"/>
          </w:tcPr>
          <w:p>
            <w:pPr>
              <w:ind w:left="120"/>
              <w:spacing w:after="0" w:line="195" w:lineRule="exact"/>
              <w:rPr>
                <w:sz w:val="20"/>
                <w:szCs w:val="20"/>
                <w:color w:val="auto"/>
              </w:rPr>
            </w:pPr>
            <w:r>
              <w:rPr>
                <w:rFonts w:ascii="Arial" w:cs="Arial" w:eastAsia="Arial" w:hAnsi="Arial"/>
                <w:sz w:val="18"/>
                <w:szCs w:val="18"/>
                <w:color w:val="auto"/>
              </w:rPr>
              <w:t>Deirdre Sanborn</w:t>
            </w:r>
          </w:p>
        </w:tc>
      </w:tr>
      <w:tr>
        <w:trPr>
          <w:trHeight w:val="230"/>
        </w:trPr>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648"/>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3"/>
              </w:rPr>
              <w:t>/s/</w:t>
            </w:r>
          </w:p>
        </w:tc>
        <w:tc>
          <w:tcPr>
            <w:tcW w:w="53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Diran Cholakian</w:t>
            </w:r>
          </w:p>
        </w:tc>
      </w:tr>
      <w:tr>
        <w:trPr>
          <w:trHeight w:val="195"/>
        </w:trPr>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20" w:type="dxa"/>
            <w:vAlign w:val="bottom"/>
          </w:tcPr>
          <w:p>
            <w:pPr>
              <w:ind w:left="120"/>
              <w:spacing w:after="0" w:line="195" w:lineRule="exact"/>
              <w:rPr>
                <w:sz w:val="20"/>
                <w:szCs w:val="20"/>
                <w:color w:val="auto"/>
              </w:rPr>
            </w:pPr>
            <w:r>
              <w:rPr>
                <w:rFonts w:ascii="Arial" w:cs="Arial" w:eastAsia="Arial" w:hAnsi="Arial"/>
                <w:sz w:val="18"/>
                <w:szCs w:val="18"/>
                <w:color w:val="auto"/>
              </w:rPr>
              <w:t>Diran Cholakian</w:t>
            </w:r>
          </w:p>
        </w:tc>
      </w:tr>
      <w:tr>
        <w:trPr>
          <w:trHeight w:val="230"/>
        </w:trPr>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SVP, Trade Finance</w:t>
            </w:r>
          </w:p>
        </w:tc>
      </w:tr>
    </w:tbl>
    <w:p>
      <w:pPr>
        <w:spacing w:after="0" w:line="200" w:lineRule="exact"/>
        <w:rPr>
          <w:sz w:val="20"/>
          <w:szCs w:val="20"/>
          <w:color w:val="auto"/>
        </w:rPr>
      </w:pPr>
    </w:p>
    <w:p>
      <w:pPr>
        <w:spacing w:after="0" w:line="21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FORTIS CAPITAL (CANADA) LTD.,</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 Canadian Lender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gridSpan w:val="2"/>
          </w:tcPr>
          <w:p>
            <w:pPr>
              <w:ind w:left="5460"/>
              <w:spacing w:after="0"/>
              <w:rPr>
                <w:sz w:val="20"/>
                <w:szCs w:val="20"/>
                <w:color w:val="auto"/>
              </w:rPr>
            </w:pPr>
            <w:r>
              <w:rPr>
                <w:rFonts w:ascii="Arial" w:cs="Arial" w:eastAsia="Arial" w:hAnsi="Arial"/>
                <w:sz w:val="18"/>
                <w:szCs w:val="18"/>
                <w:color w:val="auto"/>
              </w:rPr>
              <w:t>By:</w:t>
            </w:r>
          </w:p>
        </w:tc>
        <w:tc>
          <w:tcPr>
            <w:tcW w:w="200" w:type="dxa"/>
            <w:vAlign w:val="bottom"/>
          </w:tcPr>
          <w:p>
            <w:pPr>
              <w:ind w:left="40"/>
              <w:spacing w:after="0"/>
              <w:rPr>
                <w:sz w:val="20"/>
                <w:szCs w:val="20"/>
                <w:color w:val="auto"/>
              </w:rPr>
            </w:pPr>
            <w:r>
              <w:rPr>
                <w:rFonts w:ascii="Arial" w:cs="Arial" w:eastAsia="Arial" w:hAnsi="Arial"/>
                <w:sz w:val="18"/>
                <w:szCs w:val="18"/>
                <w:color w:val="auto"/>
                <w:w w:val="73"/>
              </w:rPr>
              <w:t>/s/</w:t>
            </w: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Diran Cholakian</w:t>
            </w:r>
          </w:p>
        </w:tc>
        <w:tc>
          <w:tcPr>
            <w:tcW w:w="40" w:type="dxa"/>
            <w:vAlign w:val="bottom"/>
          </w:tcPr>
          <w:p>
            <w:pPr>
              <w:spacing w:after="0"/>
              <w:rPr>
                <w:sz w:val="20"/>
                <w:szCs w:val="20"/>
                <w:color w:val="auto"/>
              </w:rPr>
            </w:pPr>
          </w:p>
        </w:tc>
      </w:tr>
      <w:tr>
        <w:trPr>
          <w:trHeight w:val="195"/>
        </w:trPr>
        <w:tc>
          <w:tcPr>
            <w:tcW w:w="58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Diran Cholakian</w:t>
            </w:r>
          </w:p>
        </w:tc>
        <w:tc>
          <w:tcPr>
            <w:tcW w:w="40" w:type="dxa"/>
            <w:vAlign w:val="bottom"/>
          </w:tcPr>
          <w:p>
            <w:pPr>
              <w:spacing w:after="0"/>
              <w:rPr>
                <w:sz w:val="16"/>
                <w:szCs w:val="16"/>
                <w:color w:val="auto"/>
              </w:rPr>
            </w:pPr>
          </w:p>
        </w:tc>
      </w:tr>
      <w:tr>
        <w:trPr>
          <w:trHeight w:val="230"/>
        </w:trPr>
        <w:tc>
          <w:tcPr>
            <w:tcW w:w="5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SVP, Trade Finance</w:t>
            </w:r>
          </w:p>
        </w:tc>
        <w:tc>
          <w:tcPr>
            <w:tcW w:w="40" w:type="dxa"/>
            <w:vAlign w:val="bottom"/>
          </w:tcPr>
          <w:p>
            <w:pPr>
              <w:spacing w:after="0"/>
              <w:rPr>
                <w:sz w:val="20"/>
                <w:szCs w:val="20"/>
                <w:color w:val="auto"/>
              </w:rPr>
            </w:pPr>
          </w:p>
        </w:tc>
      </w:tr>
      <w:tr>
        <w:trPr>
          <w:trHeight w:val="648"/>
        </w:trPr>
        <w:tc>
          <w:tcPr>
            <w:tcW w:w="5880" w:type="dxa"/>
            <w:vAlign w:val="bottom"/>
            <w:gridSpan w:val="2"/>
          </w:tcPr>
          <w:p>
            <w:pPr>
              <w:ind w:left="5460"/>
              <w:spacing w:after="0"/>
              <w:rPr>
                <w:sz w:val="20"/>
                <w:szCs w:val="20"/>
                <w:color w:val="auto"/>
              </w:rPr>
            </w:pPr>
            <w:r>
              <w:rPr>
                <w:rFonts w:ascii="Arial" w:cs="Arial" w:eastAsia="Arial" w:hAnsi="Arial"/>
                <w:sz w:val="18"/>
                <w:szCs w:val="18"/>
                <w:color w:val="auto"/>
              </w:rPr>
              <w:t>By:</w:t>
            </w:r>
          </w:p>
        </w:tc>
        <w:tc>
          <w:tcPr>
            <w:tcW w:w="5540" w:type="dxa"/>
            <w:vAlign w:val="bottom"/>
            <w:gridSpan w:val="3"/>
          </w:tcPr>
          <w:p>
            <w:pPr>
              <w:ind w:left="40"/>
              <w:spacing w:after="0"/>
              <w:rPr>
                <w:sz w:val="20"/>
                <w:szCs w:val="20"/>
                <w:color w:val="auto"/>
              </w:rPr>
            </w:pPr>
            <w:r>
              <w:rPr>
                <w:rFonts w:ascii="Arial" w:cs="Arial" w:eastAsia="Arial" w:hAnsi="Arial"/>
                <w:sz w:val="18"/>
                <w:szCs w:val="18"/>
                <w:color w:val="auto"/>
              </w:rPr>
              <w:t>/s/ Doug Clark</w:t>
            </w:r>
          </w:p>
        </w:tc>
        <w:tc>
          <w:tcPr>
            <w:tcW w:w="40" w:type="dxa"/>
            <w:vAlign w:val="bottom"/>
          </w:tcPr>
          <w:p>
            <w:pPr>
              <w:spacing w:after="0"/>
              <w:rPr>
                <w:sz w:val="24"/>
                <w:szCs w:val="24"/>
                <w:color w:val="auto"/>
              </w:rPr>
            </w:pPr>
          </w:p>
        </w:tc>
      </w:tr>
      <w:tr>
        <w:trPr>
          <w:trHeight w:val="195"/>
        </w:trPr>
        <w:tc>
          <w:tcPr>
            <w:tcW w:w="58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Doug Clark</w:t>
            </w:r>
          </w:p>
        </w:tc>
        <w:tc>
          <w:tcPr>
            <w:tcW w:w="40" w:type="dxa"/>
            <w:vAlign w:val="bottom"/>
          </w:tcPr>
          <w:p>
            <w:pPr>
              <w:spacing w:after="0"/>
              <w:rPr>
                <w:sz w:val="16"/>
                <w:szCs w:val="16"/>
                <w:color w:val="auto"/>
              </w:rPr>
            </w:pPr>
          </w:p>
        </w:tc>
      </w:tr>
      <w:tr>
        <w:trPr>
          <w:trHeight w:val="230"/>
        </w:trPr>
        <w:tc>
          <w:tcPr>
            <w:tcW w:w="5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SVP, Global Oil &amp; Gas</w:t>
            </w:r>
          </w:p>
        </w:tc>
        <w:tc>
          <w:tcPr>
            <w:tcW w:w="40" w:type="dxa"/>
            <w:vAlign w:val="bottom"/>
          </w:tcPr>
          <w:p>
            <w:pPr>
              <w:spacing w:after="0"/>
              <w:rPr>
                <w:sz w:val="20"/>
                <w:szCs w:val="20"/>
                <w:color w:val="auto"/>
              </w:rPr>
            </w:pPr>
          </w:p>
        </w:tc>
      </w:tr>
      <w:tr>
        <w:trPr>
          <w:trHeight w:val="432"/>
        </w:trPr>
        <w:tc>
          <w:tcPr>
            <w:tcW w:w="5880" w:type="dxa"/>
            <w:vAlign w:val="bottom"/>
            <w:gridSpan w:val="2"/>
          </w:tcPr>
          <w:p>
            <w:pPr>
              <w:ind w:left="5580"/>
              <w:spacing w:after="0"/>
              <w:rPr>
                <w:sz w:val="20"/>
                <w:szCs w:val="20"/>
                <w:color w:val="auto"/>
              </w:rPr>
            </w:pPr>
            <w:r>
              <w:rPr>
                <w:rFonts w:ascii="Arial" w:cs="Arial" w:eastAsia="Arial" w:hAnsi="Arial"/>
                <w:sz w:val="18"/>
                <w:szCs w:val="18"/>
                <w:color w:val="auto"/>
                <w:w w:val="93"/>
              </w:rPr>
              <w:t>114</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420" w:type="dxa"/>
            <w:vAlign w:val="bottom"/>
            <w:tcBorders>
              <w:bottom w:val="single" w:sz="8" w:color="010101"/>
            </w:tcBorders>
            <w:gridSpan w:val="5"/>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66"/>
        </w:trPr>
        <w:tc>
          <w:tcPr>
            <w:tcW w:w="11420" w:type="dxa"/>
            <w:vAlign w:val="bottom"/>
            <w:gridSpan w:val="5"/>
          </w:tcPr>
          <w:p>
            <w:pPr>
              <w:ind w:left="5460"/>
              <w:spacing w:after="0"/>
              <w:rPr>
                <w:sz w:val="20"/>
                <w:szCs w:val="20"/>
                <w:color w:val="auto"/>
              </w:rPr>
            </w:pPr>
            <w:r>
              <w:rPr>
                <w:rFonts w:ascii="Arial" w:cs="Arial" w:eastAsia="Arial" w:hAnsi="Arial"/>
                <w:sz w:val="18"/>
                <w:szCs w:val="18"/>
                <w:color w:val="auto"/>
              </w:rPr>
              <w:t>UBS LOAN FINANCE LLC,</w:t>
            </w:r>
          </w:p>
        </w:tc>
        <w:tc>
          <w:tcPr>
            <w:tcW w:w="40" w:type="dxa"/>
            <w:vAlign w:val="bottom"/>
          </w:tcPr>
          <w:p>
            <w:pPr>
              <w:spacing w:after="0"/>
              <w:rPr>
                <w:sz w:val="24"/>
                <w:szCs w:val="24"/>
                <w:color w:val="auto"/>
              </w:rPr>
            </w:pPr>
          </w:p>
        </w:tc>
      </w:tr>
      <w:tr>
        <w:trPr>
          <w:trHeight w:val="230"/>
        </w:trPr>
        <w:tc>
          <w:tcPr>
            <w:tcW w:w="6700" w:type="dxa"/>
            <w:vAlign w:val="bottom"/>
            <w:gridSpan w:val="4"/>
          </w:tcPr>
          <w:p>
            <w:pPr>
              <w:ind w:left="5460"/>
              <w:spacing w:after="0"/>
              <w:rPr>
                <w:sz w:val="20"/>
                <w:szCs w:val="20"/>
                <w:color w:val="auto"/>
              </w:rPr>
            </w:pPr>
            <w:r>
              <w:rPr>
                <w:rFonts w:ascii="Arial" w:cs="Arial" w:eastAsia="Arial" w:hAnsi="Arial"/>
                <w:sz w:val="18"/>
                <w:szCs w:val="18"/>
                <w:color w:val="auto"/>
              </w:rPr>
              <w:t>a Lender</w:t>
            </w:r>
          </w:p>
        </w:tc>
        <w:tc>
          <w:tcPr>
            <w:tcW w:w="4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5880" w:type="dxa"/>
            <w:vAlign w:val="bottom"/>
            <w:gridSpan w:val="2"/>
          </w:tcPr>
          <w:p>
            <w:pPr>
              <w:ind w:left="5460"/>
              <w:spacing w:after="0"/>
              <w:rPr>
                <w:sz w:val="20"/>
                <w:szCs w:val="20"/>
                <w:color w:val="auto"/>
              </w:rPr>
            </w:pPr>
            <w:r>
              <w:rPr>
                <w:rFonts w:ascii="Arial" w:cs="Arial" w:eastAsia="Arial" w:hAnsi="Arial"/>
                <w:sz w:val="18"/>
                <w:szCs w:val="18"/>
                <w:color w:val="auto"/>
              </w:rPr>
              <w:t>By:</w:t>
            </w:r>
          </w:p>
        </w:tc>
        <w:tc>
          <w:tcPr>
            <w:tcW w:w="200" w:type="dxa"/>
            <w:vAlign w:val="bottom"/>
          </w:tcPr>
          <w:p>
            <w:pPr>
              <w:ind w:left="40"/>
              <w:spacing w:after="0"/>
              <w:rPr>
                <w:sz w:val="20"/>
                <w:szCs w:val="20"/>
                <w:color w:val="auto"/>
              </w:rPr>
            </w:pPr>
            <w:r>
              <w:rPr>
                <w:rFonts w:ascii="Arial" w:cs="Arial" w:eastAsia="Arial" w:hAnsi="Arial"/>
                <w:sz w:val="18"/>
                <w:szCs w:val="18"/>
                <w:color w:val="auto"/>
                <w:w w:val="73"/>
              </w:rPr>
              <w:t>/s/</w:t>
            </w: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Richard L. Tavrow</w:t>
            </w:r>
          </w:p>
        </w:tc>
        <w:tc>
          <w:tcPr>
            <w:tcW w:w="40" w:type="dxa"/>
            <w:vAlign w:val="bottom"/>
          </w:tcPr>
          <w:p>
            <w:pPr>
              <w:spacing w:after="0"/>
              <w:rPr>
                <w:sz w:val="24"/>
                <w:szCs w:val="24"/>
                <w:color w:val="auto"/>
              </w:rPr>
            </w:pPr>
          </w:p>
        </w:tc>
      </w:tr>
      <w:tr>
        <w:trPr>
          <w:trHeight w:val="195"/>
        </w:trPr>
        <w:tc>
          <w:tcPr>
            <w:tcW w:w="58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Richard L. Tavrow</w:t>
            </w:r>
          </w:p>
        </w:tc>
        <w:tc>
          <w:tcPr>
            <w:tcW w:w="40" w:type="dxa"/>
            <w:vAlign w:val="bottom"/>
          </w:tcPr>
          <w:p>
            <w:pPr>
              <w:spacing w:after="0"/>
              <w:rPr>
                <w:sz w:val="16"/>
                <w:szCs w:val="16"/>
                <w:color w:val="auto"/>
              </w:rPr>
            </w:pPr>
          </w:p>
        </w:tc>
      </w:tr>
      <w:tr>
        <w:trPr>
          <w:trHeight w:val="216"/>
        </w:trPr>
        <w:tc>
          <w:tcPr>
            <w:tcW w:w="5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230"/>
        </w:trPr>
        <w:tc>
          <w:tcPr>
            <w:tcW w:w="5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Banking Products Services, US</w:t>
            </w:r>
          </w:p>
        </w:tc>
        <w:tc>
          <w:tcPr>
            <w:tcW w:w="40" w:type="dxa"/>
            <w:vAlign w:val="bottom"/>
          </w:tcPr>
          <w:p>
            <w:pPr>
              <w:spacing w:after="0"/>
              <w:rPr>
                <w:sz w:val="20"/>
                <w:szCs w:val="20"/>
                <w:color w:val="auto"/>
              </w:rPr>
            </w:pPr>
          </w:p>
        </w:tc>
      </w:tr>
      <w:tr>
        <w:trPr>
          <w:trHeight w:val="648"/>
        </w:trPr>
        <w:tc>
          <w:tcPr>
            <w:tcW w:w="5880" w:type="dxa"/>
            <w:vAlign w:val="bottom"/>
            <w:gridSpan w:val="2"/>
          </w:tcPr>
          <w:p>
            <w:pPr>
              <w:ind w:left="5460"/>
              <w:spacing w:after="0"/>
              <w:rPr>
                <w:sz w:val="20"/>
                <w:szCs w:val="20"/>
                <w:color w:val="auto"/>
              </w:rPr>
            </w:pPr>
            <w:r>
              <w:rPr>
                <w:rFonts w:ascii="Arial" w:cs="Arial" w:eastAsia="Arial" w:hAnsi="Arial"/>
                <w:sz w:val="18"/>
                <w:szCs w:val="18"/>
                <w:color w:val="auto"/>
              </w:rPr>
              <w:t>By:</w:t>
            </w:r>
          </w:p>
        </w:tc>
        <w:tc>
          <w:tcPr>
            <w:tcW w:w="200" w:type="dxa"/>
            <w:vAlign w:val="bottom"/>
          </w:tcPr>
          <w:p>
            <w:pPr>
              <w:ind w:left="40"/>
              <w:spacing w:after="0"/>
              <w:rPr>
                <w:sz w:val="20"/>
                <w:szCs w:val="20"/>
                <w:color w:val="auto"/>
              </w:rPr>
            </w:pPr>
            <w:r>
              <w:rPr>
                <w:rFonts w:ascii="Arial" w:cs="Arial" w:eastAsia="Arial" w:hAnsi="Arial"/>
                <w:sz w:val="18"/>
                <w:szCs w:val="18"/>
                <w:color w:val="auto"/>
                <w:w w:val="73"/>
              </w:rPr>
              <w:t>/s/</w:t>
            </w: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Irja R. Otsa</w:t>
            </w:r>
          </w:p>
        </w:tc>
        <w:tc>
          <w:tcPr>
            <w:tcW w:w="40" w:type="dxa"/>
            <w:vAlign w:val="bottom"/>
          </w:tcPr>
          <w:p>
            <w:pPr>
              <w:spacing w:after="0"/>
              <w:rPr>
                <w:sz w:val="24"/>
                <w:szCs w:val="24"/>
                <w:color w:val="auto"/>
              </w:rPr>
            </w:pPr>
          </w:p>
        </w:tc>
      </w:tr>
      <w:tr>
        <w:trPr>
          <w:trHeight w:val="195"/>
        </w:trPr>
        <w:tc>
          <w:tcPr>
            <w:tcW w:w="58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Irja R. Otsa</w:t>
            </w:r>
          </w:p>
        </w:tc>
        <w:tc>
          <w:tcPr>
            <w:tcW w:w="40" w:type="dxa"/>
            <w:vAlign w:val="bottom"/>
          </w:tcPr>
          <w:p>
            <w:pPr>
              <w:spacing w:after="0"/>
              <w:rPr>
                <w:sz w:val="16"/>
                <w:szCs w:val="16"/>
                <w:color w:val="auto"/>
              </w:rPr>
            </w:pPr>
          </w:p>
        </w:tc>
      </w:tr>
      <w:tr>
        <w:trPr>
          <w:trHeight w:val="216"/>
        </w:trPr>
        <w:tc>
          <w:tcPr>
            <w:tcW w:w="5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Associate Director</w:t>
            </w:r>
          </w:p>
        </w:tc>
        <w:tc>
          <w:tcPr>
            <w:tcW w:w="40" w:type="dxa"/>
            <w:vAlign w:val="bottom"/>
          </w:tcPr>
          <w:p>
            <w:pPr>
              <w:spacing w:after="0"/>
              <w:rPr>
                <w:sz w:val="18"/>
                <w:szCs w:val="18"/>
                <w:color w:val="auto"/>
              </w:rPr>
            </w:pPr>
          </w:p>
        </w:tc>
      </w:tr>
      <w:tr>
        <w:trPr>
          <w:trHeight w:val="230"/>
        </w:trPr>
        <w:tc>
          <w:tcPr>
            <w:tcW w:w="5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Banking Products Services, US</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-2325370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-2325370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9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UBS AG, CANADA BRANCH,</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 Canadian Lender</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Loba Lumbantobing</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Loba Lumbantobing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Associate Director</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Banking Products Services, US</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Barbara Ezell-McMichael</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Barbara Ezell-McMichael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Associate Director</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Banking Products Services, US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BNP PARIBAS,</w:t>
      </w:r>
    </w:p>
    <w:p>
      <w:pPr>
        <w:sectPr>
          <w:pgSz w:w="11900" w:h="16838" w:orient="portrait"/>
          <w:cols w:equalWidth="0" w:num="1">
            <w:col w:w="11460"/>
          </w:cols>
          <w:pgMar w:left="240" w:top="125" w:right="199" w:bottom="0" w:gutter="0" w:footer="0" w:header="0"/>
          <w:type w:val="continuous"/>
        </w:sectPr>
      </w:pPr>
    </w:p>
    <w:bookmarkStart w:id="62" w:name="page63"/>
    <w:bookmarkEnd w:id="62"/>
    <w:p>
      <w:pPr>
        <w:ind w:left="5460"/>
        <w:spacing w:after="0"/>
        <w:rPr>
          <w:sz w:val="20"/>
          <w:szCs w:val="20"/>
          <w:color w:val="auto"/>
        </w:rPr>
      </w:pPr>
      <w:r>
        <w:rPr>
          <w:rFonts w:ascii="Arial" w:cs="Arial" w:eastAsia="Arial" w:hAnsi="Arial"/>
          <w:sz w:val="18"/>
          <w:szCs w:val="18"/>
          <w:color w:val="auto"/>
        </w:rPr>
        <w:t>Co-Documentation Agent and a Lender</w:t>
      </w:r>
    </w:p>
    <w:p>
      <w:pPr>
        <w:spacing w:after="0" w:line="200" w:lineRule="exact"/>
        <w:rPr>
          <w:sz w:val="20"/>
          <w:szCs w:val="20"/>
          <w:color w:val="auto"/>
        </w:rPr>
      </w:pPr>
    </w:p>
    <w:p>
      <w:pPr>
        <w:spacing w:after="0" w:line="241"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Marcie Weiss</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Marcie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Richard J. Wernli</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Richard J. Wernli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2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BNP PARIBAS CANADA, a Canadian Lender</w:t>
      </w:r>
    </w:p>
    <w:p>
      <w:pPr>
        <w:spacing w:after="0" w:line="200" w:lineRule="exact"/>
        <w:rPr>
          <w:sz w:val="20"/>
          <w:szCs w:val="20"/>
          <w:color w:val="auto"/>
        </w:rPr>
      </w:pPr>
    </w:p>
    <w:p>
      <w:pPr>
        <w:spacing w:after="0" w:line="241"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Edward Pak</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Edward 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Jean-Philippe Cadot</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Jean-Philippe Cadot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Co-Documentation Agent and a Lender</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Kelley Brandenburg</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Kelley Brandenburg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DNB NOR BANK ASA,</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Managing Agent and a Lender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gridSpan w:val="2"/>
          </w:tcPr>
          <w:p>
            <w:pPr>
              <w:ind w:left="5460"/>
              <w:spacing w:after="0"/>
              <w:rPr>
                <w:sz w:val="20"/>
                <w:szCs w:val="20"/>
                <w:color w:val="auto"/>
              </w:rPr>
            </w:pPr>
            <w:r>
              <w:rPr>
                <w:rFonts w:ascii="Arial" w:cs="Arial" w:eastAsia="Arial" w:hAnsi="Arial"/>
                <w:sz w:val="18"/>
                <w:szCs w:val="18"/>
                <w:color w:val="auto"/>
              </w:rPr>
              <w:t>By:</w:t>
            </w:r>
          </w:p>
        </w:tc>
        <w:tc>
          <w:tcPr>
            <w:tcW w:w="5540" w:type="dxa"/>
            <w:vAlign w:val="bottom"/>
            <w:gridSpan w:val="2"/>
          </w:tcPr>
          <w:p>
            <w:pPr>
              <w:ind w:left="40"/>
              <w:spacing w:after="0"/>
              <w:rPr>
                <w:sz w:val="20"/>
                <w:szCs w:val="20"/>
                <w:color w:val="auto"/>
              </w:rPr>
            </w:pPr>
            <w:r>
              <w:rPr>
                <w:rFonts w:ascii="Arial" w:cs="Arial" w:eastAsia="Arial" w:hAnsi="Arial"/>
                <w:sz w:val="18"/>
                <w:szCs w:val="18"/>
                <w:color w:val="auto"/>
              </w:rPr>
              <w:t>/s/ Philip F. Kurpiewski</w:t>
            </w:r>
          </w:p>
        </w:tc>
        <w:tc>
          <w:tcPr>
            <w:tcW w:w="40" w:type="dxa"/>
            <w:vAlign w:val="bottom"/>
          </w:tcPr>
          <w:p>
            <w:pPr>
              <w:spacing w:after="0"/>
              <w:rPr>
                <w:sz w:val="20"/>
                <w:szCs w:val="20"/>
                <w:color w:val="auto"/>
              </w:rPr>
            </w:pPr>
          </w:p>
        </w:tc>
      </w:tr>
      <w:tr>
        <w:trPr>
          <w:trHeight w:val="195"/>
        </w:trPr>
        <w:tc>
          <w:tcPr>
            <w:tcW w:w="58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Philip F. Kurpiewski</w:t>
            </w:r>
          </w:p>
        </w:tc>
        <w:tc>
          <w:tcPr>
            <w:tcW w:w="40" w:type="dxa"/>
            <w:vAlign w:val="bottom"/>
          </w:tcPr>
          <w:p>
            <w:pPr>
              <w:spacing w:after="0"/>
              <w:rPr>
                <w:sz w:val="16"/>
                <w:szCs w:val="16"/>
                <w:color w:val="auto"/>
              </w:rPr>
            </w:pPr>
          </w:p>
        </w:tc>
      </w:tr>
      <w:tr>
        <w:trPr>
          <w:trHeight w:val="230"/>
        </w:trPr>
        <w:tc>
          <w:tcPr>
            <w:tcW w:w="5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Senior Vice President</w:t>
            </w:r>
          </w:p>
        </w:tc>
        <w:tc>
          <w:tcPr>
            <w:tcW w:w="40" w:type="dxa"/>
            <w:vAlign w:val="bottom"/>
          </w:tcPr>
          <w:p>
            <w:pPr>
              <w:spacing w:after="0"/>
              <w:rPr>
                <w:sz w:val="20"/>
                <w:szCs w:val="20"/>
                <w:color w:val="auto"/>
              </w:rPr>
            </w:pPr>
          </w:p>
        </w:tc>
      </w:tr>
      <w:tr>
        <w:trPr>
          <w:trHeight w:val="648"/>
        </w:trPr>
        <w:tc>
          <w:tcPr>
            <w:tcW w:w="5880" w:type="dxa"/>
            <w:vAlign w:val="bottom"/>
            <w:gridSpan w:val="2"/>
          </w:tcPr>
          <w:p>
            <w:pPr>
              <w:ind w:left="5460"/>
              <w:spacing w:after="0"/>
              <w:rPr>
                <w:sz w:val="20"/>
                <w:szCs w:val="20"/>
                <w:color w:val="auto"/>
              </w:rPr>
            </w:pPr>
            <w:r>
              <w:rPr>
                <w:rFonts w:ascii="Arial" w:cs="Arial" w:eastAsia="Arial" w:hAnsi="Arial"/>
                <w:sz w:val="18"/>
                <w:szCs w:val="18"/>
                <w:color w:val="auto"/>
              </w:rPr>
              <w:t>By:</w:t>
            </w:r>
          </w:p>
        </w:tc>
        <w:tc>
          <w:tcPr>
            <w:tcW w:w="5540" w:type="dxa"/>
            <w:vAlign w:val="bottom"/>
            <w:gridSpan w:val="2"/>
          </w:tcPr>
          <w:p>
            <w:pPr>
              <w:ind w:left="40"/>
              <w:spacing w:after="0"/>
              <w:rPr>
                <w:sz w:val="20"/>
                <w:szCs w:val="20"/>
                <w:color w:val="auto"/>
              </w:rPr>
            </w:pPr>
            <w:r>
              <w:rPr>
                <w:rFonts w:ascii="Arial" w:cs="Arial" w:eastAsia="Arial" w:hAnsi="Arial"/>
                <w:sz w:val="18"/>
                <w:szCs w:val="18"/>
                <w:color w:val="auto"/>
              </w:rPr>
              <w:t>/s/ Giacomo Landi</w:t>
            </w:r>
          </w:p>
        </w:tc>
        <w:tc>
          <w:tcPr>
            <w:tcW w:w="40" w:type="dxa"/>
            <w:vAlign w:val="bottom"/>
          </w:tcPr>
          <w:p>
            <w:pPr>
              <w:spacing w:after="0"/>
              <w:rPr>
                <w:sz w:val="24"/>
                <w:szCs w:val="24"/>
                <w:color w:val="auto"/>
              </w:rPr>
            </w:pPr>
          </w:p>
        </w:tc>
      </w:tr>
      <w:tr>
        <w:trPr>
          <w:trHeight w:val="195"/>
        </w:trPr>
        <w:tc>
          <w:tcPr>
            <w:tcW w:w="58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Giacomo Landi</w:t>
            </w:r>
          </w:p>
        </w:tc>
        <w:tc>
          <w:tcPr>
            <w:tcW w:w="40" w:type="dxa"/>
            <w:vAlign w:val="bottom"/>
          </w:tcPr>
          <w:p>
            <w:pPr>
              <w:spacing w:after="0"/>
              <w:rPr>
                <w:sz w:val="16"/>
                <w:szCs w:val="16"/>
                <w:color w:val="auto"/>
              </w:rPr>
            </w:pPr>
          </w:p>
        </w:tc>
      </w:tr>
      <w:tr>
        <w:trPr>
          <w:trHeight w:val="230"/>
        </w:trPr>
        <w:tc>
          <w:tcPr>
            <w:tcW w:w="5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First Vice President</w:t>
            </w:r>
          </w:p>
        </w:tc>
        <w:tc>
          <w:tcPr>
            <w:tcW w:w="40" w:type="dxa"/>
            <w:vAlign w:val="bottom"/>
          </w:tcPr>
          <w:p>
            <w:pPr>
              <w:spacing w:after="0"/>
              <w:rPr>
                <w:sz w:val="20"/>
                <w:szCs w:val="20"/>
                <w:color w:val="auto"/>
              </w:rPr>
            </w:pPr>
          </w:p>
        </w:tc>
      </w:tr>
      <w:tr>
        <w:trPr>
          <w:trHeight w:val="432"/>
        </w:trPr>
        <w:tc>
          <w:tcPr>
            <w:tcW w:w="588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8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8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4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WELLS FARGO BANK, N.A.</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Managing Agent and a Lender</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Jo Ann Vasquez</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Jo Ann Vasquez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THE BANK OF TOKYO-MITSUBISHI UFJ,</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LTD., NEW YORK BRANCH,</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Managing Agent and a Lender</w:t>
      </w:r>
    </w:p>
    <w:p>
      <w:pPr>
        <w:sectPr>
          <w:pgSz w:w="11900" w:h="16838" w:orient="portrait"/>
          <w:cols w:equalWidth="0" w:num="1">
            <w:col w:w="11460"/>
          </w:cols>
          <w:pgMar w:left="240" w:top="125" w:right="199" w:bottom="0" w:gutter="0" w:footer="0" w:header="0"/>
        </w:sectPr>
      </w:pPr>
    </w:p>
    <w:bookmarkStart w:id="63" w:name="page64"/>
    <w:bookmarkEnd w:id="63"/>
    <w:p>
      <w:pPr>
        <w:ind w:left="5460"/>
        <w:spacing w:after="0"/>
        <w:tabs>
          <w:tab w:leader="none" w:pos="5900" w:val="left"/>
        </w:tabs>
        <w:rPr>
          <w:sz w:val="20"/>
          <w:szCs w:val="20"/>
          <w:color w:val="auto"/>
        </w:rPr>
      </w:pPr>
      <w:r>
        <w:rPr>
          <w:rFonts w:ascii="Arial" w:cs="Arial" w:eastAsia="Arial" w:hAnsi="Arial"/>
          <w:sz w:val="18"/>
          <w:szCs w:val="18"/>
          <w:color w:val="auto"/>
        </w:rPr>
        <w:t>By:</w:t>
        <w:tab/>
        <w:t>/s/ Billy Tracy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Billy Tracy,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SUMITOMO MITSUI BANKING</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CORPORATION, Managing Agent and a Lender</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William M. Ginn</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William M. Ginn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General Manager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COMERICA BANK,</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 Lender</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Juli Bieser</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Juli Bieser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0" w:lineRule="exact"/>
        <w:rPr>
          <w:sz w:val="20"/>
          <w:szCs w:val="20"/>
          <w:color w:val="auto"/>
        </w:rPr>
      </w:pPr>
    </w:p>
    <w:p>
      <w:pPr>
        <w:spacing w:after="0" w:line="22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COMERICA BANK, CANADA BRANCH,</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 Lender</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John H. Tan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Pr>
          <w:p>
            <w:pPr>
              <w:spacing w:after="0"/>
              <w:rPr>
                <w:sz w:val="16"/>
                <w:szCs w:val="16"/>
                <w:color w:val="auto"/>
              </w:rPr>
            </w:pPr>
          </w:p>
        </w:tc>
        <w:tc>
          <w:tcPr>
            <w:tcW w:w="880" w:type="dxa"/>
            <w:vAlign w:val="bottom"/>
            <w:tcBorders>
              <w:top w:val="single" w:sz="8" w:color="auto"/>
            </w:tcBorders>
          </w:tcPr>
          <w:p>
            <w:pPr>
              <w:ind w:left="260"/>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John H. Tan</w:t>
            </w:r>
          </w:p>
        </w:tc>
        <w:tc>
          <w:tcPr>
            <w:tcW w:w="40" w:type="dxa"/>
            <w:vAlign w:val="bottom"/>
          </w:tcPr>
          <w:p>
            <w:pPr>
              <w:spacing w:after="0"/>
              <w:rPr>
                <w:sz w:val="16"/>
                <w:szCs w:val="16"/>
                <w:color w:val="auto"/>
              </w:rPr>
            </w:pPr>
          </w:p>
        </w:tc>
      </w:tr>
      <w:tr>
        <w:trPr>
          <w:trHeight w:val="216"/>
        </w:trPr>
        <w:tc>
          <w:tcPr>
            <w:tcW w:w="5820" w:type="dxa"/>
            <w:vAlign w:val="bottom"/>
          </w:tcPr>
          <w:p>
            <w:pPr>
              <w:spacing w:after="0"/>
              <w:rPr>
                <w:sz w:val="18"/>
                <w:szCs w:val="18"/>
                <w:color w:val="auto"/>
              </w:rPr>
            </w:pPr>
          </w:p>
        </w:tc>
        <w:tc>
          <w:tcPr>
            <w:tcW w:w="880" w:type="dxa"/>
            <w:vAlign w:val="bottom"/>
          </w:tcPr>
          <w:p>
            <w:pPr>
              <w:ind w:left="260"/>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Managing Director &amp; Principal</w:t>
            </w:r>
          </w:p>
        </w:tc>
        <w:tc>
          <w:tcPr>
            <w:tcW w:w="40" w:type="dxa"/>
            <w:vAlign w:val="bottom"/>
          </w:tcPr>
          <w:p>
            <w:pPr>
              <w:spacing w:after="0"/>
              <w:rPr>
                <w:sz w:val="18"/>
                <w:szCs w:val="18"/>
                <w:color w:val="auto"/>
              </w:rPr>
            </w:pPr>
          </w:p>
        </w:tc>
      </w:tr>
      <w:tr>
        <w:trPr>
          <w:trHeight w:val="230"/>
        </w:trPr>
        <w:tc>
          <w:tcPr>
            <w:tcW w:w="5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20"/>
                <w:szCs w:val="20"/>
                <w:color w:val="auto"/>
              </w:rPr>
            </w:pPr>
          </w:p>
        </w:tc>
      </w:tr>
      <w:tr>
        <w:trPr>
          <w:trHeight w:val="432"/>
        </w:trPr>
        <w:tc>
          <w:tcPr>
            <w:tcW w:w="6700" w:type="dxa"/>
            <w:vAlign w:val="bottom"/>
            <w:gridSpan w:val="2"/>
          </w:tcPr>
          <w:p>
            <w:pPr>
              <w:jc w:val="right"/>
              <w:ind w:right="770"/>
              <w:spacing w:after="0"/>
              <w:rPr>
                <w:sz w:val="20"/>
                <w:szCs w:val="20"/>
                <w:color w:val="auto"/>
              </w:rPr>
            </w:pPr>
            <w:r>
              <w:rPr>
                <w:rFonts w:ascii="Arial" w:cs="Arial" w:eastAsia="Arial" w:hAnsi="Arial"/>
                <w:sz w:val="18"/>
                <w:szCs w:val="18"/>
                <w:color w:val="auto"/>
              </w:rPr>
              <w:t>122</w:t>
            </w:r>
          </w:p>
        </w:tc>
        <w:tc>
          <w:tcPr>
            <w:tcW w:w="4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82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4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BMO CAPITAL MARKETS FINANCING, INC.,</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 Lender</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Cahal Carmody</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Cahal Carmody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0" w:lineRule="exact"/>
        <w:rPr>
          <w:sz w:val="20"/>
          <w:szCs w:val="20"/>
          <w:color w:val="auto"/>
        </w:rPr>
      </w:pPr>
    </w:p>
    <w:p>
      <w:pPr>
        <w:spacing w:after="0" w:line="22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BANK OF MONTREAL, a Lender</w:t>
      </w:r>
    </w:p>
    <w:p>
      <w:pPr>
        <w:spacing w:after="0" w:line="200" w:lineRule="exact"/>
        <w:rPr>
          <w:sz w:val="20"/>
          <w:szCs w:val="20"/>
          <w:color w:val="auto"/>
        </w:rPr>
      </w:pPr>
    </w:p>
    <w:p>
      <w:pPr>
        <w:spacing w:after="0" w:line="241"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John H. Tan</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Cahal Carmody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UNION BANK OF CALIFORNIA, N.A.,</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 Lender</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Kimberly Coil</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Kimberly Coil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0" w:lineRule="exact"/>
        <w:rPr>
          <w:sz w:val="20"/>
          <w:szCs w:val="20"/>
          <w:color w:val="auto"/>
        </w:rPr>
      </w:pPr>
    </w:p>
    <w:p>
      <w:pPr>
        <w:spacing w:after="0" w:line="22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UNION BANK OF CALIFORNIA, N.A.,</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CANADA BRANCH, a Lender</w:t>
      </w:r>
    </w:p>
    <w:p>
      <w:pPr>
        <w:sectPr>
          <w:pgSz w:w="11900" w:h="16838" w:orient="portrait"/>
          <w:cols w:equalWidth="0" w:num="1">
            <w:col w:w="11460"/>
          </w:cols>
          <w:pgMar w:left="240" w:top="341" w:right="199" w:bottom="4" w:gutter="0" w:footer="0" w:header="0"/>
        </w:sectPr>
      </w:pPr>
    </w:p>
    <w:bookmarkStart w:id="64" w:name="page65"/>
    <w:bookmarkEnd w:id="64"/>
    <w:p>
      <w:pPr>
        <w:ind w:left="4260"/>
        <w:spacing w:after="0"/>
        <w:tabs>
          <w:tab w:leader="none" w:pos="4700" w:val="left"/>
        </w:tabs>
        <w:rPr>
          <w:sz w:val="20"/>
          <w:szCs w:val="20"/>
          <w:color w:val="auto"/>
        </w:rPr>
      </w:pPr>
      <w:r>
        <w:rPr>
          <w:rFonts w:ascii="Arial" w:cs="Arial" w:eastAsia="Arial" w:hAnsi="Arial"/>
          <w:sz w:val="18"/>
          <w:szCs w:val="18"/>
          <w:color w:val="auto"/>
        </w:rPr>
        <w:t>By:</w:t>
        <w:tab/>
        <w:t>/s/ Phil Taylor</w:t>
      </w:r>
    </w:p>
    <w:p>
      <w:pPr>
        <w:spacing w:after="0" w:line="2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Name:</w:t>
        <w:tab/>
        <w:t>Phil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ROYAL BANK OF CANADA,</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 Lender</w:t>
      </w:r>
    </w:p>
    <w:p>
      <w:pPr>
        <w:spacing w:after="0" w:line="200" w:lineRule="exact"/>
        <w:rPr>
          <w:sz w:val="20"/>
          <w:szCs w:val="20"/>
          <w:color w:val="auto"/>
        </w:rPr>
      </w:pPr>
    </w:p>
    <w:p>
      <w:pPr>
        <w:spacing w:after="0" w:line="227"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David A. McCluskey</w:t>
      </w:r>
    </w:p>
    <w:p>
      <w:pPr>
        <w:spacing w:after="0" w:line="2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Name:</w:t>
        <w:tab/>
        <w:t>David A. McCluskey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SOCIETE GENERALE,</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 Lender</w:t>
      </w:r>
    </w:p>
    <w:p>
      <w:pPr>
        <w:spacing w:after="0" w:line="200" w:lineRule="exact"/>
        <w:rPr>
          <w:sz w:val="20"/>
          <w:szCs w:val="20"/>
          <w:color w:val="auto"/>
        </w:rPr>
      </w:pPr>
    </w:p>
    <w:p>
      <w:pPr>
        <w:spacing w:after="0" w:line="227"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Chung-Taek Oh</w:t>
      </w:r>
    </w:p>
    <w:p>
      <w:pPr>
        <w:spacing w:after="0" w:line="2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Name:</w:t>
        <w:tab/>
        <w:t>Chung-Taek 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Associate</w:t>
      </w:r>
    </w:p>
    <w:p>
      <w:pPr>
        <w:spacing w:after="0" w:line="200" w:lineRule="exact"/>
        <w:rPr>
          <w:sz w:val="20"/>
          <w:szCs w:val="20"/>
          <w:color w:val="auto"/>
        </w:rPr>
      </w:pPr>
    </w:p>
    <w:p>
      <w:pPr>
        <w:spacing w:after="0" w:line="227"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Emmanuel Chesneau</w:t>
      </w:r>
    </w:p>
    <w:p>
      <w:pPr>
        <w:spacing w:after="0" w:line="2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Name:</w:t>
        <w:tab/>
        <w:t>Emmanuel Chesneau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2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SOCIETE GENERALE (CANADA)</w:t>
      </w:r>
    </w:p>
    <w:p>
      <w:pPr>
        <w:spacing w:after="0" w:line="200" w:lineRule="exact"/>
        <w:rPr>
          <w:sz w:val="20"/>
          <w:szCs w:val="20"/>
          <w:color w:val="auto"/>
        </w:rPr>
      </w:pPr>
    </w:p>
    <w:p>
      <w:pPr>
        <w:spacing w:after="0" w:line="24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Charles Ritchie</w:t>
      </w:r>
    </w:p>
    <w:p>
      <w:pPr>
        <w:spacing w:after="0" w:line="2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Name:</w:t>
        <w:tab/>
        <w:t>Charles Ritchie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27"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Gregoire Bonhomme</w:t>
      </w:r>
    </w:p>
    <w:p>
      <w:pPr>
        <w:spacing w:after="0" w:line="2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Name:</w:t>
        <w:tab/>
        <w:t>Gregoire Bonhomme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HSBC BANK USA, NATIONAL ASSOCIATION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 Lender</w:t>
      </w:r>
    </w:p>
    <w:p>
      <w:pPr>
        <w:spacing w:after="0" w:line="200" w:lineRule="exact"/>
        <w:rPr>
          <w:sz w:val="20"/>
          <w:szCs w:val="20"/>
          <w:color w:val="auto"/>
        </w:rPr>
      </w:pPr>
    </w:p>
    <w:p>
      <w:pPr>
        <w:spacing w:after="0" w:line="227"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Jose M. Aldeanueva</w:t>
      </w:r>
    </w:p>
    <w:p>
      <w:pPr>
        <w:spacing w:after="0" w:line="23" w:lineRule="exact"/>
        <w:rPr>
          <w:sz w:val="20"/>
          <w:szCs w:val="20"/>
          <w:color w:val="auto"/>
        </w:rPr>
      </w:pPr>
    </w:p>
    <w:tbl>
      <w:tblPr>
        <w:tblLayout w:type="fixed"/>
        <w:tblInd w:w="4620" w:type="dxa"/>
        <w:tblCellMar>
          <w:top w:w="0" w:type="dxa"/>
          <w:left w:w="0" w:type="dxa"/>
          <w:bottom w:w="0" w:type="dxa"/>
          <w:right w:w="0" w:type="dxa"/>
        </w:tblCellMar>
      </w:tblPr>
      <w:tr>
        <w:trPr>
          <w:trHeight w:val="195"/>
        </w:trPr>
        <w:tc>
          <w:tcPr>
            <w:tcW w:w="880" w:type="dxa"/>
            <w:vAlign w:val="bottom"/>
            <w:tcBorders>
              <w:top w:val="single" w:sz="8" w:color="auto"/>
            </w:tcBorders>
          </w:tcPr>
          <w:p>
            <w:pPr>
              <w:ind w:left="260"/>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Jose M. Aldeanueva</w:t>
            </w:r>
          </w:p>
        </w:tc>
      </w:tr>
      <w:tr>
        <w:trPr>
          <w:trHeight w:val="230"/>
        </w:trPr>
        <w:tc>
          <w:tcPr>
            <w:tcW w:w="880" w:type="dxa"/>
            <w:vAlign w:val="bottom"/>
          </w:tcPr>
          <w:p>
            <w:pPr>
              <w:ind w:left="260"/>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1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HSBC BANK USA, NATIONAL ASSOCIATION,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TORONTO BRANCH, a Canadian Lender</w:t>
      </w:r>
    </w:p>
    <w:p>
      <w:pPr>
        <w:spacing w:after="0" w:line="200" w:lineRule="exact"/>
        <w:rPr>
          <w:sz w:val="20"/>
          <w:szCs w:val="20"/>
          <w:color w:val="auto"/>
        </w:rPr>
      </w:pPr>
    </w:p>
    <w:p>
      <w:pPr>
        <w:spacing w:after="0" w:line="227"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Margaret Lane</w:t>
      </w:r>
    </w:p>
    <w:p>
      <w:pPr>
        <w:spacing w:after="0" w:line="2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Name:</w:t>
        <w:tab/>
        <w:t>Margaret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 Lender</w:t>
      </w:r>
    </w:p>
    <w:p>
      <w:pPr>
        <w:sectPr>
          <w:pgSz w:w="11900" w:h="16838" w:orient="portrait"/>
          <w:cols w:equalWidth="0" w:num="1">
            <w:col w:w="10220"/>
          </w:cols>
          <w:pgMar w:left="1440" w:top="125" w:right="239" w:bottom="0" w:gutter="0" w:footer="0" w:header="0"/>
        </w:sectPr>
      </w:pPr>
    </w:p>
    <w:bookmarkStart w:id="65" w:name="page66"/>
    <w:bookmarkEnd w:id="65"/>
    <w:p>
      <w:pPr>
        <w:ind w:left="5460"/>
        <w:spacing w:after="0"/>
        <w:tabs>
          <w:tab w:leader="none" w:pos="5900" w:val="left"/>
        </w:tabs>
        <w:rPr>
          <w:sz w:val="20"/>
          <w:szCs w:val="20"/>
          <w:color w:val="auto"/>
        </w:rPr>
      </w:pPr>
      <w:r>
        <w:rPr>
          <w:rFonts w:ascii="Arial" w:cs="Arial" w:eastAsia="Arial" w:hAnsi="Arial"/>
          <w:sz w:val="18"/>
          <w:szCs w:val="18"/>
          <w:color w:val="auto"/>
        </w:rPr>
        <w:t>By:</w:t>
        <w:tab/>
        <w:t>/s/ Justin M. Alexander</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Justin M.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ING CAPITAL LLC, a Lender</w:t>
      </w:r>
    </w:p>
    <w:p>
      <w:pPr>
        <w:spacing w:after="0" w:line="200" w:lineRule="exact"/>
        <w:rPr>
          <w:sz w:val="20"/>
          <w:szCs w:val="20"/>
          <w:color w:val="auto"/>
        </w:rPr>
      </w:pPr>
    </w:p>
    <w:p>
      <w:pPr>
        <w:spacing w:after="0" w:line="241"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Richard Ennis</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Richard 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BAYERISCHE LANDESBANK,</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CAYMAN ISLANDS BRANCH, a Lender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gridSpan w:val="2"/>
          </w:tcPr>
          <w:p>
            <w:pPr>
              <w:ind w:left="5460"/>
              <w:spacing w:after="0"/>
              <w:rPr>
                <w:sz w:val="20"/>
                <w:szCs w:val="20"/>
                <w:color w:val="auto"/>
              </w:rPr>
            </w:pPr>
            <w:r>
              <w:rPr>
                <w:rFonts w:ascii="Arial" w:cs="Arial" w:eastAsia="Arial" w:hAnsi="Arial"/>
                <w:sz w:val="18"/>
                <w:szCs w:val="18"/>
                <w:color w:val="auto"/>
              </w:rPr>
              <w:t>By:</w:t>
            </w:r>
          </w:p>
        </w:tc>
        <w:tc>
          <w:tcPr>
            <w:tcW w:w="5540" w:type="dxa"/>
            <w:vAlign w:val="bottom"/>
            <w:gridSpan w:val="2"/>
          </w:tcPr>
          <w:p>
            <w:pPr>
              <w:ind w:left="40"/>
              <w:spacing w:after="0"/>
              <w:rPr>
                <w:sz w:val="20"/>
                <w:szCs w:val="20"/>
                <w:color w:val="auto"/>
              </w:rPr>
            </w:pPr>
            <w:r>
              <w:rPr>
                <w:rFonts w:ascii="Arial" w:cs="Arial" w:eastAsia="Arial" w:hAnsi="Arial"/>
                <w:sz w:val="18"/>
                <w:szCs w:val="18"/>
                <w:color w:val="auto"/>
              </w:rPr>
              <w:t>/s/ Nikolai von Mengden</w:t>
            </w:r>
          </w:p>
        </w:tc>
        <w:tc>
          <w:tcPr>
            <w:tcW w:w="40" w:type="dxa"/>
            <w:vAlign w:val="bottom"/>
          </w:tcPr>
          <w:p>
            <w:pPr>
              <w:spacing w:after="0"/>
              <w:rPr>
                <w:sz w:val="20"/>
                <w:szCs w:val="20"/>
                <w:color w:val="auto"/>
              </w:rPr>
            </w:pPr>
          </w:p>
        </w:tc>
      </w:tr>
      <w:tr>
        <w:trPr>
          <w:trHeight w:val="195"/>
        </w:trPr>
        <w:tc>
          <w:tcPr>
            <w:tcW w:w="58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Nikolai von Mengden</w:t>
            </w:r>
          </w:p>
        </w:tc>
        <w:tc>
          <w:tcPr>
            <w:tcW w:w="40" w:type="dxa"/>
            <w:vAlign w:val="bottom"/>
          </w:tcPr>
          <w:p>
            <w:pPr>
              <w:spacing w:after="0"/>
              <w:rPr>
                <w:sz w:val="16"/>
                <w:szCs w:val="16"/>
                <w:color w:val="auto"/>
              </w:rPr>
            </w:pPr>
          </w:p>
        </w:tc>
      </w:tr>
      <w:tr>
        <w:trPr>
          <w:trHeight w:val="230"/>
        </w:trPr>
        <w:tc>
          <w:tcPr>
            <w:tcW w:w="5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Senior Vice President</w:t>
            </w:r>
          </w:p>
        </w:tc>
        <w:tc>
          <w:tcPr>
            <w:tcW w:w="40" w:type="dxa"/>
            <w:vAlign w:val="bottom"/>
          </w:tcPr>
          <w:p>
            <w:pPr>
              <w:spacing w:after="0"/>
              <w:rPr>
                <w:sz w:val="20"/>
                <w:szCs w:val="20"/>
                <w:color w:val="auto"/>
              </w:rPr>
            </w:pPr>
          </w:p>
        </w:tc>
      </w:tr>
      <w:tr>
        <w:trPr>
          <w:trHeight w:val="648"/>
        </w:trPr>
        <w:tc>
          <w:tcPr>
            <w:tcW w:w="5880" w:type="dxa"/>
            <w:vAlign w:val="bottom"/>
            <w:gridSpan w:val="2"/>
          </w:tcPr>
          <w:p>
            <w:pPr>
              <w:ind w:left="5460"/>
              <w:spacing w:after="0"/>
              <w:rPr>
                <w:sz w:val="20"/>
                <w:szCs w:val="20"/>
                <w:color w:val="auto"/>
              </w:rPr>
            </w:pPr>
            <w:r>
              <w:rPr>
                <w:rFonts w:ascii="Arial" w:cs="Arial" w:eastAsia="Arial" w:hAnsi="Arial"/>
                <w:sz w:val="18"/>
                <w:szCs w:val="18"/>
                <w:color w:val="auto"/>
              </w:rPr>
              <w:t>By:</w:t>
            </w:r>
          </w:p>
        </w:tc>
        <w:tc>
          <w:tcPr>
            <w:tcW w:w="5540" w:type="dxa"/>
            <w:vAlign w:val="bottom"/>
            <w:gridSpan w:val="2"/>
          </w:tcPr>
          <w:p>
            <w:pPr>
              <w:ind w:left="40"/>
              <w:spacing w:after="0"/>
              <w:rPr>
                <w:sz w:val="20"/>
                <w:szCs w:val="20"/>
                <w:color w:val="auto"/>
              </w:rPr>
            </w:pPr>
            <w:r>
              <w:rPr>
                <w:rFonts w:ascii="Arial" w:cs="Arial" w:eastAsia="Arial" w:hAnsi="Arial"/>
                <w:sz w:val="18"/>
                <w:szCs w:val="18"/>
                <w:color w:val="auto"/>
              </w:rPr>
              <w:t>/s/ Norman McClave</w:t>
            </w:r>
          </w:p>
        </w:tc>
        <w:tc>
          <w:tcPr>
            <w:tcW w:w="40" w:type="dxa"/>
            <w:vAlign w:val="bottom"/>
          </w:tcPr>
          <w:p>
            <w:pPr>
              <w:spacing w:after="0"/>
              <w:rPr>
                <w:sz w:val="24"/>
                <w:szCs w:val="24"/>
                <w:color w:val="auto"/>
              </w:rPr>
            </w:pPr>
          </w:p>
        </w:tc>
      </w:tr>
      <w:tr>
        <w:trPr>
          <w:trHeight w:val="195"/>
        </w:trPr>
        <w:tc>
          <w:tcPr>
            <w:tcW w:w="58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Norman McClave</w:t>
            </w:r>
          </w:p>
        </w:tc>
        <w:tc>
          <w:tcPr>
            <w:tcW w:w="40" w:type="dxa"/>
            <w:vAlign w:val="bottom"/>
          </w:tcPr>
          <w:p>
            <w:pPr>
              <w:spacing w:after="0"/>
              <w:rPr>
                <w:sz w:val="16"/>
                <w:szCs w:val="16"/>
                <w:color w:val="auto"/>
              </w:rPr>
            </w:pPr>
          </w:p>
        </w:tc>
      </w:tr>
      <w:tr>
        <w:trPr>
          <w:trHeight w:val="230"/>
        </w:trPr>
        <w:tc>
          <w:tcPr>
            <w:tcW w:w="5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First Vice President</w:t>
            </w:r>
          </w:p>
        </w:tc>
        <w:tc>
          <w:tcPr>
            <w:tcW w:w="40" w:type="dxa"/>
            <w:vAlign w:val="bottom"/>
          </w:tcPr>
          <w:p>
            <w:pPr>
              <w:spacing w:after="0"/>
              <w:rPr>
                <w:sz w:val="20"/>
                <w:szCs w:val="20"/>
                <w:color w:val="auto"/>
              </w:rPr>
            </w:pPr>
          </w:p>
        </w:tc>
      </w:tr>
      <w:tr>
        <w:trPr>
          <w:trHeight w:val="432"/>
        </w:trPr>
        <w:tc>
          <w:tcPr>
            <w:tcW w:w="588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8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8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4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MIZUHO CORPORATE BANK, LTD., a Lender</w:t>
      </w:r>
    </w:p>
    <w:p>
      <w:pPr>
        <w:spacing w:after="0" w:line="200" w:lineRule="exact"/>
        <w:rPr>
          <w:sz w:val="20"/>
          <w:szCs w:val="20"/>
          <w:color w:val="auto"/>
        </w:rPr>
      </w:pPr>
    </w:p>
    <w:p>
      <w:pPr>
        <w:spacing w:after="0" w:line="241"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Raymond Ventura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Pr>
          <w:p>
            <w:pPr>
              <w:spacing w:after="0"/>
              <w:rPr>
                <w:sz w:val="16"/>
                <w:szCs w:val="16"/>
                <w:color w:val="auto"/>
              </w:rPr>
            </w:pPr>
          </w:p>
        </w:tc>
        <w:tc>
          <w:tcPr>
            <w:tcW w:w="880" w:type="dxa"/>
            <w:vAlign w:val="bottom"/>
            <w:tcBorders>
              <w:top w:val="single" w:sz="8" w:color="auto"/>
            </w:tcBorders>
          </w:tcPr>
          <w:p>
            <w:pPr>
              <w:ind w:left="260"/>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Raymond Ventura</w:t>
            </w:r>
          </w:p>
        </w:tc>
        <w:tc>
          <w:tcPr>
            <w:tcW w:w="40" w:type="dxa"/>
            <w:vAlign w:val="bottom"/>
          </w:tcPr>
          <w:p>
            <w:pPr>
              <w:spacing w:after="0"/>
              <w:rPr>
                <w:sz w:val="16"/>
                <w:szCs w:val="16"/>
                <w:color w:val="auto"/>
              </w:rPr>
            </w:pPr>
          </w:p>
        </w:tc>
      </w:tr>
      <w:tr>
        <w:trPr>
          <w:trHeight w:val="230"/>
        </w:trPr>
        <w:tc>
          <w:tcPr>
            <w:tcW w:w="5820" w:type="dxa"/>
            <w:vAlign w:val="bottom"/>
          </w:tcPr>
          <w:p>
            <w:pPr>
              <w:spacing w:after="0"/>
              <w:rPr>
                <w:sz w:val="20"/>
                <w:szCs w:val="20"/>
                <w:color w:val="auto"/>
              </w:rPr>
            </w:pPr>
          </w:p>
        </w:tc>
        <w:tc>
          <w:tcPr>
            <w:tcW w:w="880" w:type="dxa"/>
            <w:vAlign w:val="bottom"/>
          </w:tcPr>
          <w:p>
            <w:pPr>
              <w:ind w:left="260"/>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Deputy General Manager</w:t>
            </w:r>
          </w:p>
        </w:tc>
        <w:tc>
          <w:tcPr>
            <w:tcW w:w="40" w:type="dxa"/>
            <w:vAlign w:val="bottom"/>
          </w:tcPr>
          <w:p>
            <w:pPr>
              <w:spacing w:after="0"/>
              <w:rPr>
                <w:sz w:val="20"/>
                <w:szCs w:val="20"/>
                <w:color w:val="auto"/>
              </w:rPr>
            </w:pPr>
          </w:p>
        </w:tc>
      </w:tr>
      <w:tr>
        <w:trPr>
          <w:trHeight w:val="432"/>
        </w:trPr>
        <w:tc>
          <w:tcPr>
            <w:tcW w:w="6700" w:type="dxa"/>
            <w:vAlign w:val="bottom"/>
            <w:gridSpan w:val="2"/>
          </w:tcPr>
          <w:p>
            <w:pPr>
              <w:jc w:val="right"/>
              <w:ind w:right="770"/>
              <w:spacing w:after="0"/>
              <w:rPr>
                <w:sz w:val="20"/>
                <w:szCs w:val="20"/>
                <w:color w:val="auto"/>
              </w:rPr>
            </w:pPr>
            <w:r>
              <w:rPr>
                <w:rFonts w:ascii="Arial" w:cs="Arial" w:eastAsia="Arial" w:hAnsi="Arial"/>
                <w:sz w:val="18"/>
                <w:szCs w:val="18"/>
                <w:color w:val="auto"/>
              </w:rPr>
              <w:t>131</w:t>
            </w:r>
          </w:p>
        </w:tc>
        <w:tc>
          <w:tcPr>
            <w:tcW w:w="4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82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4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COMMERZBANK AG, NEW YORK AND</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GRAND CAYMAN BRANCHES, a Lender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gridSpan w:val="2"/>
          </w:tcPr>
          <w:p>
            <w:pPr>
              <w:ind w:left="5460"/>
              <w:spacing w:after="0"/>
              <w:rPr>
                <w:sz w:val="20"/>
                <w:szCs w:val="20"/>
                <w:color w:val="auto"/>
              </w:rPr>
            </w:pPr>
            <w:r>
              <w:rPr>
                <w:rFonts w:ascii="Arial" w:cs="Arial" w:eastAsia="Arial" w:hAnsi="Arial"/>
                <w:sz w:val="18"/>
                <w:szCs w:val="18"/>
                <w:color w:val="auto"/>
              </w:rPr>
              <w:t>By:</w:t>
            </w:r>
          </w:p>
        </w:tc>
        <w:tc>
          <w:tcPr>
            <w:tcW w:w="5540" w:type="dxa"/>
            <w:vAlign w:val="bottom"/>
            <w:gridSpan w:val="2"/>
          </w:tcPr>
          <w:p>
            <w:pPr>
              <w:ind w:left="40"/>
              <w:spacing w:after="0"/>
              <w:rPr>
                <w:sz w:val="20"/>
                <w:szCs w:val="20"/>
                <w:color w:val="auto"/>
              </w:rPr>
            </w:pPr>
            <w:r>
              <w:rPr>
                <w:rFonts w:ascii="Arial" w:cs="Arial" w:eastAsia="Arial" w:hAnsi="Arial"/>
                <w:sz w:val="18"/>
                <w:szCs w:val="18"/>
                <w:color w:val="auto"/>
              </w:rPr>
              <w:t>/s/ Andrew Campbell</w:t>
            </w:r>
          </w:p>
        </w:tc>
        <w:tc>
          <w:tcPr>
            <w:tcW w:w="40" w:type="dxa"/>
            <w:vAlign w:val="bottom"/>
          </w:tcPr>
          <w:p>
            <w:pPr>
              <w:spacing w:after="0"/>
              <w:rPr>
                <w:sz w:val="20"/>
                <w:szCs w:val="20"/>
                <w:color w:val="auto"/>
              </w:rPr>
            </w:pPr>
          </w:p>
        </w:tc>
      </w:tr>
      <w:tr>
        <w:trPr>
          <w:trHeight w:val="195"/>
        </w:trPr>
        <w:tc>
          <w:tcPr>
            <w:tcW w:w="58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Andrew Campbell</w:t>
            </w:r>
          </w:p>
        </w:tc>
        <w:tc>
          <w:tcPr>
            <w:tcW w:w="40" w:type="dxa"/>
            <w:vAlign w:val="bottom"/>
          </w:tcPr>
          <w:p>
            <w:pPr>
              <w:spacing w:after="0"/>
              <w:rPr>
                <w:sz w:val="16"/>
                <w:szCs w:val="16"/>
                <w:color w:val="auto"/>
              </w:rPr>
            </w:pPr>
          </w:p>
        </w:tc>
      </w:tr>
      <w:tr>
        <w:trPr>
          <w:trHeight w:val="230"/>
        </w:trPr>
        <w:tc>
          <w:tcPr>
            <w:tcW w:w="5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Senior Vice President</w:t>
            </w:r>
          </w:p>
        </w:tc>
        <w:tc>
          <w:tcPr>
            <w:tcW w:w="40" w:type="dxa"/>
            <w:vAlign w:val="bottom"/>
          </w:tcPr>
          <w:p>
            <w:pPr>
              <w:spacing w:after="0"/>
              <w:rPr>
                <w:sz w:val="20"/>
                <w:szCs w:val="20"/>
                <w:color w:val="auto"/>
              </w:rPr>
            </w:pPr>
          </w:p>
        </w:tc>
      </w:tr>
      <w:tr>
        <w:trPr>
          <w:trHeight w:val="648"/>
        </w:trPr>
        <w:tc>
          <w:tcPr>
            <w:tcW w:w="5880" w:type="dxa"/>
            <w:vAlign w:val="bottom"/>
            <w:gridSpan w:val="2"/>
          </w:tcPr>
          <w:p>
            <w:pPr>
              <w:ind w:left="5460"/>
              <w:spacing w:after="0"/>
              <w:rPr>
                <w:sz w:val="20"/>
                <w:szCs w:val="20"/>
                <w:color w:val="auto"/>
              </w:rPr>
            </w:pPr>
            <w:r>
              <w:rPr>
                <w:rFonts w:ascii="Arial" w:cs="Arial" w:eastAsia="Arial" w:hAnsi="Arial"/>
                <w:sz w:val="18"/>
                <w:szCs w:val="18"/>
                <w:color w:val="auto"/>
              </w:rPr>
              <w:t>By:</w:t>
            </w:r>
          </w:p>
        </w:tc>
        <w:tc>
          <w:tcPr>
            <w:tcW w:w="5540" w:type="dxa"/>
            <w:vAlign w:val="bottom"/>
            <w:gridSpan w:val="2"/>
          </w:tcPr>
          <w:p>
            <w:pPr>
              <w:ind w:left="40"/>
              <w:spacing w:after="0"/>
              <w:rPr>
                <w:sz w:val="20"/>
                <w:szCs w:val="20"/>
                <w:color w:val="auto"/>
              </w:rPr>
            </w:pPr>
            <w:r>
              <w:rPr>
                <w:rFonts w:ascii="Arial" w:cs="Arial" w:eastAsia="Arial" w:hAnsi="Arial"/>
                <w:sz w:val="18"/>
                <w:szCs w:val="18"/>
                <w:color w:val="auto"/>
              </w:rPr>
              <w:t>/s/ Barbara Stacks</w:t>
            </w:r>
          </w:p>
        </w:tc>
        <w:tc>
          <w:tcPr>
            <w:tcW w:w="40" w:type="dxa"/>
            <w:vAlign w:val="bottom"/>
          </w:tcPr>
          <w:p>
            <w:pPr>
              <w:spacing w:after="0"/>
              <w:rPr>
                <w:sz w:val="24"/>
                <w:szCs w:val="24"/>
                <w:color w:val="auto"/>
              </w:rPr>
            </w:pPr>
          </w:p>
        </w:tc>
      </w:tr>
      <w:tr>
        <w:trPr>
          <w:trHeight w:val="195"/>
        </w:trPr>
        <w:tc>
          <w:tcPr>
            <w:tcW w:w="58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Barbara Stacks</w:t>
            </w:r>
          </w:p>
        </w:tc>
        <w:tc>
          <w:tcPr>
            <w:tcW w:w="40" w:type="dxa"/>
            <w:vAlign w:val="bottom"/>
          </w:tcPr>
          <w:p>
            <w:pPr>
              <w:spacing w:after="0"/>
              <w:rPr>
                <w:sz w:val="16"/>
                <w:szCs w:val="16"/>
                <w:color w:val="auto"/>
              </w:rPr>
            </w:pPr>
          </w:p>
        </w:tc>
      </w:tr>
      <w:tr>
        <w:trPr>
          <w:trHeight w:val="230"/>
        </w:trPr>
        <w:tc>
          <w:tcPr>
            <w:tcW w:w="5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Assistant Vice President</w:t>
            </w:r>
          </w:p>
        </w:tc>
        <w:tc>
          <w:tcPr>
            <w:tcW w:w="40" w:type="dxa"/>
            <w:vAlign w:val="bottom"/>
          </w:tcPr>
          <w:p>
            <w:pPr>
              <w:spacing w:after="0"/>
              <w:rPr>
                <w:sz w:val="20"/>
                <w:szCs w:val="20"/>
                <w:color w:val="auto"/>
              </w:rPr>
            </w:pPr>
          </w:p>
        </w:tc>
      </w:tr>
      <w:tr>
        <w:trPr>
          <w:trHeight w:val="432"/>
        </w:trPr>
        <w:tc>
          <w:tcPr>
            <w:tcW w:w="588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8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8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4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AMEGY BANK NATIONAL ASSOCIATION,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 Lender</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W. Bryan Chapman</w:t>
      </w:r>
    </w:p>
    <w:p>
      <w:pPr>
        <w:spacing w:after="0" w:line="23" w:lineRule="exact"/>
        <w:rPr>
          <w:sz w:val="20"/>
          <w:szCs w:val="20"/>
          <w:color w:val="auto"/>
        </w:rPr>
      </w:pPr>
    </w:p>
    <w:tbl>
      <w:tblPr>
        <w:tblLayout w:type="fixed"/>
        <w:tblInd w:w="5820" w:type="dxa"/>
        <w:tblCellMar>
          <w:top w:w="0" w:type="dxa"/>
          <w:left w:w="0" w:type="dxa"/>
          <w:bottom w:w="0" w:type="dxa"/>
          <w:right w:w="0" w:type="dxa"/>
        </w:tblCellMar>
      </w:tblPr>
      <w:tr>
        <w:trPr>
          <w:trHeight w:val="195"/>
        </w:trPr>
        <w:tc>
          <w:tcPr>
            <w:tcW w:w="880" w:type="dxa"/>
            <w:vAlign w:val="bottom"/>
            <w:tcBorders>
              <w:top w:val="single" w:sz="8" w:color="auto"/>
            </w:tcBorders>
          </w:tcPr>
          <w:p>
            <w:pPr>
              <w:ind w:left="260"/>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W. Bryan Chapman</w:t>
            </w:r>
          </w:p>
        </w:tc>
      </w:tr>
      <w:tr>
        <w:trPr>
          <w:trHeight w:val="216"/>
        </w:trPr>
        <w:tc>
          <w:tcPr>
            <w:tcW w:w="880" w:type="dxa"/>
            <w:vAlign w:val="bottom"/>
          </w:tcPr>
          <w:p>
            <w:pPr>
              <w:ind w:left="260"/>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30"/>
        </w:trPr>
        <w:tc>
          <w:tcPr>
            <w:tcW w:w="880" w:type="dxa"/>
            <w:vAlign w:val="bottom"/>
          </w:tcPr>
          <w:p>
            <w:pPr>
              <w:spacing w:after="0"/>
              <w:rPr>
                <w:sz w:val="20"/>
                <w:szCs w:val="20"/>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Energy Lending</w:t>
            </w:r>
          </w:p>
        </w:tc>
      </w:tr>
    </w:tbl>
    <w:p>
      <w:pPr>
        <w:sectPr>
          <w:pgSz w:w="11900" w:h="16838" w:orient="portrait"/>
          <w:cols w:equalWidth="0" w:num="1">
            <w:col w:w="11460"/>
          </w:cols>
          <w:pgMar w:left="240" w:top="341" w:right="199" w:bottom="0" w:gutter="0" w:footer="0" w:header="0"/>
        </w:sectPr>
      </w:pPr>
    </w:p>
    <w:bookmarkStart w:id="66" w:name="page67"/>
    <w:bookmarkEnd w:id="66"/>
    <w:p>
      <w:pPr>
        <w:jc w:val="center"/>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103505</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7" w:name="page68"/>
    <w:bookmarkEnd w:id="67"/>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72466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INTERIM 364-DAY CREDIT AGREEMENT</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PLAINS ALL AMERICAN PIPELINE, L.P., as Borrower,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Administrative Agent,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BANK OF AMERICA, N.A. and CITIBANK, N.A.,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Co-Syndication Agents,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WACHOVIA BANK, NATIONAL ASSOCIATION and UBS SECURITIES LLC,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Co-Documentation Agents,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 CERTAIN FINANCIAL INSTITUTIONS, as Lenders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$1,000,000,000 364-Day Revolving Credit Facility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JPMORGAN SECURITIES INC. and CITIGROUP GLOBAL MARKETS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Joint Bookrunners and Co-Lead Arrangers</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July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2466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392430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411"/>
        </w:trPr>
        <w:tc>
          <w:tcPr>
            <w:tcW w:w="10880" w:type="dxa"/>
            <w:vAlign w:val="bottom"/>
            <w:gridSpan w:val="2"/>
          </w:tcPr>
          <w:p>
            <w:pPr>
              <w:spacing w:after="0"/>
              <w:rPr>
                <w:sz w:val="20"/>
                <w:szCs w:val="20"/>
                <w:color w:val="auto"/>
              </w:rPr>
            </w:pPr>
            <w:r>
              <w:rPr>
                <w:rFonts w:ascii="Arial" w:cs="Arial" w:eastAsia="Arial" w:hAnsi="Arial"/>
                <w:sz w:val="18"/>
                <w:szCs w:val="18"/>
                <w:color w:val="auto"/>
              </w:rPr>
              <w:t>ARTICLE I. - Definitions and References</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1.1.</w:t>
            </w:r>
          </w:p>
        </w:tc>
        <w:tc>
          <w:tcPr>
            <w:tcW w:w="9560" w:type="dxa"/>
            <w:vAlign w:val="bottom"/>
          </w:tcPr>
          <w:p>
            <w:pPr>
              <w:ind w:left="300"/>
              <w:spacing w:after="0"/>
              <w:rPr>
                <w:sz w:val="20"/>
                <w:szCs w:val="20"/>
                <w:color w:val="auto"/>
              </w:rPr>
            </w:pPr>
            <w:r>
              <w:rPr>
                <w:rFonts w:ascii="Arial" w:cs="Arial" w:eastAsia="Arial" w:hAnsi="Arial"/>
                <w:sz w:val="18"/>
                <w:szCs w:val="18"/>
                <w:color w:val="auto"/>
              </w:rPr>
              <w:t>Defined Terms</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1.2.</w:t>
            </w:r>
          </w:p>
        </w:tc>
        <w:tc>
          <w:tcPr>
            <w:tcW w:w="9560" w:type="dxa"/>
            <w:vAlign w:val="bottom"/>
          </w:tcPr>
          <w:p>
            <w:pPr>
              <w:ind w:left="300"/>
              <w:spacing w:after="0"/>
              <w:rPr>
                <w:sz w:val="20"/>
                <w:szCs w:val="20"/>
                <w:color w:val="auto"/>
              </w:rPr>
            </w:pPr>
            <w:r>
              <w:rPr>
                <w:rFonts w:ascii="Arial" w:cs="Arial" w:eastAsia="Arial" w:hAnsi="Arial"/>
                <w:sz w:val="18"/>
                <w:szCs w:val="18"/>
                <w:color w:val="auto"/>
              </w:rPr>
              <w:t>Exhibits and Schedules; Additional Definitions.</w:t>
            </w: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1.3.</w:t>
            </w:r>
          </w:p>
        </w:tc>
        <w:tc>
          <w:tcPr>
            <w:tcW w:w="9560" w:type="dxa"/>
            <w:vAlign w:val="bottom"/>
          </w:tcPr>
          <w:p>
            <w:pPr>
              <w:ind w:left="300"/>
              <w:spacing w:after="0"/>
              <w:rPr>
                <w:sz w:val="20"/>
                <w:szCs w:val="20"/>
                <w:color w:val="auto"/>
              </w:rPr>
            </w:pPr>
            <w:r>
              <w:rPr>
                <w:rFonts w:ascii="Arial" w:cs="Arial" w:eastAsia="Arial" w:hAnsi="Arial"/>
                <w:sz w:val="18"/>
                <w:szCs w:val="18"/>
                <w:color w:val="auto"/>
              </w:rPr>
              <w:t>Amendment of Defined Instruments</w:t>
            </w: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1.4.</w:t>
            </w:r>
          </w:p>
        </w:tc>
        <w:tc>
          <w:tcPr>
            <w:tcW w:w="9560" w:type="dxa"/>
            <w:vAlign w:val="bottom"/>
          </w:tcPr>
          <w:p>
            <w:pPr>
              <w:ind w:left="300"/>
              <w:spacing w:after="0"/>
              <w:rPr>
                <w:sz w:val="20"/>
                <w:szCs w:val="20"/>
                <w:color w:val="auto"/>
              </w:rPr>
            </w:pPr>
            <w:r>
              <w:rPr>
                <w:rFonts w:ascii="Arial" w:cs="Arial" w:eastAsia="Arial" w:hAnsi="Arial"/>
                <w:sz w:val="18"/>
                <w:szCs w:val="18"/>
                <w:color w:val="auto"/>
              </w:rPr>
              <w:t>References and Titles</w:t>
            </w: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320" w:type="dxa"/>
            <w:vAlign w:val="bottom"/>
          </w:tcPr>
          <w:p>
            <w:pPr>
              <w:ind w:left="180"/>
              <w:spacing w:after="0"/>
              <w:rPr>
                <w:sz w:val="20"/>
                <w:szCs w:val="20"/>
                <w:color w:val="auto"/>
              </w:rPr>
            </w:pPr>
            <w:r>
              <w:rPr>
                <w:rFonts w:ascii="Arial" w:cs="Arial" w:eastAsia="Arial" w:hAnsi="Arial"/>
                <w:sz w:val="18"/>
                <w:szCs w:val="18"/>
                <w:color w:val="auto"/>
              </w:rPr>
              <w:t>Section 1.5.</w:t>
            </w:r>
          </w:p>
        </w:tc>
        <w:tc>
          <w:tcPr>
            <w:tcW w:w="9560" w:type="dxa"/>
            <w:vAlign w:val="bottom"/>
          </w:tcPr>
          <w:p>
            <w:pPr>
              <w:ind w:left="300"/>
              <w:spacing w:after="0"/>
              <w:rPr>
                <w:sz w:val="20"/>
                <w:szCs w:val="20"/>
                <w:color w:val="auto"/>
              </w:rPr>
            </w:pPr>
            <w:r>
              <w:rPr>
                <w:rFonts w:ascii="Arial" w:cs="Arial" w:eastAsia="Arial" w:hAnsi="Arial"/>
                <w:sz w:val="18"/>
                <w:szCs w:val="18"/>
                <w:color w:val="auto"/>
              </w:rPr>
              <w:t>Calculations and Determinations</w:t>
            </w: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8"/>
        </w:trPr>
        <w:tc>
          <w:tcPr>
            <w:tcW w:w="10880" w:type="dxa"/>
            <w:vAlign w:val="bottom"/>
            <w:gridSpan w:val="2"/>
          </w:tcPr>
          <w:p>
            <w:pPr>
              <w:spacing w:after="0"/>
              <w:rPr>
                <w:sz w:val="20"/>
                <w:szCs w:val="20"/>
                <w:color w:val="auto"/>
              </w:rPr>
            </w:pPr>
            <w:r>
              <w:rPr>
                <w:rFonts w:ascii="Arial" w:cs="Arial" w:eastAsia="Arial" w:hAnsi="Arial"/>
                <w:sz w:val="18"/>
                <w:szCs w:val="18"/>
                <w:color w:val="auto"/>
              </w:rPr>
              <w:t>ARTICLE II. - The Loans</w:t>
            </w: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2.1.</w:t>
            </w:r>
          </w:p>
        </w:tc>
        <w:tc>
          <w:tcPr>
            <w:tcW w:w="9560" w:type="dxa"/>
            <w:vAlign w:val="bottom"/>
          </w:tcPr>
          <w:p>
            <w:pPr>
              <w:ind w:left="300"/>
              <w:spacing w:after="0"/>
              <w:rPr>
                <w:sz w:val="20"/>
                <w:szCs w:val="20"/>
                <w:color w:val="auto"/>
              </w:rPr>
            </w:pPr>
            <w:r>
              <w:rPr>
                <w:rFonts w:ascii="Arial" w:cs="Arial" w:eastAsia="Arial" w:hAnsi="Arial"/>
                <w:sz w:val="18"/>
                <w:szCs w:val="18"/>
                <w:color w:val="auto"/>
              </w:rPr>
              <w:t>Commitments to Lend; Notes.</w:t>
            </w: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2.2.</w:t>
            </w:r>
          </w:p>
        </w:tc>
        <w:tc>
          <w:tcPr>
            <w:tcW w:w="9560" w:type="dxa"/>
            <w:vAlign w:val="bottom"/>
          </w:tcPr>
          <w:p>
            <w:pPr>
              <w:ind w:left="300"/>
              <w:spacing w:after="0"/>
              <w:rPr>
                <w:sz w:val="20"/>
                <w:szCs w:val="20"/>
                <w:color w:val="auto"/>
              </w:rPr>
            </w:pPr>
            <w:r>
              <w:rPr>
                <w:rFonts w:ascii="Arial" w:cs="Arial" w:eastAsia="Arial" w:hAnsi="Arial"/>
                <w:sz w:val="18"/>
                <w:szCs w:val="18"/>
                <w:color w:val="auto"/>
              </w:rPr>
              <w:t>Requests for Loans</w:t>
            </w: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2.3.</w:t>
            </w:r>
          </w:p>
        </w:tc>
        <w:tc>
          <w:tcPr>
            <w:tcW w:w="9560" w:type="dxa"/>
            <w:vAlign w:val="bottom"/>
          </w:tcPr>
          <w:p>
            <w:pPr>
              <w:ind w:left="300"/>
              <w:spacing w:after="0"/>
              <w:rPr>
                <w:sz w:val="20"/>
                <w:szCs w:val="20"/>
                <w:color w:val="auto"/>
              </w:rPr>
            </w:pPr>
            <w:r>
              <w:rPr>
                <w:rFonts w:ascii="Arial" w:cs="Arial" w:eastAsia="Arial" w:hAnsi="Arial"/>
                <w:sz w:val="18"/>
                <w:szCs w:val="18"/>
                <w:color w:val="auto"/>
              </w:rPr>
              <w:t>Continuations and Conversions of Existing Loans</w:t>
            </w: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2.4.</w:t>
            </w:r>
          </w:p>
        </w:tc>
        <w:tc>
          <w:tcPr>
            <w:tcW w:w="9560" w:type="dxa"/>
            <w:vAlign w:val="bottom"/>
          </w:tcPr>
          <w:p>
            <w:pPr>
              <w:ind w:left="300"/>
              <w:spacing w:after="0"/>
              <w:rPr>
                <w:sz w:val="20"/>
                <w:szCs w:val="20"/>
                <w:color w:val="auto"/>
              </w:rPr>
            </w:pPr>
            <w:r>
              <w:rPr>
                <w:rFonts w:ascii="Arial" w:cs="Arial" w:eastAsia="Arial" w:hAnsi="Arial"/>
                <w:sz w:val="18"/>
                <w:szCs w:val="18"/>
                <w:color w:val="auto"/>
              </w:rPr>
              <w:t>Use of Proceeds</w:t>
            </w: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2.5.</w:t>
            </w:r>
          </w:p>
        </w:tc>
        <w:tc>
          <w:tcPr>
            <w:tcW w:w="9560" w:type="dxa"/>
            <w:vAlign w:val="bottom"/>
          </w:tcPr>
          <w:p>
            <w:pPr>
              <w:ind w:left="300"/>
              <w:spacing w:after="0"/>
              <w:rPr>
                <w:sz w:val="20"/>
                <w:szCs w:val="20"/>
                <w:color w:val="auto"/>
              </w:rPr>
            </w:pPr>
            <w:r>
              <w:rPr>
                <w:rFonts w:ascii="Arial" w:cs="Arial" w:eastAsia="Arial" w:hAnsi="Arial"/>
                <w:sz w:val="18"/>
                <w:szCs w:val="18"/>
                <w:color w:val="auto"/>
              </w:rPr>
              <w:t>Interest Rates and Fees</w:t>
            </w: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2.6.</w:t>
            </w:r>
          </w:p>
        </w:tc>
        <w:tc>
          <w:tcPr>
            <w:tcW w:w="9560" w:type="dxa"/>
            <w:vAlign w:val="bottom"/>
          </w:tcPr>
          <w:p>
            <w:pPr>
              <w:ind w:left="300"/>
              <w:spacing w:after="0"/>
              <w:rPr>
                <w:sz w:val="20"/>
                <w:szCs w:val="20"/>
                <w:color w:val="auto"/>
              </w:rPr>
            </w:pPr>
            <w:r>
              <w:rPr>
                <w:rFonts w:ascii="Arial" w:cs="Arial" w:eastAsia="Arial" w:hAnsi="Arial"/>
                <w:sz w:val="18"/>
                <w:szCs w:val="18"/>
                <w:color w:val="auto"/>
              </w:rPr>
              <w:t>Intentionally deleted</w:t>
            </w: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2.7.</w:t>
            </w:r>
          </w:p>
        </w:tc>
        <w:tc>
          <w:tcPr>
            <w:tcW w:w="9560" w:type="dxa"/>
            <w:vAlign w:val="bottom"/>
          </w:tcPr>
          <w:p>
            <w:pPr>
              <w:ind w:left="300"/>
              <w:spacing w:after="0"/>
              <w:rPr>
                <w:sz w:val="20"/>
                <w:szCs w:val="20"/>
                <w:color w:val="auto"/>
              </w:rPr>
            </w:pPr>
            <w:r>
              <w:rPr>
                <w:rFonts w:ascii="Arial" w:cs="Arial" w:eastAsia="Arial" w:hAnsi="Arial"/>
                <w:sz w:val="18"/>
                <w:szCs w:val="18"/>
                <w:color w:val="auto"/>
              </w:rPr>
              <w:t>Conversion to Term Loan</w:t>
            </w: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2.8.</w:t>
            </w:r>
          </w:p>
        </w:tc>
        <w:tc>
          <w:tcPr>
            <w:tcW w:w="9560" w:type="dxa"/>
            <w:vAlign w:val="bottom"/>
          </w:tcPr>
          <w:p>
            <w:pPr>
              <w:ind w:left="300"/>
              <w:spacing w:after="0"/>
              <w:rPr>
                <w:sz w:val="20"/>
                <w:szCs w:val="20"/>
                <w:color w:val="auto"/>
              </w:rPr>
            </w:pPr>
            <w:r>
              <w:rPr>
                <w:rFonts w:ascii="Arial" w:cs="Arial" w:eastAsia="Arial" w:hAnsi="Arial"/>
                <w:sz w:val="18"/>
                <w:szCs w:val="18"/>
                <w:color w:val="auto"/>
              </w:rPr>
              <w:t>Optional Prepayments</w:t>
            </w: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320" w:type="dxa"/>
            <w:vAlign w:val="bottom"/>
          </w:tcPr>
          <w:p>
            <w:pPr>
              <w:ind w:left="180"/>
              <w:spacing w:after="0"/>
              <w:rPr>
                <w:sz w:val="20"/>
                <w:szCs w:val="20"/>
                <w:color w:val="auto"/>
              </w:rPr>
            </w:pPr>
            <w:r>
              <w:rPr>
                <w:rFonts w:ascii="Arial" w:cs="Arial" w:eastAsia="Arial" w:hAnsi="Arial"/>
                <w:sz w:val="18"/>
                <w:szCs w:val="18"/>
                <w:color w:val="auto"/>
              </w:rPr>
              <w:t>Section 2.9.</w:t>
            </w:r>
          </w:p>
        </w:tc>
        <w:tc>
          <w:tcPr>
            <w:tcW w:w="9560" w:type="dxa"/>
            <w:vAlign w:val="bottom"/>
          </w:tcPr>
          <w:p>
            <w:pPr>
              <w:ind w:left="300"/>
              <w:spacing w:after="0"/>
              <w:rPr>
                <w:sz w:val="20"/>
                <w:szCs w:val="20"/>
                <w:color w:val="auto"/>
              </w:rPr>
            </w:pPr>
            <w:r>
              <w:rPr>
                <w:rFonts w:ascii="Arial" w:cs="Arial" w:eastAsia="Arial" w:hAnsi="Arial"/>
                <w:sz w:val="18"/>
                <w:szCs w:val="18"/>
                <w:color w:val="auto"/>
              </w:rPr>
              <w:t>Mandatory Commitment Reductions and Prepayments</w:t>
            </w: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10880" w:type="dxa"/>
            <w:vAlign w:val="bottom"/>
            <w:gridSpan w:val="2"/>
          </w:tcPr>
          <w:p>
            <w:pPr>
              <w:spacing w:after="0"/>
              <w:rPr>
                <w:sz w:val="20"/>
                <w:szCs w:val="20"/>
                <w:color w:val="auto"/>
              </w:rPr>
            </w:pPr>
            <w:r>
              <w:rPr>
                <w:rFonts w:ascii="Arial" w:cs="Arial" w:eastAsia="Arial" w:hAnsi="Arial"/>
                <w:sz w:val="18"/>
                <w:szCs w:val="18"/>
                <w:color w:val="auto"/>
              </w:rPr>
              <w:t>ARTICLE III. - Payments to Lenders</w:t>
            </w: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3.1.</w:t>
            </w:r>
          </w:p>
        </w:tc>
        <w:tc>
          <w:tcPr>
            <w:tcW w:w="9560" w:type="dxa"/>
            <w:vAlign w:val="bottom"/>
          </w:tcPr>
          <w:p>
            <w:pPr>
              <w:ind w:left="300"/>
              <w:spacing w:after="0"/>
              <w:rPr>
                <w:sz w:val="20"/>
                <w:szCs w:val="20"/>
                <w:color w:val="auto"/>
              </w:rPr>
            </w:pPr>
            <w:r>
              <w:rPr>
                <w:rFonts w:ascii="Arial" w:cs="Arial" w:eastAsia="Arial" w:hAnsi="Arial"/>
                <w:sz w:val="18"/>
                <w:szCs w:val="18"/>
                <w:color w:val="auto"/>
              </w:rPr>
              <w:t>General Procedures</w:t>
            </w: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3.2.</w:t>
            </w:r>
          </w:p>
        </w:tc>
        <w:tc>
          <w:tcPr>
            <w:tcW w:w="9560" w:type="dxa"/>
            <w:vAlign w:val="bottom"/>
          </w:tcPr>
          <w:p>
            <w:pPr>
              <w:ind w:left="300"/>
              <w:spacing w:after="0"/>
              <w:rPr>
                <w:sz w:val="20"/>
                <w:szCs w:val="20"/>
                <w:color w:val="auto"/>
              </w:rPr>
            </w:pPr>
            <w:r>
              <w:rPr>
                <w:rFonts w:ascii="Arial" w:cs="Arial" w:eastAsia="Arial" w:hAnsi="Arial"/>
                <w:sz w:val="18"/>
                <w:szCs w:val="18"/>
                <w:color w:val="auto"/>
              </w:rPr>
              <w:t>Capital Reimbursement</w:t>
            </w: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3.3.</w:t>
            </w:r>
          </w:p>
        </w:tc>
        <w:tc>
          <w:tcPr>
            <w:tcW w:w="9560" w:type="dxa"/>
            <w:vAlign w:val="bottom"/>
          </w:tcPr>
          <w:p>
            <w:pPr>
              <w:ind w:left="300"/>
              <w:spacing w:after="0"/>
              <w:rPr>
                <w:sz w:val="20"/>
                <w:szCs w:val="20"/>
                <w:color w:val="auto"/>
              </w:rPr>
            </w:pPr>
            <w:r>
              <w:rPr>
                <w:rFonts w:ascii="Arial" w:cs="Arial" w:eastAsia="Arial" w:hAnsi="Arial"/>
                <w:sz w:val="18"/>
                <w:szCs w:val="18"/>
                <w:color w:val="auto"/>
              </w:rPr>
              <w:t>Increased Cost of Eurodollar Loans</w:t>
            </w: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3.4.</w:t>
            </w:r>
          </w:p>
        </w:tc>
        <w:tc>
          <w:tcPr>
            <w:tcW w:w="9560" w:type="dxa"/>
            <w:vAlign w:val="bottom"/>
          </w:tcPr>
          <w:p>
            <w:pPr>
              <w:ind w:left="300"/>
              <w:spacing w:after="0"/>
              <w:rPr>
                <w:sz w:val="20"/>
                <w:szCs w:val="20"/>
                <w:color w:val="auto"/>
              </w:rPr>
            </w:pPr>
            <w:r>
              <w:rPr>
                <w:rFonts w:ascii="Arial" w:cs="Arial" w:eastAsia="Arial" w:hAnsi="Arial"/>
                <w:sz w:val="18"/>
                <w:szCs w:val="18"/>
                <w:color w:val="auto"/>
              </w:rPr>
              <w:t>Notice; Change of Applicable Lending Office</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3.5.</w:t>
            </w:r>
          </w:p>
        </w:tc>
        <w:tc>
          <w:tcPr>
            <w:tcW w:w="9560" w:type="dxa"/>
            <w:vAlign w:val="bottom"/>
          </w:tcPr>
          <w:p>
            <w:pPr>
              <w:ind w:left="300"/>
              <w:spacing w:after="0"/>
              <w:rPr>
                <w:sz w:val="20"/>
                <w:szCs w:val="20"/>
                <w:color w:val="auto"/>
              </w:rPr>
            </w:pPr>
            <w:r>
              <w:rPr>
                <w:rFonts w:ascii="Arial" w:cs="Arial" w:eastAsia="Arial" w:hAnsi="Arial"/>
                <w:sz w:val="18"/>
                <w:szCs w:val="18"/>
                <w:color w:val="auto"/>
              </w:rPr>
              <w:t>Availability</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3.6.</w:t>
            </w:r>
          </w:p>
        </w:tc>
        <w:tc>
          <w:tcPr>
            <w:tcW w:w="9560" w:type="dxa"/>
            <w:vAlign w:val="bottom"/>
          </w:tcPr>
          <w:p>
            <w:pPr>
              <w:ind w:left="300"/>
              <w:spacing w:after="0"/>
              <w:rPr>
                <w:sz w:val="20"/>
                <w:szCs w:val="20"/>
                <w:color w:val="auto"/>
              </w:rPr>
            </w:pPr>
            <w:r>
              <w:rPr>
                <w:rFonts w:ascii="Arial" w:cs="Arial" w:eastAsia="Arial" w:hAnsi="Arial"/>
                <w:sz w:val="18"/>
                <w:szCs w:val="18"/>
                <w:color w:val="auto"/>
              </w:rPr>
              <w:t>Funding Losses</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3.7.</w:t>
            </w:r>
          </w:p>
        </w:tc>
        <w:tc>
          <w:tcPr>
            <w:tcW w:w="9560" w:type="dxa"/>
            <w:vAlign w:val="bottom"/>
          </w:tcPr>
          <w:p>
            <w:pPr>
              <w:ind w:left="300"/>
              <w:spacing w:after="0"/>
              <w:rPr>
                <w:sz w:val="20"/>
                <w:szCs w:val="20"/>
                <w:color w:val="auto"/>
              </w:rPr>
            </w:pPr>
            <w:r>
              <w:rPr>
                <w:rFonts w:ascii="Arial" w:cs="Arial" w:eastAsia="Arial" w:hAnsi="Arial"/>
                <w:sz w:val="18"/>
                <w:szCs w:val="18"/>
                <w:color w:val="auto"/>
              </w:rPr>
              <w:t>Reimbursable Taxes</w:t>
            </w: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3.8.</w:t>
            </w:r>
          </w:p>
        </w:tc>
        <w:tc>
          <w:tcPr>
            <w:tcW w:w="9560" w:type="dxa"/>
            <w:vAlign w:val="bottom"/>
          </w:tcPr>
          <w:p>
            <w:pPr>
              <w:ind w:left="300"/>
              <w:spacing w:after="0"/>
              <w:rPr>
                <w:sz w:val="20"/>
                <w:szCs w:val="20"/>
                <w:color w:val="auto"/>
              </w:rPr>
            </w:pPr>
            <w:r>
              <w:rPr>
                <w:rFonts w:ascii="Arial" w:cs="Arial" w:eastAsia="Arial" w:hAnsi="Arial"/>
                <w:sz w:val="18"/>
                <w:szCs w:val="18"/>
                <w:color w:val="auto"/>
              </w:rPr>
              <w:t>Replacement of Lenders</w:t>
            </w: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320" w:type="dxa"/>
            <w:vAlign w:val="bottom"/>
          </w:tcPr>
          <w:p>
            <w:pPr>
              <w:ind w:left="180"/>
              <w:spacing w:after="0"/>
              <w:rPr>
                <w:sz w:val="20"/>
                <w:szCs w:val="20"/>
                <w:color w:val="auto"/>
              </w:rPr>
            </w:pPr>
            <w:r>
              <w:rPr>
                <w:rFonts w:ascii="Arial" w:cs="Arial" w:eastAsia="Arial" w:hAnsi="Arial"/>
                <w:sz w:val="18"/>
                <w:szCs w:val="18"/>
                <w:color w:val="auto"/>
              </w:rPr>
              <w:t>Section 3.9.</w:t>
            </w:r>
          </w:p>
        </w:tc>
        <w:tc>
          <w:tcPr>
            <w:tcW w:w="9560" w:type="dxa"/>
            <w:vAlign w:val="bottom"/>
          </w:tcPr>
          <w:p>
            <w:pPr>
              <w:ind w:left="300"/>
              <w:spacing w:after="0"/>
              <w:rPr>
                <w:sz w:val="20"/>
                <w:szCs w:val="20"/>
                <w:color w:val="auto"/>
              </w:rPr>
            </w:pPr>
            <w:r>
              <w:rPr>
                <w:rFonts w:ascii="Arial" w:cs="Arial" w:eastAsia="Arial" w:hAnsi="Arial"/>
                <w:sz w:val="18"/>
                <w:szCs w:val="18"/>
                <w:color w:val="auto"/>
              </w:rPr>
              <w:t>Currency Conversion and Indemnity</w:t>
            </w: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8"/>
        </w:trPr>
        <w:tc>
          <w:tcPr>
            <w:tcW w:w="10880" w:type="dxa"/>
            <w:vAlign w:val="bottom"/>
            <w:gridSpan w:val="2"/>
          </w:tcPr>
          <w:p>
            <w:pPr>
              <w:spacing w:after="0"/>
              <w:rPr>
                <w:sz w:val="20"/>
                <w:szCs w:val="20"/>
                <w:color w:val="auto"/>
              </w:rPr>
            </w:pPr>
            <w:r>
              <w:rPr>
                <w:rFonts w:ascii="Arial" w:cs="Arial" w:eastAsia="Arial" w:hAnsi="Arial"/>
                <w:sz w:val="18"/>
                <w:szCs w:val="18"/>
                <w:color w:val="auto"/>
              </w:rPr>
              <w:t>ARTICLE IV. - Conditions Precedent to Lending</w:t>
            </w: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4.1.</w:t>
            </w:r>
          </w:p>
        </w:tc>
        <w:tc>
          <w:tcPr>
            <w:tcW w:w="9560" w:type="dxa"/>
            <w:vAlign w:val="bottom"/>
          </w:tcPr>
          <w:p>
            <w:pPr>
              <w:ind w:left="300"/>
              <w:spacing w:after="0"/>
              <w:rPr>
                <w:sz w:val="20"/>
                <w:szCs w:val="20"/>
                <w:color w:val="auto"/>
              </w:rPr>
            </w:pPr>
            <w:r>
              <w:rPr>
                <w:rFonts w:ascii="Arial" w:cs="Arial" w:eastAsia="Arial" w:hAnsi="Arial"/>
                <w:sz w:val="18"/>
                <w:szCs w:val="18"/>
                <w:color w:val="auto"/>
              </w:rPr>
              <w:t>Documents to be Delivered – Closing Date</w:t>
            </w: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4.2.</w:t>
            </w:r>
          </w:p>
        </w:tc>
        <w:tc>
          <w:tcPr>
            <w:tcW w:w="9560" w:type="dxa"/>
            <w:vAlign w:val="bottom"/>
          </w:tcPr>
          <w:p>
            <w:pPr>
              <w:ind w:left="300"/>
              <w:spacing w:after="0"/>
              <w:rPr>
                <w:sz w:val="20"/>
                <w:szCs w:val="20"/>
                <w:color w:val="auto"/>
              </w:rPr>
            </w:pPr>
            <w:r>
              <w:rPr>
                <w:rFonts w:ascii="Arial" w:cs="Arial" w:eastAsia="Arial" w:hAnsi="Arial"/>
                <w:sz w:val="18"/>
                <w:szCs w:val="18"/>
                <w:color w:val="auto"/>
              </w:rPr>
              <w:t>Additional Conditions Precedent</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320" w:type="dxa"/>
            <w:vAlign w:val="bottom"/>
          </w:tcPr>
          <w:p>
            <w:pPr>
              <w:ind w:left="180"/>
              <w:spacing w:after="0"/>
              <w:rPr>
                <w:sz w:val="20"/>
                <w:szCs w:val="20"/>
                <w:color w:val="auto"/>
              </w:rPr>
            </w:pPr>
            <w:r>
              <w:rPr>
                <w:rFonts w:ascii="Arial" w:cs="Arial" w:eastAsia="Arial" w:hAnsi="Arial"/>
                <w:sz w:val="18"/>
                <w:szCs w:val="18"/>
                <w:color w:val="auto"/>
              </w:rPr>
              <w:t>Section 4.3.</w:t>
            </w:r>
          </w:p>
        </w:tc>
        <w:tc>
          <w:tcPr>
            <w:tcW w:w="9560" w:type="dxa"/>
            <w:vAlign w:val="bottom"/>
          </w:tcPr>
          <w:p>
            <w:pPr>
              <w:ind w:left="300"/>
              <w:spacing w:after="0"/>
              <w:rPr>
                <w:sz w:val="20"/>
                <w:szCs w:val="20"/>
                <w:color w:val="auto"/>
              </w:rPr>
            </w:pPr>
            <w:r>
              <w:rPr>
                <w:rFonts w:ascii="Arial" w:cs="Arial" w:eastAsia="Arial" w:hAnsi="Arial"/>
                <w:sz w:val="18"/>
                <w:szCs w:val="18"/>
                <w:color w:val="auto"/>
              </w:rPr>
              <w:t>Initial Funding Date – Conditions Precedent</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8"/>
        </w:trPr>
        <w:tc>
          <w:tcPr>
            <w:tcW w:w="10880" w:type="dxa"/>
            <w:vAlign w:val="bottom"/>
            <w:gridSpan w:val="2"/>
          </w:tcPr>
          <w:p>
            <w:pPr>
              <w:spacing w:after="0"/>
              <w:rPr>
                <w:sz w:val="20"/>
                <w:szCs w:val="20"/>
                <w:color w:val="auto"/>
              </w:rPr>
            </w:pPr>
            <w:r>
              <w:rPr>
                <w:rFonts w:ascii="Arial" w:cs="Arial" w:eastAsia="Arial" w:hAnsi="Arial"/>
                <w:sz w:val="18"/>
                <w:szCs w:val="18"/>
                <w:color w:val="auto"/>
              </w:rPr>
              <w:t>ARTICLE V. - Representations and Warranties</w:t>
            </w: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5.1.</w:t>
            </w:r>
          </w:p>
        </w:tc>
        <w:tc>
          <w:tcPr>
            <w:tcW w:w="9560" w:type="dxa"/>
            <w:vAlign w:val="bottom"/>
          </w:tcPr>
          <w:p>
            <w:pPr>
              <w:ind w:left="300"/>
              <w:spacing w:after="0"/>
              <w:rPr>
                <w:sz w:val="20"/>
                <w:szCs w:val="20"/>
                <w:color w:val="auto"/>
              </w:rPr>
            </w:pPr>
            <w:r>
              <w:rPr>
                <w:rFonts w:ascii="Arial" w:cs="Arial" w:eastAsia="Arial" w:hAnsi="Arial"/>
                <w:sz w:val="18"/>
                <w:szCs w:val="18"/>
                <w:color w:val="auto"/>
              </w:rPr>
              <w:t>No Default</w:t>
            </w: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320" w:type="dxa"/>
            <w:vAlign w:val="bottom"/>
          </w:tcPr>
          <w:p>
            <w:pPr>
              <w:ind w:left="180"/>
              <w:spacing w:after="0"/>
              <w:rPr>
                <w:sz w:val="20"/>
                <w:szCs w:val="20"/>
                <w:color w:val="auto"/>
              </w:rPr>
            </w:pPr>
            <w:r>
              <w:rPr>
                <w:rFonts w:ascii="Arial" w:cs="Arial" w:eastAsia="Arial" w:hAnsi="Arial"/>
                <w:sz w:val="18"/>
                <w:szCs w:val="18"/>
                <w:color w:val="auto"/>
              </w:rPr>
              <w:t>Section 5.2.</w:t>
            </w:r>
          </w:p>
        </w:tc>
        <w:tc>
          <w:tcPr>
            <w:tcW w:w="9560" w:type="dxa"/>
            <w:vAlign w:val="bottom"/>
          </w:tcPr>
          <w:p>
            <w:pPr>
              <w:ind w:left="300"/>
              <w:spacing w:after="0"/>
              <w:rPr>
                <w:sz w:val="20"/>
                <w:szCs w:val="20"/>
                <w:color w:val="auto"/>
              </w:rPr>
            </w:pPr>
            <w:r>
              <w:rPr>
                <w:rFonts w:ascii="Arial" w:cs="Arial" w:eastAsia="Arial" w:hAnsi="Arial"/>
                <w:sz w:val="18"/>
                <w:szCs w:val="18"/>
                <w:color w:val="auto"/>
              </w:rPr>
              <w:t>Organization and Good Standing</w:t>
            </w: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r>
    </w:tbl>
    <w:p>
      <w:pPr>
        <w:sectPr>
          <w:pgSz w:w="11900" w:h="16870" w:orient="portrait"/>
          <w:cols w:equalWidth="0" w:num="1">
            <w:col w:w="11400"/>
          </w:cols>
          <w:pgMar w:left="260" w:top="121" w:right="239" w:bottom="0" w:gutter="0" w:footer="0" w:header="0"/>
        </w:sectPr>
      </w:pPr>
    </w:p>
    <w:bookmarkStart w:id="68" w:name="page69"/>
    <w:bookmarkEnd w:id="68"/>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5.3.</w:t>
            </w:r>
          </w:p>
        </w:tc>
        <w:tc>
          <w:tcPr>
            <w:tcW w:w="6980" w:type="dxa"/>
            <w:vAlign w:val="bottom"/>
          </w:tcPr>
          <w:p>
            <w:pPr>
              <w:ind w:left="380"/>
              <w:spacing w:after="0"/>
              <w:rPr>
                <w:sz w:val="20"/>
                <w:szCs w:val="20"/>
                <w:color w:val="auto"/>
              </w:rPr>
            </w:pPr>
            <w:r>
              <w:rPr>
                <w:rFonts w:ascii="Arial" w:cs="Arial" w:eastAsia="Arial" w:hAnsi="Arial"/>
                <w:sz w:val="18"/>
                <w:szCs w:val="18"/>
                <w:color w:val="auto"/>
              </w:rPr>
              <w:t>Authorization</w:t>
            </w:r>
          </w:p>
        </w:tc>
        <w:tc>
          <w:tcPr>
            <w:tcW w:w="32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5.4.</w:t>
            </w:r>
          </w:p>
        </w:tc>
        <w:tc>
          <w:tcPr>
            <w:tcW w:w="6980" w:type="dxa"/>
            <w:vAlign w:val="bottom"/>
          </w:tcPr>
          <w:p>
            <w:pPr>
              <w:ind w:left="380"/>
              <w:spacing w:after="0"/>
              <w:rPr>
                <w:sz w:val="20"/>
                <w:szCs w:val="20"/>
                <w:color w:val="auto"/>
              </w:rPr>
            </w:pPr>
            <w:r>
              <w:rPr>
                <w:rFonts w:ascii="Arial" w:cs="Arial" w:eastAsia="Arial" w:hAnsi="Arial"/>
                <w:sz w:val="18"/>
                <w:szCs w:val="18"/>
                <w:color w:val="auto"/>
              </w:rPr>
              <w:t>No Conflicts or Consents</w:t>
            </w:r>
          </w:p>
        </w:tc>
        <w:tc>
          <w:tcPr>
            <w:tcW w:w="32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5.5.</w:t>
            </w:r>
          </w:p>
        </w:tc>
        <w:tc>
          <w:tcPr>
            <w:tcW w:w="6980" w:type="dxa"/>
            <w:vAlign w:val="bottom"/>
          </w:tcPr>
          <w:p>
            <w:pPr>
              <w:ind w:left="380"/>
              <w:spacing w:after="0"/>
              <w:rPr>
                <w:sz w:val="20"/>
                <w:szCs w:val="20"/>
                <w:color w:val="auto"/>
              </w:rPr>
            </w:pPr>
            <w:r>
              <w:rPr>
                <w:rFonts w:ascii="Arial" w:cs="Arial" w:eastAsia="Arial" w:hAnsi="Arial"/>
                <w:sz w:val="18"/>
                <w:szCs w:val="18"/>
                <w:color w:val="auto"/>
              </w:rPr>
              <w:t>Enforceable Obligations</w:t>
            </w:r>
          </w:p>
        </w:tc>
        <w:tc>
          <w:tcPr>
            <w:tcW w:w="32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5.6.</w:t>
            </w:r>
          </w:p>
        </w:tc>
        <w:tc>
          <w:tcPr>
            <w:tcW w:w="6980" w:type="dxa"/>
            <w:vAlign w:val="bottom"/>
          </w:tcPr>
          <w:p>
            <w:pPr>
              <w:ind w:left="380"/>
              <w:spacing w:after="0"/>
              <w:rPr>
                <w:sz w:val="20"/>
                <w:szCs w:val="20"/>
                <w:color w:val="auto"/>
              </w:rPr>
            </w:pPr>
            <w:r>
              <w:rPr>
                <w:rFonts w:ascii="Arial" w:cs="Arial" w:eastAsia="Arial" w:hAnsi="Arial"/>
                <w:sz w:val="18"/>
                <w:szCs w:val="18"/>
                <w:color w:val="auto"/>
              </w:rPr>
              <w:t>Initial Financial Statements</w:t>
            </w:r>
          </w:p>
        </w:tc>
        <w:tc>
          <w:tcPr>
            <w:tcW w:w="32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260" w:type="dxa"/>
            <w:vAlign w:val="bottom"/>
          </w:tcPr>
          <w:p>
            <w:pPr>
              <w:ind w:left="200"/>
              <w:spacing w:after="0"/>
              <w:rPr>
                <w:sz w:val="20"/>
                <w:szCs w:val="20"/>
                <w:color w:val="auto"/>
              </w:rPr>
            </w:pPr>
            <w:r>
              <w:rPr>
                <w:rFonts w:ascii="Arial" w:cs="Arial" w:eastAsia="Arial" w:hAnsi="Arial"/>
                <w:sz w:val="18"/>
                <w:szCs w:val="18"/>
                <w:color w:val="auto"/>
              </w:rPr>
              <w:t>Section 5.7.</w:t>
            </w:r>
          </w:p>
        </w:tc>
        <w:tc>
          <w:tcPr>
            <w:tcW w:w="6980" w:type="dxa"/>
            <w:vAlign w:val="bottom"/>
          </w:tcPr>
          <w:p>
            <w:pPr>
              <w:ind w:left="380"/>
              <w:spacing w:after="0"/>
              <w:rPr>
                <w:sz w:val="20"/>
                <w:szCs w:val="20"/>
                <w:color w:val="auto"/>
              </w:rPr>
            </w:pPr>
            <w:r>
              <w:rPr>
                <w:rFonts w:ascii="Arial" w:cs="Arial" w:eastAsia="Arial" w:hAnsi="Arial"/>
                <w:sz w:val="18"/>
                <w:szCs w:val="18"/>
                <w:color w:val="auto"/>
              </w:rPr>
              <w:t>Other Obligations and Restrictions</w:t>
            </w:r>
          </w:p>
        </w:tc>
        <w:tc>
          <w:tcPr>
            <w:tcW w:w="32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260" w:type="dxa"/>
            <w:vAlign w:val="bottom"/>
          </w:tcPr>
          <w:p>
            <w:pPr>
              <w:spacing w:after="0"/>
              <w:rPr>
                <w:sz w:val="24"/>
                <w:szCs w:val="24"/>
                <w:color w:val="auto"/>
              </w:rPr>
            </w:pPr>
          </w:p>
        </w:tc>
        <w:tc>
          <w:tcPr>
            <w:tcW w:w="6980" w:type="dxa"/>
            <w:vAlign w:val="bottom"/>
          </w:tcPr>
          <w:p>
            <w:pPr>
              <w:ind w:left="4420"/>
              <w:spacing w:after="0"/>
              <w:rPr>
                <w:sz w:val="20"/>
                <w:szCs w:val="20"/>
                <w:color w:val="auto"/>
              </w:rPr>
            </w:pPr>
            <w:r>
              <w:rPr>
                <w:rFonts w:ascii="Arial" w:cs="Arial" w:eastAsia="Arial" w:hAnsi="Arial"/>
                <w:sz w:val="18"/>
                <w:szCs w:val="18"/>
                <w:color w:val="auto"/>
              </w:rPr>
              <w:t>i</w:t>
            </w:r>
          </w:p>
        </w:tc>
        <w:tc>
          <w:tcPr>
            <w:tcW w:w="3220" w:type="dxa"/>
            <w:vAlign w:val="bottom"/>
          </w:tcPr>
          <w:p>
            <w:pPr>
              <w:spacing w:after="0"/>
              <w:rPr>
                <w:sz w:val="24"/>
                <w:szCs w:val="24"/>
                <w:color w:val="auto"/>
              </w:rPr>
            </w:pPr>
          </w:p>
        </w:tc>
      </w:tr>
      <w:tr>
        <w:trPr>
          <w:trHeight w:val="132"/>
        </w:trPr>
        <w:tc>
          <w:tcPr>
            <w:tcW w:w="1260" w:type="dxa"/>
            <w:vAlign w:val="bottom"/>
            <w:tcBorders>
              <w:bottom w:val="single" w:sz="8" w:color="010101"/>
            </w:tcBorders>
          </w:tcPr>
          <w:p>
            <w:pPr>
              <w:spacing w:after="0"/>
              <w:rPr>
                <w:sz w:val="11"/>
                <w:szCs w:val="11"/>
                <w:color w:val="auto"/>
              </w:rPr>
            </w:pPr>
          </w:p>
        </w:tc>
        <w:tc>
          <w:tcPr>
            <w:tcW w:w="6980" w:type="dxa"/>
            <w:vAlign w:val="bottom"/>
            <w:tcBorders>
              <w:bottom w:val="single" w:sz="8" w:color="010101"/>
            </w:tcBorders>
          </w:tcPr>
          <w:p>
            <w:pPr>
              <w:spacing w:after="0"/>
              <w:rPr>
                <w:sz w:val="11"/>
                <w:szCs w:val="11"/>
                <w:color w:val="auto"/>
              </w:rPr>
            </w:pPr>
          </w:p>
        </w:tc>
        <w:tc>
          <w:tcPr>
            <w:tcW w:w="3220" w:type="dxa"/>
            <w:vAlign w:val="bottom"/>
            <w:tcBorders>
              <w:bottom w:val="single" w:sz="8" w:color="010101"/>
            </w:tcBorders>
          </w:tcPr>
          <w:p>
            <w:pPr>
              <w:spacing w:after="0"/>
              <w:rPr>
                <w:sz w:val="11"/>
                <w:szCs w:val="11"/>
                <w:color w:val="auto"/>
              </w:rPr>
            </w:pPr>
          </w:p>
        </w:tc>
      </w:tr>
      <w:tr>
        <w:trPr>
          <w:trHeight w:val="766"/>
        </w:trPr>
        <w:tc>
          <w:tcPr>
            <w:tcW w:w="1260" w:type="dxa"/>
            <w:vAlign w:val="bottom"/>
          </w:tcPr>
          <w:p>
            <w:pPr>
              <w:ind w:left="200"/>
              <w:spacing w:after="0"/>
              <w:rPr>
                <w:sz w:val="20"/>
                <w:szCs w:val="20"/>
                <w:color w:val="auto"/>
              </w:rPr>
            </w:pPr>
            <w:r>
              <w:rPr>
                <w:rFonts w:ascii="Arial" w:cs="Arial" w:eastAsia="Arial" w:hAnsi="Arial"/>
                <w:sz w:val="18"/>
                <w:szCs w:val="18"/>
                <w:color w:val="auto"/>
              </w:rPr>
              <w:t>Section 5.8.</w:t>
            </w:r>
          </w:p>
        </w:tc>
        <w:tc>
          <w:tcPr>
            <w:tcW w:w="6980" w:type="dxa"/>
            <w:vAlign w:val="bottom"/>
          </w:tcPr>
          <w:p>
            <w:pPr>
              <w:ind w:left="360"/>
              <w:spacing w:after="0"/>
              <w:rPr>
                <w:sz w:val="20"/>
                <w:szCs w:val="20"/>
                <w:color w:val="auto"/>
              </w:rPr>
            </w:pPr>
            <w:r>
              <w:rPr>
                <w:rFonts w:ascii="Arial" w:cs="Arial" w:eastAsia="Arial" w:hAnsi="Arial"/>
                <w:sz w:val="18"/>
                <w:szCs w:val="18"/>
                <w:color w:val="auto"/>
              </w:rPr>
              <w:t>Full Disclosure</w:t>
            </w:r>
          </w:p>
        </w:tc>
        <w:tc>
          <w:tcPr>
            <w:tcW w:w="3220" w:type="dxa"/>
            <w:vAlign w:val="bottom"/>
          </w:tcPr>
          <w:p>
            <w:pPr>
              <w:spacing w:after="0"/>
              <w:rPr>
                <w:sz w:val="24"/>
                <w:szCs w:val="24"/>
                <w:color w:val="auto"/>
              </w:rPr>
            </w:pP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5.9.</w:t>
            </w:r>
          </w:p>
        </w:tc>
        <w:tc>
          <w:tcPr>
            <w:tcW w:w="6980" w:type="dxa"/>
            <w:vAlign w:val="bottom"/>
          </w:tcPr>
          <w:p>
            <w:pPr>
              <w:ind w:left="360"/>
              <w:spacing w:after="0"/>
              <w:rPr>
                <w:sz w:val="20"/>
                <w:szCs w:val="20"/>
                <w:color w:val="auto"/>
              </w:rPr>
            </w:pPr>
            <w:r>
              <w:rPr>
                <w:rFonts w:ascii="Arial" w:cs="Arial" w:eastAsia="Arial" w:hAnsi="Arial"/>
                <w:sz w:val="18"/>
                <w:szCs w:val="18"/>
                <w:color w:val="auto"/>
              </w:rPr>
              <w:t>Litigation</w:t>
            </w:r>
          </w:p>
        </w:tc>
        <w:tc>
          <w:tcPr>
            <w:tcW w:w="3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w w:val="98"/>
              </w:rPr>
              <w:t>Section 5.10.</w:t>
            </w:r>
          </w:p>
        </w:tc>
        <w:tc>
          <w:tcPr>
            <w:tcW w:w="6980" w:type="dxa"/>
            <w:vAlign w:val="bottom"/>
          </w:tcPr>
          <w:p>
            <w:pPr>
              <w:ind w:left="360"/>
              <w:spacing w:after="0"/>
              <w:rPr>
                <w:sz w:val="20"/>
                <w:szCs w:val="20"/>
                <w:color w:val="auto"/>
              </w:rPr>
            </w:pPr>
            <w:r>
              <w:rPr>
                <w:rFonts w:ascii="Arial" w:cs="Arial" w:eastAsia="Arial" w:hAnsi="Arial"/>
                <w:sz w:val="18"/>
                <w:szCs w:val="18"/>
                <w:color w:val="auto"/>
              </w:rPr>
              <w:t>ERISA Plans and Liabilities</w:t>
            </w:r>
          </w:p>
        </w:tc>
        <w:tc>
          <w:tcPr>
            <w:tcW w:w="3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w w:val="98"/>
              </w:rPr>
              <w:t>Section 5.11.</w:t>
            </w:r>
          </w:p>
        </w:tc>
        <w:tc>
          <w:tcPr>
            <w:tcW w:w="6980" w:type="dxa"/>
            <w:vAlign w:val="bottom"/>
          </w:tcPr>
          <w:p>
            <w:pPr>
              <w:ind w:left="360"/>
              <w:spacing w:after="0"/>
              <w:rPr>
                <w:sz w:val="20"/>
                <w:szCs w:val="20"/>
                <w:color w:val="auto"/>
              </w:rPr>
            </w:pPr>
            <w:r>
              <w:rPr>
                <w:rFonts w:ascii="Arial" w:cs="Arial" w:eastAsia="Arial" w:hAnsi="Arial"/>
                <w:sz w:val="18"/>
                <w:szCs w:val="18"/>
                <w:color w:val="auto"/>
              </w:rPr>
              <w:t>Compliance with Permits, Consents and Law</w:t>
            </w:r>
          </w:p>
        </w:tc>
        <w:tc>
          <w:tcPr>
            <w:tcW w:w="3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w w:val="98"/>
              </w:rPr>
              <w:t>Section 5.12.</w:t>
            </w:r>
          </w:p>
        </w:tc>
        <w:tc>
          <w:tcPr>
            <w:tcW w:w="6980" w:type="dxa"/>
            <w:vAlign w:val="bottom"/>
          </w:tcPr>
          <w:p>
            <w:pPr>
              <w:ind w:left="360"/>
              <w:spacing w:after="0"/>
              <w:rPr>
                <w:sz w:val="20"/>
                <w:szCs w:val="20"/>
                <w:color w:val="auto"/>
              </w:rPr>
            </w:pPr>
            <w:r>
              <w:rPr>
                <w:rFonts w:ascii="Arial" w:cs="Arial" w:eastAsia="Arial" w:hAnsi="Arial"/>
                <w:sz w:val="18"/>
                <w:szCs w:val="18"/>
                <w:color w:val="auto"/>
              </w:rPr>
              <w:t>Environmental Laws</w:t>
            </w:r>
          </w:p>
        </w:tc>
        <w:tc>
          <w:tcPr>
            <w:tcW w:w="32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w w:val="98"/>
              </w:rPr>
              <w:t>Section 5.13.</w:t>
            </w:r>
          </w:p>
        </w:tc>
        <w:tc>
          <w:tcPr>
            <w:tcW w:w="6980" w:type="dxa"/>
            <w:vAlign w:val="bottom"/>
          </w:tcPr>
          <w:p>
            <w:pPr>
              <w:ind w:left="360"/>
              <w:spacing w:after="0"/>
              <w:rPr>
                <w:sz w:val="20"/>
                <w:szCs w:val="20"/>
                <w:color w:val="auto"/>
              </w:rPr>
            </w:pPr>
            <w:r>
              <w:rPr>
                <w:rFonts w:ascii="Arial" w:cs="Arial" w:eastAsia="Arial" w:hAnsi="Arial"/>
                <w:sz w:val="18"/>
                <w:szCs w:val="18"/>
                <w:color w:val="auto"/>
              </w:rPr>
              <w:t>Borrower’s Subsidiaries</w:t>
            </w:r>
          </w:p>
        </w:tc>
        <w:tc>
          <w:tcPr>
            <w:tcW w:w="32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w w:val="98"/>
              </w:rPr>
              <w:t>Section 5.14.</w:t>
            </w:r>
          </w:p>
        </w:tc>
        <w:tc>
          <w:tcPr>
            <w:tcW w:w="6980" w:type="dxa"/>
            <w:vAlign w:val="bottom"/>
          </w:tcPr>
          <w:p>
            <w:pPr>
              <w:ind w:left="360"/>
              <w:spacing w:after="0"/>
              <w:rPr>
                <w:sz w:val="20"/>
                <w:szCs w:val="20"/>
                <w:color w:val="auto"/>
              </w:rPr>
            </w:pPr>
            <w:r>
              <w:rPr>
                <w:rFonts w:ascii="Arial" w:cs="Arial" w:eastAsia="Arial" w:hAnsi="Arial"/>
                <w:sz w:val="18"/>
                <w:szCs w:val="18"/>
                <w:color w:val="auto"/>
              </w:rPr>
              <w:t>Title to Properties</w:t>
            </w:r>
          </w:p>
        </w:tc>
        <w:tc>
          <w:tcPr>
            <w:tcW w:w="32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w w:val="98"/>
              </w:rPr>
              <w:t>Section 5.15.</w:t>
            </w:r>
          </w:p>
        </w:tc>
        <w:tc>
          <w:tcPr>
            <w:tcW w:w="6980" w:type="dxa"/>
            <w:vAlign w:val="bottom"/>
          </w:tcPr>
          <w:p>
            <w:pPr>
              <w:ind w:left="360"/>
              <w:spacing w:after="0"/>
              <w:rPr>
                <w:sz w:val="20"/>
                <w:szCs w:val="20"/>
                <w:color w:val="auto"/>
              </w:rPr>
            </w:pPr>
            <w:r>
              <w:rPr>
                <w:rFonts w:ascii="Arial" w:cs="Arial" w:eastAsia="Arial" w:hAnsi="Arial"/>
                <w:sz w:val="18"/>
                <w:szCs w:val="18"/>
                <w:color w:val="auto"/>
              </w:rPr>
              <w:t>Government Regulation</w:t>
            </w:r>
          </w:p>
        </w:tc>
        <w:tc>
          <w:tcPr>
            <w:tcW w:w="32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w w:val="98"/>
              </w:rPr>
              <w:t>Section 5.16.</w:t>
            </w:r>
          </w:p>
        </w:tc>
        <w:tc>
          <w:tcPr>
            <w:tcW w:w="6980" w:type="dxa"/>
            <w:vAlign w:val="bottom"/>
          </w:tcPr>
          <w:p>
            <w:pPr>
              <w:ind w:left="360"/>
              <w:spacing w:after="0"/>
              <w:rPr>
                <w:sz w:val="20"/>
                <w:szCs w:val="20"/>
                <w:color w:val="auto"/>
              </w:rPr>
            </w:pPr>
            <w:r>
              <w:rPr>
                <w:rFonts w:ascii="Arial" w:cs="Arial" w:eastAsia="Arial" w:hAnsi="Arial"/>
                <w:sz w:val="18"/>
                <w:szCs w:val="18"/>
                <w:color w:val="auto"/>
              </w:rPr>
              <w:t>Insider</w:t>
            </w:r>
          </w:p>
        </w:tc>
        <w:tc>
          <w:tcPr>
            <w:tcW w:w="3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260" w:type="dxa"/>
            <w:vAlign w:val="bottom"/>
          </w:tcPr>
          <w:p>
            <w:pPr>
              <w:ind w:left="200"/>
              <w:spacing w:after="0"/>
              <w:rPr>
                <w:sz w:val="20"/>
                <w:szCs w:val="20"/>
                <w:color w:val="auto"/>
              </w:rPr>
            </w:pPr>
            <w:r>
              <w:rPr>
                <w:rFonts w:ascii="Arial" w:cs="Arial" w:eastAsia="Arial" w:hAnsi="Arial"/>
                <w:sz w:val="18"/>
                <w:szCs w:val="18"/>
                <w:color w:val="auto"/>
                <w:w w:val="98"/>
              </w:rPr>
              <w:t>Section 5.17.</w:t>
            </w:r>
          </w:p>
        </w:tc>
        <w:tc>
          <w:tcPr>
            <w:tcW w:w="6980" w:type="dxa"/>
            <w:vAlign w:val="bottom"/>
          </w:tcPr>
          <w:p>
            <w:pPr>
              <w:ind w:left="360"/>
              <w:spacing w:after="0"/>
              <w:rPr>
                <w:sz w:val="20"/>
                <w:szCs w:val="20"/>
                <w:color w:val="auto"/>
              </w:rPr>
            </w:pPr>
            <w:r>
              <w:rPr>
                <w:rFonts w:ascii="Arial" w:cs="Arial" w:eastAsia="Arial" w:hAnsi="Arial"/>
                <w:sz w:val="18"/>
                <w:szCs w:val="18"/>
                <w:color w:val="auto"/>
              </w:rPr>
              <w:t>Solvency</w:t>
            </w:r>
          </w:p>
        </w:tc>
        <w:tc>
          <w:tcPr>
            <w:tcW w:w="3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8"/>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ARTICLE VI. - Affirmative Covenants</w:t>
            </w:r>
          </w:p>
        </w:tc>
        <w:tc>
          <w:tcPr>
            <w:tcW w:w="3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6.1.</w:t>
            </w:r>
          </w:p>
        </w:tc>
        <w:tc>
          <w:tcPr>
            <w:tcW w:w="6980" w:type="dxa"/>
            <w:vAlign w:val="bottom"/>
          </w:tcPr>
          <w:p>
            <w:pPr>
              <w:ind w:left="360"/>
              <w:spacing w:after="0"/>
              <w:rPr>
                <w:sz w:val="20"/>
                <w:szCs w:val="20"/>
                <w:color w:val="auto"/>
              </w:rPr>
            </w:pPr>
            <w:r>
              <w:rPr>
                <w:rFonts w:ascii="Arial" w:cs="Arial" w:eastAsia="Arial" w:hAnsi="Arial"/>
                <w:sz w:val="18"/>
                <w:szCs w:val="18"/>
                <w:color w:val="auto"/>
              </w:rPr>
              <w:t>Payment and Performance</w:t>
            </w:r>
          </w:p>
        </w:tc>
        <w:tc>
          <w:tcPr>
            <w:tcW w:w="3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6.2.</w:t>
            </w:r>
          </w:p>
        </w:tc>
        <w:tc>
          <w:tcPr>
            <w:tcW w:w="6980" w:type="dxa"/>
            <w:vAlign w:val="bottom"/>
          </w:tcPr>
          <w:p>
            <w:pPr>
              <w:ind w:left="360"/>
              <w:spacing w:after="0"/>
              <w:rPr>
                <w:sz w:val="20"/>
                <w:szCs w:val="20"/>
                <w:color w:val="auto"/>
              </w:rPr>
            </w:pPr>
            <w:r>
              <w:rPr>
                <w:rFonts w:ascii="Arial" w:cs="Arial" w:eastAsia="Arial" w:hAnsi="Arial"/>
                <w:sz w:val="18"/>
                <w:szCs w:val="18"/>
                <w:color w:val="auto"/>
              </w:rPr>
              <w:t>Books, Financial Statements and Reports</w:t>
            </w:r>
          </w:p>
        </w:tc>
        <w:tc>
          <w:tcPr>
            <w:tcW w:w="3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6.3.</w:t>
            </w:r>
          </w:p>
        </w:tc>
        <w:tc>
          <w:tcPr>
            <w:tcW w:w="6980" w:type="dxa"/>
            <w:vAlign w:val="bottom"/>
          </w:tcPr>
          <w:p>
            <w:pPr>
              <w:ind w:left="360"/>
              <w:spacing w:after="0"/>
              <w:rPr>
                <w:sz w:val="20"/>
                <w:szCs w:val="20"/>
                <w:color w:val="auto"/>
              </w:rPr>
            </w:pPr>
            <w:r>
              <w:rPr>
                <w:rFonts w:ascii="Arial" w:cs="Arial" w:eastAsia="Arial" w:hAnsi="Arial"/>
                <w:sz w:val="18"/>
                <w:szCs w:val="18"/>
                <w:color w:val="auto"/>
              </w:rPr>
              <w:t>Other Information and Inspections</w:t>
            </w:r>
          </w:p>
        </w:tc>
        <w:tc>
          <w:tcPr>
            <w:tcW w:w="32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6.4.</w:t>
            </w:r>
          </w:p>
        </w:tc>
        <w:tc>
          <w:tcPr>
            <w:tcW w:w="6980" w:type="dxa"/>
            <w:vAlign w:val="bottom"/>
          </w:tcPr>
          <w:p>
            <w:pPr>
              <w:ind w:left="360"/>
              <w:spacing w:after="0"/>
              <w:rPr>
                <w:sz w:val="20"/>
                <w:szCs w:val="20"/>
                <w:color w:val="auto"/>
              </w:rPr>
            </w:pPr>
            <w:r>
              <w:rPr>
                <w:rFonts w:ascii="Arial" w:cs="Arial" w:eastAsia="Arial" w:hAnsi="Arial"/>
                <w:sz w:val="18"/>
                <w:szCs w:val="18"/>
                <w:color w:val="auto"/>
              </w:rPr>
              <w:t>Notice of Material Events</w:t>
            </w:r>
          </w:p>
        </w:tc>
        <w:tc>
          <w:tcPr>
            <w:tcW w:w="3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6.5.</w:t>
            </w:r>
          </w:p>
        </w:tc>
        <w:tc>
          <w:tcPr>
            <w:tcW w:w="6980" w:type="dxa"/>
            <w:vAlign w:val="bottom"/>
          </w:tcPr>
          <w:p>
            <w:pPr>
              <w:ind w:left="360"/>
              <w:spacing w:after="0"/>
              <w:rPr>
                <w:sz w:val="20"/>
                <w:szCs w:val="20"/>
                <w:color w:val="auto"/>
              </w:rPr>
            </w:pPr>
            <w:r>
              <w:rPr>
                <w:rFonts w:ascii="Arial" w:cs="Arial" w:eastAsia="Arial" w:hAnsi="Arial"/>
                <w:sz w:val="18"/>
                <w:szCs w:val="18"/>
                <w:color w:val="auto"/>
              </w:rPr>
              <w:t>Maintenance of Existence, Qualifications and Assets</w:t>
            </w:r>
          </w:p>
        </w:tc>
        <w:tc>
          <w:tcPr>
            <w:tcW w:w="32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6.6.</w:t>
            </w:r>
          </w:p>
        </w:tc>
        <w:tc>
          <w:tcPr>
            <w:tcW w:w="6980" w:type="dxa"/>
            <w:vAlign w:val="bottom"/>
          </w:tcPr>
          <w:p>
            <w:pPr>
              <w:ind w:left="360"/>
              <w:spacing w:after="0"/>
              <w:rPr>
                <w:sz w:val="20"/>
                <w:szCs w:val="20"/>
                <w:color w:val="auto"/>
              </w:rPr>
            </w:pPr>
            <w:r>
              <w:rPr>
                <w:rFonts w:ascii="Arial" w:cs="Arial" w:eastAsia="Arial" w:hAnsi="Arial"/>
                <w:sz w:val="18"/>
                <w:szCs w:val="18"/>
                <w:color w:val="auto"/>
              </w:rPr>
              <w:t>Payment of Taxes, etc.</w:t>
            </w:r>
          </w:p>
        </w:tc>
        <w:tc>
          <w:tcPr>
            <w:tcW w:w="32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6.7.</w:t>
            </w:r>
          </w:p>
        </w:tc>
        <w:tc>
          <w:tcPr>
            <w:tcW w:w="6980" w:type="dxa"/>
            <w:vAlign w:val="bottom"/>
          </w:tcPr>
          <w:p>
            <w:pPr>
              <w:ind w:left="360"/>
              <w:spacing w:after="0"/>
              <w:rPr>
                <w:sz w:val="20"/>
                <w:szCs w:val="20"/>
                <w:color w:val="auto"/>
              </w:rPr>
            </w:pPr>
            <w:r>
              <w:rPr>
                <w:rFonts w:ascii="Arial" w:cs="Arial" w:eastAsia="Arial" w:hAnsi="Arial"/>
                <w:sz w:val="18"/>
                <w:szCs w:val="18"/>
                <w:color w:val="auto"/>
              </w:rPr>
              <w:t>Insurance</w:t>
            </w:r>
          </w:p>
        </w:tc>
        <w:tc>
          <w:tcPr>
            <w:tcW w:w="3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6.8.</w:t>
            </w:r>
          </w:p>
        </w:tc>
        <w:tc>
          <w:tcPr>
            <w:tcW w:w="6980" w:type="dxa"/>
            <w:vAlign w:val="bottom"/>
          </w:tcPr>
          <w:p>
            <w:pPr>
              <w:ind w:left="360"/>
              <w:spacing w:after="0"/>
              <w:rPr>
                <w:sz w:val="20"/>
                <w:szCs w:val="20"/>
                <w:color w:val="auto"/>
              </w:rPr>
            </w:pPr>
            <w:r>
              <w:rPr>
                <w:rFonts w:ascii="Arial" w:cs="Arial" w:eastAsia="Arial" w:hAnsi="Arial"/>
                <w:sz w:val="18"/>
                <w:szCs w:val="18"/>
                <w:color w:val="auto"/>
              </w:rPr>
              <w:t>Compliance with Agreements and Law</w:t>
            </w:r>
          </w:p>
        </w:tc>
        <w:tc>
          <w:tcPr>
            <w:tcW w:w="3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260" w:type="dxa"/>
            <w:vAlign w:val="bottom"/>
          </w:tcPr>
          <w:p>
            <w:pPr>
              <w:ind w:left="200"/>
              <w:spacing w:after="0"/>
              <w:rPr>
                <w:sz w:val="20"/>
                <w:szCs w:val="20"/>
                <w:color w:val="auto"/>
              </w:rPr>
            </w:pPr>
            <w:r>
              <w:rPr>
                <w:rFonts w:ascii="Arial" w:cs="Arial" w:eastAsia="Arial" w:hAnsi="Arial"/>
                <w:sz w:val="18"/>
                <w:szCs w:val="18"/>
                <w:color w:val="auto"/>
              </w:rPr>
              <w:t>Section 6.9.</w:t>
            </w:r>
          </w:p>
        </w:tc>
        <w:tc>
          <w:tcPr>
            <w:tcW w:w="6980" w:type="dxa"/>
            <w:vAlign w:val="bottom"/>
          </w:tcPr>
          <w:p>
            <w:pPr>
              <w:ind w:left="360"/>
              <w:spacing w:after="0"/>
              <w:rPr>
                <w:sz w:val="20"/>
                <w:szCs w:val="20"/>
                <w:color w:val="auto"/>
              </w:rPr>
            </w:pPr>
            <w:r>
              <w:rPr>
                <w:rFonts w:ascii="Arial" w:cs="Arial" w:eastAsia="Arial" w:hAnsi="Arial"/>
                <w:sz w:val="18"/>
                <w:szCs w:val="18"/>
                <w:color w:val="auto"/>
              </w:rPr>
              <w:t>Guaranties of Subsidiaries</w:t>
            </w:r>
          </w:p>
        </w:tc>
        <w:tc>
          <w:tcPr>
            <w:tcW w:w="3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8"/>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ARTICLE VII. - Negative Covenants</w:t>
            </w:r>
          </w:p>
        </w:tc>
        <w:tc>
          <w:tcPr>
            <w:tcW w:w="3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7.1.</w:t>
            </w:r>
          </w:p>
        </w:tc>
        <w:tc>
          <w:tcPr>
            <w:tcW w:w="6980" w:type="dxa"/>
            <w:vAlign w:val="bottom"/>
          </w:tcPr>
          <w:p>
            <w:pPr>
              <w:ind w:left="360"/>
              <w:spacing w:after="0"/>
              <w:rPr>
                <w:sz w:val="20"/>
                <w:szCs w:val="20"/>
                <w:color w:val="auto"/>
              </w:rPr>
            </w:pPr>
            <w:r>
              <w:rPr>
                <w:rFonts w:ascii="Arial" w:cs="Arial" w:eastAsia="Arial" w:hAnsi="Arial"/>
                <w:sz w:val="18"/>
                <w:szCs w:val="18"/>
                <w:color w:val="auto"/>
              </w:rPr>
              <w:t>Subsidiary Indebtedness</w:t>
            </w:r>
          </w:p>
        </w:tc>
        <w:tc>
          <w:tcPr>
            <w:tcW w:w="3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7.2.</w:t>
            </w:r>
          </w:p>
        </w:tc>
        <w:tc>
          <w:tcPr>
            <w:tcW w:w="6980" w:type="dxa"/>
            <w:vAlign w:val="bottom"/>
          </w:tcPr>
          <w:p>
            <w:pPr>
              <w:ind w:left="360"/>
              <w:spacing w:after="0"/>
              <w:rPr>
                <w:sz w:val="20"/>
                <w:szCs w:val="20"/>
                <w:color w:val="auto"/>
              </w:rPr>
            </w:pPr>
            <w:r>
              <w:rPr>
                <w:rFonts w:ascii="Arial" w:cs="Arial" w:eastAsia="Arial" w:hAnsi="Arial"/>
                <w:sz w:val="18"/>
                <w:szCs w:val="18"/>
                <w:color w:val="auto"/>
              </w:rPr>
              <w:t>Limitation on Liens</w:t>
            </w:r>
          </w:p>
        </w:tc>
        <w:tc>
          <w:tcPr>
            <w:tcW w:w="3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7.3.</w:t>
            </w:r>
          </w:p>
        </w:tc>
        <w:tc>
          <w:tcPr>
            <w:tcW w:w="6980" w:type="dxa"/>
            <w:vAlign w:val="bottom"/>
          </w:tcPr>
          <w:p>
            <w:pPr>
              <w:ind w:left="360"/>
              <w:spacing w:after="0"/>
              <w:rPr>
                <w:sz w:val="20"/>
                <w:szCs w:val="20"/>
                <w:color w:val="auto"/>
              </w:rPr>
            </w:pPr>
            <w:r>
              <w:rPr>
                <w:rFonts w:ascii="Arial" w:cs="Arial" w:eastAsia="Arial" w:hAnsi="Arial"/>
                <w:sz w:val="18"/>
                <w:szCs w:val="18"/>
                <w:color w:val="auto"/>
              </w:rPr>
              <w:t>Limitation on Mergers</w:t>
            </w:r>
          </w:p>
        </w:tc>
        <w:tc>
          <w:tcPr>
            <w:tcW w:w="32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7.4.</w:t>
            </w:r>
          </w:p>
        </w:tc>
        <w:tc>
          <w:tcPr>
            <w:tcW w:w="6980" w:type="dxa"/>
            <w:vAlign w:val="bottom"/>
          </w:tcPr>
          <w:p>
            <w:pPr>
              <w:ind w:left="360"/>
              <w:spacing w:after="0"/>
              <w:rPr>
                <w:sz w:val="20"/>
                <w:szCs w:val="20"/>
                <w:color w:val="auto"/>
              </w:rPr>
            </w:pPr>
            <w:r>
              <w:rPr>
                <w:rFonts w:ascii="Arial" w:cs="Arial" w:eastAsia="Arial" w:hAnsi="Arial"/>
                <w:sz w:val="18"/>
                <w:szCs w:val="18"/>
                <w:color w:val="auto"/>
              </w:rPr>
              <w:t>Limitation on New Businesses</w:t>
            </w:r>
          </w:p>
        </w:tc>
        <w:tc>
          <w:tcPr>
            <w:tcW w:w="3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7.5.</w:t>
            </w:r>
          </w:p>
        </w:tc>
        <w:tc>
          <w:tcPr>
            <w:tcW w:w="6980" w:type="dxa"/>
            <w:vAlign w:val="bottom"/>
          </w:tcPr>
          <w:p>
            <w:pPr>
              <w:ind w:left="360"/>
              <w:spacing w:after="0"/>
              <w:rPr>
                <w:sz w:val="20"/>
                <w:szCs w:val="20"/>
                <w:color w:val="auto"/>
              </w:rPr>
            </w:pPr>
            <w:r>
              <w:rPr>
                <w:rFonts w:ascii="Arial" w:cs="Arial" w:eastAsia="Arial" w:hAnsi="Arial"/>
                <w:sz w:val="18"/>
                <w:szCs w:val="18"/>
                <w:color w:val="auto"/>
              </w:rPr>
              <w:t>Transactions with Affiliates</w:t>
            </w:r>
          </w:p>
        </w:tc>
        <w:tc>
          <w:tcPr>
            <w:tcW w:w="3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7.6.</w:t>
            </w:r>
          </w:p>
        </w:tc>
        <w:tc>
          <w:tcPr>
            <w:tcW w:w="6980" w:type="dxa"/>
            <w:vAlign w:val="bottom"/>
          </w:tcPr>
          <w:p>
            <w:pPr>
              <w:ind w:left="360"/>
              <w:spacing w:after="0"/>
              <w:rPr>
                <w:sz w:val="20"/>
                <w:szCs w:val="20"/>
                <w:color w:val="auto"/>
              </w:rPr>
            </w:pPr>
            <w:r>
              <w:rPr>
                <w:rFonts w:ascii="Arial" w:cs="Arial" w:eastAsia="Arial" w:hAnsi="Arial"/>
                <w:sz w:val="18"/>
                <w:szCs w:val="18"/>
                <w:color w:val="auto"/>
              </w:rPr>
              <w:t>Limitation on Distributions</w:t>
            </w:r>
          </w:p>
        </w:tc>
        <w:tc>
          <w:tcPr>
            <w:tcW w:w="3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7.7.</w:t>
            </w:r>
          </w:p>
        </w:tc>
        <w:tc>
          <w:tcPr>
            <w:tcW w:w="6980" w:type="dxa"/>
            <w:vAlign w:val="bottom"/>
          </w:tcPr>
          <w:p>
            <w:pPr>
              <w:ind w:left="360"/>
              <w:spacing w:after="0"/>
              <w:rPr>
                <w:sz w:val="20"/>
                <w:szCs w:val="20"/>
                <w:color w:val="auto"/>
              </w:rPr>
            </w:pPr>
            <w:r>
              <w:rPr>
                <w:rFonts w:ascii="Arial" w:cs="Arial" w:eastAsia="Arial" w:hAnsi="Arial"/>
                <w:sz w:val="18"/>
                <w:szCs w:val="18"/>
                <w:color w:val="auto"/>
              </w:rPr>
              <w:t>Restricted Contracts</w:t>
            </w:r>
          </w:p>
        </w:tc>
        <w:tc>
          <w:tcPr>
            <w:tcW w:w="3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7.8.</w:t>
            </w:r>
          </w:p>
        </w:tc>
        <w:tc>
          <w:tcPr>
            <w:tcW w:w="6980" w:type="dxa"/>
            <w:vAlign w:val="bottom"/>
          </w:tcPr>
          <w:p>
            <w:pPr>
              <w:ind w:left="360"/>
              <w:spacing w:after="0"/>
              <w:rPr>
                <w:sz w:val="20"/>
                <w:szCs w:val="20"/>
                <w:color w:val="auto"/>
              </w:rPr>
            </w:pPr>
            <w:r>
              <w:rPr>
                <w:rFonts w:ascii="Arial" w:cs="Arial" w:eastAsia="Arial" w:hAnsi="Arial"/>
                <w:sz w:val="18"/>
                <w:szCs w:val="18"/>
                <w:color w:val="auto"/>
              </w:rPr>
              <w:t>Debt Coverage Ratio</w:t>
            </w:r>
          </w:p>
        </w:tc>
        <w:tc>
          <w:tcPr>
            <w:tcW w:w="3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7.9.</w:t>
            </w:r>
          </w:p>
        </w:tc>
        <w:tc>
          <w:tcPr>
            <w:tcW w:w="6980" w:type="dxa"/>
            <w:vAlign w:val="bottom"/>
          </w:tcPr>
          <w:p>
            <w:pPr>
              <w:ind w:left="360"/>
              <w:spacing w:after="0"/>
              <w:rPr>
                <w:sz w:val="20"/>
                <w:szCs w:val="20"/>
                <w:color w:val="auto"/>
              </w:rPr>
            </w:pPr>
            <w:r>
              <w:rPr>
                <w:rFonts w:ascii="Arial" w:cs="Arial" w:eastAsia="Arial" w:hAnsi="Arial"/>
                <w:sz w:val="18"/>
                <w:szCs w:val="18"/>
                <w:color w:val="auto"/>
              </w:rPr>
              <w:t>Intentionally Deleted</w:t>
            </w:r>
          </w:p>
        </w:tc>
        <w:tc>
          <w:tcPr>
            <w:tcW w:w="3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w w:val="98"/>
              </w:rPr>
              <w:t>Section 7.10.</w:t>
            </w:r>
          </w:p>
        </w:tc>
        <w:tc>
          <w:tcPr>
            <w:tcW w:w="6980" w:type="dxa"/>
            <w:vAlign w:val="bottom"/>
          </w:tcPr>
          <w:p>
            <w:pPr>
              <w:ind w:left="360"/>
              <w:spacing w:after="0"/>
              <w:rPr>
                <w:sz w:val="20"/>
                <w:szCs w:val="20"/>
                <w:color w:val="auto"/>
              </w:rPr>
            </w:pPr>
            <w:r>
              <w:rPr>
                <w:rFonts w:ascii="Arial" w:cs="Arial" w:eastAsia="Arial" w:hAnsi="Arial"/>
                <w:sz w:val="18"/>
                <w:szCs w:val="18"/>
                <w:color w:val="auto"/>
              </w:rPr>
              <w:t>Unrestricted Subsidiaries</w:t>
            </w:r>
          </w:p>
        </w:tc>
        <w:tc>
          <w:tcPr>
            <w:tcW w:w="3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260" w:type="dxa"/>
            <w:vAlign w:val="bottom"/>
          </w:tcPr>
          <w:p>
            <w:pPr>
              <w:ind w:left="200"/>
              <w:spacing w:after="0"/>
              <w:rPr>
                <w:sz w:val="20"/>
                <w:szCs w:val="20"/>
                <w:color w:val="auto"/>
              </w:rPr>
            </w:pPr>
            <w:r>
              <w:rPr>
                <w:rFonts w:ascii="Arial" w:cs="Arial" w:eastAsia="Arial" w:hAnsi="Arial"/>
                <w:sz w:val="18"/>
                <w:szCs w:val="18"/>
                <w:color w:val="auto"/>
                <w:w w:val="98"/>
              </w:rPr>
              <w:t>Section 7.11.</w:t>
            </w:r>
          </w:p>
        </w:tc>
        <w:tc>
          <w:tcPr>
            <w:tcW w:w="6980" w:type="dxa"/>
            <w:vAlign w:val="bottom"/>
          </w:tcPr>
          <w:p>
            <w:pPr>
              <w:ind w:left="360"/>
              <w:spacing w:after="0"/>
              <w:rPr>
                <w:sz w:val="20"/>
                <w:szCs w:val="20"/>
                <w:color w:val="auto"/>
              </w:rPr>
            </w:pPr>
            <w:r>
              <w:rPr>
                <w:rFonts w:ascii="Arial" w:cs="Arial" w:eastAsia="Arial" w:hAnsi="Arial"/>
                <w:sz w:val="18"/>
                <w:szCs w:val="18"/>
                <w:color w:val="auto"/>
              </w:rPr>
              <w:t>No Negative Pledges</w:t>
            </w:r>
          </w:p>
        </w:tc>
        <w:tc>
          <w:tcPr>
            <w:tcW w:w="3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8"/>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ARTICLE VIII. - Events of Default and Remedies</w:t>
            </w:r>
          </w:p>
        </w:tc>
        <w:tc>
          <w:tcPr>
            <w:tcW w:w="3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8.1.</w:t>
            </w:r>
          </w:p>
        </w:tc>
        <w:tc>
          <w:tcPr>
            <w:tcW w:w="6980" w:type="dxa"/>
            <w:vAlign w:val="bottom"/>
          </w:tcPr>
          <w:p>
            <w:pPr>
              <w:ind w:left="360"/>
              <w:spacing w:after="0"/>
              <w:rPr>
                <w:sz w:val="20"/>
                <w:szCs w:val="20"/>
                <w:color w:val="auto"/>
              </w:rPr>
            </w:pPr>
            <w:r>
              <w:rPr>
                <w:rFonts w:ascii="Arial" w:cs="Arial" w:eastAsia="Arial" w:hAnsi="Arial"/>
                <w:sz w:val="18"/>
                <w:szCs w:val="18"/>
                <w:color w:val="auto"/>
              </w:rPr>
              <w:t>Events of Default</w:t>
            </w:r>
          </w:p>
        </w:tc>
        <w:tc>
          <w:tcPr>
            <w:tcW w:w="3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260" w:type="dxa"/>
            <w:vAlign w:val="bottom"/>
          </w:tcPr>
          <w:p>
            <w:pPr>
              <w:ind w:left="200"/>
              <w:spacing w:after="0"/>
              <w:rPr>
                <w:sz w:val="20"/>
                <w:szCs w:val="20"/>
                <w:color w:val="auto"/>
              </w:rPr>
            </w:pPr>
            <w:r>
              <w:rPr>
                <w:rFonts w:ascii="Arial" w:cs="Arial" w:eastAsia="Arial" w:hAnsi="Arial"/>
                <w:sz w:val="18"/>
                <w:szCs w:val="18"/>
                <w:color w:val="auto"/>
              </w:rPr>
              <w:t>Section 8.2.</w:t>
            </w:r>
          </w:p>
        </w:tc>
        <w:tc>
          <w:tcPr>
            <w:tcW w:w="6980" w:type="dxa"/>
            <w:vAlign w:val="bottom"/>
          </w:tcPr>
          <w:p>
            <w:pPr>
              <w:ind w:left="360"/>
              <w:spacing w:after="0"/>
              <w:rPr>
                <w:sz w:val="20"/>
                <w:szCs w:val="20"/>
                <w:color w:val="auto"/>
              </w:rPr>
            </w:pPr>
            <w:r>
              <w:rPr>
                <w:rFonts w:ascii="Arial" w:cs="Arial" w:eastAsia="Arial" w:hAnsi="Arial"/>
                <w:sz w:val="18"/>
                <w:szCs w:val="18"/>
                <w:color w:val="auto"/>
              </w:rPr>
              <w:t>Remedies</w:t>
            </w:r>
          </w:p>
        </w:tc>
        <w:tc>
          <w:tcPr>
            <w:tcW w:w="3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8"/>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ARTICLE IX. – Administrative Agent</w:t>
            </w:r>
          </w:p>
        </w:tc>
        <w:tc>
          <w:tcPr>
            <w:tcW w:w="3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9.1.</w:t>
            </w:r>
          </w:p>
        </w:tc>
        <w:tc>
          <w:tcPr>
            <w:tcW w:w="6980" w:type="dxa"/>
            <w:vAlign w:val="bottom"/>
          </w:tcPr>
          <w:p>
            <w:pPr>
              <w:ind w:left="360"/>
              <w:spacing w:after="0"/>
              <w:rPr>
                <w:sz w:val="20"/>
                <w:szCs w:val="20"/>
                <w:color w:val="auto"/>
              </w:rPr>
            </w:pPr>
            <w:r>
              <w:rPr>
                <w:rFonts w:ascii="Arial" w:cs="Arial" w:eastAsia="Arial" w:hAnsi="Arial"/>
                <w:sz w:val="18"/>
                <w:szCs w:val="18"/>
                <w:color w:val="auto"/>
              </w:rPr>
              <w:t>Appointment and Authority</w:t>
            </w:r>
          </w:p>
        </w:tc>
        <w:tc>
          <w:tcPr>
            <w:tcW w:w="3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9.2.</w:t>
            </w:r>
          </w:p>
        </w:tc>
        <w:tc>
          <w:tcPr>
            <w:tcW w:w="6980" w:type="dxa"/>
            <w:vAlign w:val="bottom"/>
          </w:tcPr>
          <w:p>
            <w:pPr>
              <w:ind w:left="360"/>
              <w:spacing w:after="0"/>
              <w:rPr>
                <w:sz w:val="20"/>
                <w:szCs w:val="20"/>
                <w:color w:val="auto"/>
              </w:rPr>
            </w:pPr>
            <w:r>
              <w:rPr>
                <w:rFonts w:ascii="Arial" w:cs="Arial" w:eastAsia="Arial" w:hAnsi="Arial"/>
                <w:sz w:val="18"/>
                <w:szCs w:val="18"/>
                <w:color w:val="auto"/>
              </w:rPr>
              <w:t>Rights as a Lender</w:t>
            </w:r>
          </w:p>
        </w:tc>
        <w:tc>
          <w:tcPr>
            <w:tcW w:w="3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9.3.</w:t>
            </w:r>
          </w:p>
        </w:tc>
        <w:tc>
          <w:tcPr>
            <w:tcW w:w="6980" w:type="dxa"/>
            <w:vAlign w:val="bottom"/>
          </w:tcPr>
          <w:p>
            <w:pPr>
              <w:ind w:left="360"/>
              <w:spacing w:after="0"/>
              <w:rPr>
                <w:sz w:val="20"/>
                <w:szCs w:val="20"/>
                <w:color w:val="auto"/>
              </w:rPr>
            </w:pPr>
            <w:r>
              <w:rPr>
                <w:rFonts w:ascii="Arial" w:cs="Arial" w:eastAsia="Arial" w:hAnsi="Arial"/>
                <w:sz w:val="18"/>
                <w:szCs w:val="18"/>
                <w:color w:val="auto"/>
              </w:rPr>
              <w:t>Exculpatory Provisions</w:t>
            </w:r>
          </w:p>
        </w:tc>
        <w:tc>
          <w:tcPr>
            <w:tcW w:w="3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9.4.</w:t>
            </w:r>
          </w:p>
        </w:tc>
        <w:tc>
          <w:tcPr>
            <w:tcW w:w="6980" w:type="dxa"/>
            <w:vAlign w:val="bottom"/>
          </w:tcPr>
          <w:p>
            <w:pPr>
              <w:ind w:left="360"/>
              <w:spacing w:after="0"/>
              <w:rPr>
                <w:sz w:val="20"/>
                <w:szCs w:val="20"/>
                <w:color w:val="auto"/>
              </w:rPr>
            </w:pPr>
            <w:r>
              <w:rPr>
                <w:rFonts w:ascii="Arial" w:cs="Arial" w:eastAsia="Arial" w:hAnsi="Arial"/>
                <w:sz w:val="18"/>
                <w:szCs w:val="18"/>
                <w:color w:val="auto"/>
              </w:rPr>
              <w:t>Reliance by Administrative Agent</w:t>
            </w:r>
          </w:p>
        </w:tc>
        <w:tc>
          <w:tcPr>
            <w:tcW w:w="3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9.5.</w:t>
            </w:r>
          </w:p>
        </w:tc>
        <w:tc>
          <w:tcPr>
            <w:tcW w:w="6980" w:type="dxa"/>
            <w:vAlign w:val="bottom"/>
          </w:tcPr>
          <w:p>
            <w:pPr>
              <w:ind w:left="360"/>
              <w:spacing w:after="0"/>
              <w:rPr>
                <w:sz w:val="20"/>
                <w:szCs w:val="20"/>
                <w:color w:val="auto"/>
              </w:rPr>
            </w:pPr>
            <w:r>
              <w:rPr>
                <w:rFonts w:ascii="Arial" w:cs="Arial" w:eastAsia="Arial" w:hAnsi="Arial"/>
                <w:sz w:val="18"/>
                <w:szCs w:val="18"/>
                <w:color w:val="auto"/>
              </w:rPr>
              <w:t>Delegation of Duties</w:t>
            </w:r>
          </w:p>
        </w:tc>
        <w:tc>
          <w:tcPr>
            <w:tcW w:w="3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9.6.</w:t>
            </w:r>
          </w:p>
        </w:tc>
        <w:tc>
          <w:tcPr>
            <w:tcW w:w="6980" w:type="dxa"/>
            <w:vAlign w:val="bottom"/>
          </w:tcPr>
          <w:p>
            <w:pPr>
              <w:ind w:left="360"/>
              <w:spacing w:after="0"/>
              <w:rPr>
                <w:sz w:val="20"/>
                <w:szCs w:val="20"/>
                <w:color w:val="auto"/>
              </w:rPr>
            </w:pPr>
            <w:r>
              <w:rPr>
                <w:rFonts w:ascii="Arial" w:cs="Arial" w:eastAsia="Arial" w:hAnsi="Arial"/>
                <w:sz w:val="18"/>
                <w:szCs w:val="18"/>
                <w:color w:val="auto"/>
              </w:rPr>
              <w:t>Resignation of Administrative Agent</w:t>
            </w:r>
          </w:p>
        </w:tc>
        <w:tc>
          <w:tcPr>
            <w:tcW w:w="3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260" w:type="dxa"/>
            <w:vAlign w:val="bottom"/>
          </w:tcPr>
          <w:p>
            <w:pPr>
              <w:ind w:left="200"/>
              <w:spacing w:after="0"/>
              <w:rPr>
                <w:sz w:val="20"/>
                <w:szCs w:val="20"/>
                <w:color w:val="auto"/>
              </w:rPr>
            </w:pPr>
            <w:r>
              <w:rPr>
                <w:rFonts w:ascii="Arial" w:cs="Arial" w:eastAsia="Arial" w:hAnsi="Arial"/>
                <w:sz w:val="18"/>
                <w:szCs w:val="18"/>
                <w:color w:val="auto"/>
              </w:rPr>
              <w:t>Section 9.7.</w:t>
            </w:r>
          </w:p>
        </w:tc>
        <w:tc>
          <w:tcPr>
            <w:tcW w:w="6980" w:type="dxa"/>
            <w:vAlign w:val="bottom"/>
          </w:tcPr>
          <w:p>
            <w:pPr>
              <w:ind w:left="360"/>
              <w:spacing w:after="0"/>
              <w:rPr>
                <w:sz w:val="20"/>
                <w:szCs w:val="20"/>
                <w:color w:val="auto"/>
              </w:rPr>
            </w:pPr>
            <w:r>
              <w:rPr>
                <w:rFonts w:ascii="Arial" w:cs="Arial" w:eastAsia="Arial" w:hAnsi="Arial"/>
                <w:sz w:val="18"/>
                <w:szCs w:val="18"/>
                <w:color w:val="auto"/>
              </w:rPr>
              <w:t>Non-Reliance on Administrative Agent and Other Lenders</w:t>
            </w:r>
          </w:p>
        </w:tc>
        <w:tc>
          <w:tcPr>
            <w:tcW w:w="32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32"/>
        </w:trPr>
        <w:tc>
          <w:tcPr>
            <w:tcW w:w="1260" w:type="dxa"/>
            <w:vAlign w:val="bottom"/>
          </w:tcPr>
          <w:p>
            <w:pPr>
              <w:spacing w:after="0"/>
              <w:rPr>
                <w:sz w:val="24"/>
                <w:szCs w:val="24"/>
                <w:color w:val="auto"/>
              </w:rPr>
            </w:pPr>
          </w:p>
        </w:tc>
        <w:tc>
          <w:tcPr>
            <w:tcW w:w="6980" w:type="dxa"/>
            <w:vAlign w:val="bottom"/>
          </w:tcPr>
          <w:p>
            <w:pPr>
              <w:ind w:left="4400"/>
              <w:spacing w:after="0"/>
              <w:rPr>
                <w:sz w:val="20"/>
                <w:szCs w:val="20"/>
                <w:color w:val="auto"/>
              </w:rPr>
            </w:pPr>
            <w:r>
              <w:rPr>
                <w:rFonts w:ascii="Arial" w:cs="Arial" w:eastAsia="Arial" w:hAnsi="Arial"/>
                <w:sz w:val="18"/>
                <w:szCs w:val="18"/>
                <w:color w:val="auto"/>
              </w:rPr>
              <w:t>ii</w:t>
            </w:r>
          </w:p>
        </w:tc>
        <w:tc>
          <w:tcPr>
            <w:tcW w:w="3220" w:type="dxa"/>
            <w:vAlign w:val="bottom"/>
          </w:tcPr>
          <w:p>
            <w:pPr>
              <w:spacing w:after="0"/>
              <w:rPr>
                <w:sz w:val="24"/>
                <w:szCs w:val="24"/>
                <w:color w:val="auto"/>
              </w:rPr>
            </w:pPr>
          </w:p>
        </w:tc>
      </w:tr>
      <w:tr>
        <w:trPr>
          <w:trHeight w:val="132"/>
        </w:trPr>
        <w:tc>
          <w:tcPr>
            <w:tcW w:w="1260" w:type="dxa"/>
            <w:vAlign w:val="bottom"/>
            <w:tcBorders>
              <w:bottom w:val="single" w:sz="8" w:color="010101"/>
            </w:tcBorders>
          </w:tcPr>
          <w:p>
            <w:pPr>
              <w:spacing w:after="0"/>
              <w:rPr>
                <w:sz w:val="11"/>
                <w:szCs w:val="11"/>
                <w:color w:val="auto"/>
              </w:rPr>
            </w:pPr>
          </w:p>
        </w:tc>
        <w:tc>
          <w:tcPr>
            <w:tcW w:w="6980" w:type="dxa"/>
            <w:vAlign w:val="bottom"/>
            <w:tcBorders>
              <w:bottom w:val="single" w:sz="8" w:color="010101"/>
            </w:tcBorders>
          </w:tcPr>
          <w:p>
            <w:pPr>
              <w:spacing w:after="0"/>
              <w:rPr>
                <w:sz w:val="11"/>
                <w:szCs w:val="11"/>
                <w:color w:val="auto"/>
              </w:rPr>
            </w:pPr>
          </w:p>
        </w:tc>
        <w:tc>
          <w:tcPr>
            <w:tcW w:w="3220" w:type="dxa"/>
            <w:vAlign w:val="bottom"/>
            <w:tcBorders>
              <w:bottom w:val="single" w:sz="8" w:color="010101"/>
            </w:tcBorders>
          </w:tcPr>
          <w:p>
            <w:pPr>
              <w:spacing w:after="0"/>
              <w:rPr>
                <w:sz w:val="11"/>
                <w:szCs w:val="11"/>
                <w:color w:val="auto"/>
              </w:rPr>
            </w:pPr>
          </w:p>
        </w:tc>
      </w:tr>
      <w:tr>
        <w:trPr>
          <w:trHeight w:val="766"/>
        </w:trPr>
        <w:tc>
          <w:tcPr>
            <w:tcW w:w="1260" w:type="dxa"/>
            <w:vAlign w:val="bottom"/>
          </w:tcPr>
          <w:p>
            <w:pPr>
              <w:ind w:left="200"/>
              <w:spacing w:after="0"/>
              <w:rPr>
                <w:sz w:val="20"/>
                <w:szCs w:val="20"/>
                <w:color w:val="auto"/>
              </w:rPr>
            </w:pPr>
            <w:r>
              <w:rPr>
                <w:rFonts w:ascii="Arial" w:cs="Arial" w:eastAsia="Arial" w:hAnsi="Arial"/>
                <w:sz w:val="18"/>
                <w:szCs w:val="18"/>
                <w:color w:val="auto"/>
              </w:rPr>
              <w:t>Section 9.8.</w:t>
            </w:r>
          </w:p>
        </w:tc>
        <w:tc>
          <w:tcPr>
            <w:tcW w:w="6980" w:type="dxa"/>
            <w:vAlign w:val="bottom"/>
          </w:tcPr>
          <w:p>
            <w:pPr>
              <w:ind w:left="120"/>
              <w:spacing w:after="0"/>
              <w:rPr>
                <w:sz w:val="20"/>
                <w:szCs w:val="20"/>
                <w:color w:val="auto"/>
              </w:rPr>
            </w:pPr>
            <w:r>
              <w:rPr>
                <w:rFonts w:ascii="Arial" w:cs="Arial" w:eastAsia="Arial" w:hAnsi="Arial"/>
                <w:sz w:val="18"/>
                <w:szCs w:val="18"/>
                <w:color w:val="auto"/>
              </w:rPr>
              <w:t>No Other Duties, Etc.</w:t>
            </w:r>
          </w:p>
        </w:tc>
        <w:tc>
          <w:tcPr>
            <w:tcW w:w="3220" w:type="dxa"/>
            <w:vAlign w:val="bottom"/>
          </w:tcPr>
          <w:p>
            <w:pPr>
              <w:jc w:val="right"/>
              <w:ind w:right="1630"/>
              <w:spacing w:after="0"/>
              <w:rPr>
                <w:sz w:val="20"/>
                <w:szCs w:val="20"/>
                <w:color w:val="auto"/>
              </w:rPr>
            </w:pPr>
            <w:r>
              <w:rPr>
                <w:rFonts w:ascii="Arial" w:cs="Arial" w:eastAsia="Arial" w:hAnsi="Arial"/>
                <w:sz w:val="18"/>
                <w:szCs w:val="18"/>
                <w:color w:val="auto"/>
              </w:rPr>
              <w:t>54</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9.9.</w:t>
            </w:r>
          </w:p>
        </w:tc>
        <w:tc>
          <w:tcPr>
            <w:tcW w:w="6980" w:type="dxa"/>
            <w:vAlign w:val="bottom"/>
          </w:tcPr>
          <w:p>
            <w:pPr>
              <w:ind w:left="120"/>
              <w:spacing w:after="0"/>
              <w:rPr>
                <w:sz w:val="20"/>
                <w:szCs w:val="20"/>
                <w:color w:val="auto"/>
              </w:rPr>
            </w:pPr>
            <w:r>
              <w:rPr>
                <w:rFonts w:ascii="Arial" w:cs="Arial" w:eastAsia="Arial" w:hAnsi="Arial"/>
                <w:sz w:val="18"/>
                <w:szCs w:val="18"/>
                <w:color w:val="auto"/>
              </w:rPr>
              <w:t>Guaranty Matters</w:t>
            </w:r>
          </w:p>
        </w:tc>
        <w:tc>
          <w:tcPr>
            <w:tcW w:w="3220" w:type="dxa"/>
            <w:vAlign w:val="bottom"/>
          </w:tcPr>
          <w:p>
            <w:pPr>
              <w:jc w:val="right"/>
              <w:ind w:right="1630"/>
              <w:spacing w:after="0"/>
              <w:rPr>
                <w:sz w:val="20"/>
                <w:szCs w:val="20"/>
                <w:color w:val="auto"/>
              </w:rPr>
            </w:pPr>
            <w:r>
              <w:rPr>
                <w:rFonts w:ascii="Arial" w:cs="Arial" w:eastAsia="Arial" w:hAnsi="Arial"/>
                <w:sz w:val="18"/>
                <w:szCs w:val="18"/>
                <w:color w:val="auto"/>
              </w:rPr>
              <w:t>54</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w w:val="98"/>
              </w:rPr>
              <w:t>Section 9.10.</w:t>
            </w:r>
          </w:p>
        </w:tc>
        <w:tc>
          <w:tcPr>
            <w:tcW w:w="698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3220" w:type="dxa"/>
            <w:vAlign w:val="bottom"/>
          </w:tcPr>
          <w:p>
            <w:pPr>
              <w:jc w:val="right"/>
              <w:ind w:right="1630"/>
              <w:spacing w:after="0"/>
              <w:rPr>
                <w:sz w:val="20"/>
                <w:szCs w:val="20"/>
                <w:color w:val="auto"/>
              </w:rPr>
            </w:pPr>
            <w:r>
              <w:rPr>
                <w:rFonts w:ascii="Arial" w:cs="Arial" w:eastAsia="Arial" w:hAnsi="Arial"/>
                <w:sz w:val="18"/>
                <w:szCs w:val="18"/>
                <w:color w:val="auto"/>
              </w:rPr>
              <w:t>55</w:t>
            </w:r>
          </w:p>
        </w:tc>
      </w:tr>
      <w:tr>
        <w:trPr>
          <w:trHeight w:val="216"/>
        </w:trPr>
        <w:tc>
          <w:tcPr>
            <w:tcW w:w="8240" w:type="dxa"/>
            <w:vAlign w:val="bottom"/>
            <w:gridSpan w:val="2"/>
          </w:tcPr>
          <w:p>
            <w:pPr>
              <w:ind w:left="200"/>
              <w:spacing w:after="0"/>
              <w:rPr>
                <w:sz w:val="20"/>
                <w:szCs w:val="20"/>
                <w:color w:val="auto"/>
              </w:rPr>
            </w:pPr>
            <w:r>
              <w:rPr>
                <w:rFonts w:ascii="Arial" w:cs="Arial" w:eastAsia="Arial" w:hAnsi="Arial"/>
                <w:sz w:val="18"/>
                <w:szCs w:val="18"/>
                <w:color w:val="auto"/>
              </w:rPr>
              <w:t>Section 9.11.   Sharing of Set-Offs and Other Payments</w:t>
            </w:r>
          </w:p>
        </w:tc>
        <w:tc>
          <w:tcPr>
            <w:tcW w:w="3220" w:type="dxa"/>
            <w:vAlign w:val="bottom"/>
          </w:tcPr>
          <w:p>
            <w:pPr>
              <w:jc w:val="right"/>
              <w:ind w:right="1630"/>
              <w:spacing w:after="0"/>
              <w:rPr>
                <w:sz w:val="20"/>
                <w:szCs w:val="20"/>
                <w:color w:val="auto"/>
              </w:rPr>
            </w:pPr>
            <w:r>
              <w:rPr>
                <w:rFonts w:ascii="Arial" w:cs="Arial" w:eastAsia="Arial" w:hAnsi="Arial"/>
                <w:sz w:val="18"/>
                <w:szCs w:val="18"/>
                <w:color w:val="auto"/>
              </w:rPr>
              <w:t>55</w:t>
            </w:r>
          </w:p>
        </w:tc>
      </w:tr>
      <w:tr>
        <w:trPr>
          <w:trHeight w:val="230"/>
        </w:trPr>
        <w:tc>
          <w:tcPr>
            <w:tcW w:w="1260" w:type="dxa"/>
            <w:vAlign w:val="bottom"/>
          </w:tcPr>
          <w:p>
            <w:pPr>
              <w:ind w:left="200"/>
              <w:spacing w:after="0"/>
              <w:rPr>
                <w:sz w:val="20"/>
                <w:szCs w:val="20"/>
                <w:color w:val="auto"/>
              </w:rPr>
            </w:pPr>
            <w:r>
              <w:rPr>
                <w:rFonts w:ascii="Arial" w:cs="Arial" w:eastAsia="Arial" w:hAnsi="Arial"/>
                <w:sz w:val="18"/>
                <w:szCs w:val="18"/>
                <w:color w:val="auto"/>
                <w:w w:val="98"/>
              </w:rPr>
              <w:t>Section 9.12.</w:t>
            </w:r>
          </w:p>
        </w:tc>
        <w:tc>
          <w:tcPr>
            <w:tcW w:w="698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3220" w:type="dxa"/>
            <w:vAlign w:val="bottom"/>
          </w:tcPr>
          <w:p>
            <w:pPr>
              <w:jc w:val="right"/>
              <w:ind w:right="1630"/>
              <w:spacing w:after="0"/>
              <w:rPr>
                <w:sz w:val="20"/>
                <w:szCs w:val="20"/>
                <w:color w:val="auto"/>
              </w:rPr>
            </w:pPr>
            <w:r>
              <w:rPr>
                <w:rFonts w:ascii="Arial" w:cs="Arial" w:eastAsia="Arial" w:hAnsi="Arial"/>
                <w:sz w:val="18"/>
                <w:szCs w:val="18"/>
                <w:color w:val="auto"/>
              </w:rPr>
              <w:t>56</w:t>
            </w:r>
          </w:p>
        </w:tc>
      </w:tr>
      <w:tr>
        <w:trPr>
          <w:trHeight w:val="418"/>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ARTICLE X. – Miscellaneous</w:t>
            </w:r>
          </w:p>
        </w:tc>
        <w:tc>
          <w:tcPr>
            <w:tcW w:w="3220" w:type="dxa"/>
            <w:vAlign w:val="bottom"/>
          </w:tcPr>
          <w:p>
            <w:pPr>
              <w:jc w:val="right"/>
              <w:ind w:right="1630"/>
              <w:spacing w:after="0"/>
              <w:rPr>
                <w:sz w:val="20"/>
                <w:szCs w:val="20"/>
                <w:color w:val="auto"/>
              </w:rPr>
            </w:pPr>
            <w:r>
              <w:rPr>
                <w:rFonts w:ascii="Arial" w:cs="Arial" w:eastAsia="Arial" w:hAnsi="Arial"/>
                <w:sz w:val="18"/>
                <w:szCs w:val="18"/>
                <w:color w:val="auto"/>
              </w:rPr>
              <w:t>56</w:t>
            </w:r>
          </w:p>
        </w:tc>
      </w:tr>
      <w:tr>
        <w:trPr>
          <w:trHeight w:val="216"/>
        </w:trPr>
        <w:tc>
          <w:tcPr>
            <w:tcW w:w="8240" w:type="dxa"/>
            <w:vAlign w:val="bottom"/>
            <w:gridSpan w:val="2"/>
          </w:tcPr>
          <w:p>
            <w:pPr>
              <w:ind w:left="200"/>
              <w:spacing w:after="0"/>
              <w:rPr>
                <w:sz w:val="20"/>
                <w:szCs w:val="20"/>
                <w:color w:val="auto"/>
              </w:rPr>
            </w:pPr>
            <w:r>
              <w:rPr>
                <w:rFonts w:ascii="Arial" w:cs="Arial" w:eastAsia="Arial" w:hAnsi="Arial"/>
                <w:sz w:val="18"/>
                <w:szCs w:val="18"/>
                <w:color w:val="auto"/>
              </w:rPr>
              <w:t>Section 10.1.   Waivers and Amendments; Acknowledgments.</w:t>
            </w:r>
          </w:p>
        </w:tc>
        <w:tc>
          <w:tcPr>
            <w:tcW w:w="3220" w:type="dxa"/>
            <w:vAlign w:val="bottom"/>
          </w:tcPr>
          <w:p>
            <w:pPr>
              <w:jc w:val="right"/>
              <w:ind w:right="1630"/>
              <w:spacing w:after="0"/>
              <w:rPr>
                <w:sz w:val="20"/>
                <w:szCs w:val="20"/>
                <w:color w:val="auto"/>
              </w:rPr>
            </w:pPr>
            <w:r>
              <w:rPr>
                <w:rFonts w:ascii="Arial" w:cs="Arial" w:eastAsia="Arial" w:hAnsi="Arial"/>
                <w:sz w:val="18"/>
                <w:szCs w:val="18"/>
                <w:color w:val="auto"/>
              </w:rPr>
              <w:t>56</w:t>
            </w:r>
          </w:p>
        </w:tc>
      </w:tr>
      <w:tr>
        <w:trPr>
          <w:trHeight w:val="216"/>
        </w:trPr>
        <w:tc>
          <w:tcPr>
            <w:tcW w:w="8240" w:type="dxa"/>
            <w:vAlign w:val="bottom"/>
            <w:gridSpan w:val="2"/>
          </w:tcPr>
          <w:p>
            <w:pPr>
              <w:ind w:left="200"/>
              <w:spacing w:after="0"/>
              <w:rPr>
                <w:sz w:val="20"/>
                <w:szCs w:val="20"/>
                <w:color w:val="auto"/>
              </w:rPr>
            </w:pPr>
            <w:r>
              <w:rPr>
                <w:rFonts w:ascii="Arial" w:cs="Arial" w:eastAsia="Arial" w:hAnsi="Arial"/>
                <w:sz w:val="18"/>
                <w:szCs w:val="18"/>
                <w:color w:val="auto"/>
              </w:rPr>
              <w:t>Section 10.2.   Survival of Representations, Warranties and Agreements; Cumulative Nature</w:t>
            </w:r>
          </w:p>
        </w:tc>
        <w:tc>
          <w:tcPr>
            <w:tcW w:w="3220" w:type="dxa"/>
            <w:vAlign w:val="bottom"/>
          </w:tcPr>
          <w:p>
            <w:pPr>
              <w:jc w:val="right"/>
              <w:ind w:right="1630"/>
              <w:spacing w:after="0"/>
              <w:rPr>
                <w:sz w:val="20"/>
                <w:szCs w:val="20"/>
                <w:color w:val="auto"/>
              </w:rPr>
            </w:pPr>
            <w:r>
              <w:rPr>
                <w:rFonts w:ascii="Arial" w:cs="Arial" w:eastAsia="Arial" w:hAnsi="Arial"/>
                <w:sz w:val="18"/>
                <w:szCs w:val="18"/>
                <w:color w:val="auto"/>
              </w:rPr>
              <w:t>58</w:t>
            </w:r>
          </w:p>
        </w:tc>
      </w:tr>
      <w:tr>
        <w:trPr>
          <w:trHeight w:val="216"/>
        </w:trPr>
        <w:tc>
          <w:tcPr>
            <w:tcW w:w="8240" w:type="dxa"/>
            <w:vAlign w:val="bottom"/>
            <w:gridSpan w:val="2"/>
          </w:tcPr>
          <w:p>
            <w:pPr>
              <w:ind w:left="200"/>
              <w:spacing w:after="0"/>
              <w:rPr>
                <w:sz w:val="20"/>
                <w:szCs w:val="20"/>
                <w:color w:val="auto"/>
              </w:rPr>
            </w:pPr>
            <w:r>
              <w:rPr>
                <w:rFonts w:ascii="Arial" w:cs="Arial" w:eastAsia="Arial" w:hAnsi="Arial"/>
                <w:sz w:val="18"/>
                <w:szCs w:val="18"/>
                <w:color w:val="auto"/>
              </w:rPr>
              <w:t>Section 10.3.   Notices; Effectiveness; Electronic Communication.</w:t>
            </w:r>
          </w:p>
        </w:tc>
        <w:tc>
          <w:tcPr>
            <w:tcW w:w="3220" w:type="dxa"/>
            <w:vAlign w:val="bottom"/>
          </w:tcPr>
          <w:p>
            <w:pPr>
              <w:jc w:val="right"/>
              <w:ind w:right="1630"/>
              <w:spacing w:after="0"/>
              <w:rPr>
                <w:sz w:val="20"/>
                <w:szCs w:val="20"/>
                <w:color w:val="auto"/>
              </w:rPr>
            </w:pPr>
            <w:r>
              <w:rPr>
                <w:rFonts w:ascii="Arial" w:cs="Arial" w:eastAsia="Arial" w:hAnsi="Arial"/>
                <w:sz w:val="18"/>
                <w:szCs w:val="18"/>
                <w:color w:val="auto"/>
              </w:rPr>
              <w:t>59</w:t>
            </w:r>
          </w:p>
        </w:tc>
      </w:tr>
      <w:tr>
        <w:trPr>
          <w:trHeight w:val="216"/>
        </w:trPr>
        <w:tc>
          <w:tcPr>
            <w:tcW w:w="8240" w:type="dxa"/>
            <w:vAlign w:val="bottom"/>
            <w:gridSpan w:val="2"/>
          </w:tcPr>
          <w:p>
            <w:pPr>
              <w:ind w:left="200"/>
              <w:spacing w:after="0"/>
              <w:rPr>
                <w:sz w:val="20"/>
                <w:szCs w:val="20"/>
                <w:color w:val="auto"/>
              </w:rPr>
            </w:pPr>
            <w:r>
              <w:rPr>
                <w:rFonts w:ascii="Arial" w:cs="Arial" w:eastAsia="Arial" w:hAnsi="Arial"/>
                <w:sz w:val="18"/>
                <w:szCs w:val="18"/>
                <w:color w:val="auto"/>
              </w:rPr>
              <w:t>Section 10.4.   Expenses; Indemnity; Damage Waiver.</w:t>
            </w:r>
          </w:p>
        </w:tc>
        <w:tc>
          <w:tcPr>
            <w:tcW w:w="3220" w:type="dxa"/>
            <w:vAlign w:val="bottom"/>
          </w:tcPr>
          <w:p>
            <w:pPr>
              <w:jc w:val="right"/>
              <w:ind w:right="1630"/>
              <w:spacing w:after="0"/>
              <w:rPr>
                <w:sz w:val="20"/>
                <w:szCs w:val="20"/>
                <w:color w:val="auto"/>
              </w:rPr>
            </w:pPr>
            <w:r>
              <w:rPr>
                <w:rFonts w:ascii="Arial" w:cs="Arial" w:eastAsia="Arial" w:hAnsi="Arial"/>
                <w:sz w:val="18"/>
                <w:szCs w:val="18"/>
                <w:color w:val="auto"/>
              </w:rPr>
              <w:t>60</w:t>
            </w:r>
          </w:p>
        </w:tc>
      </w:tr>
      <w:tr>
        <w:trPr>
          <w:trHeight w:val="216"/>
        </w:trPr>
        <w:tc>
          <w:tcPr>
            <w:tcW w:w="8240" w:type="dxa"/>
            <w:vAlign w:val="bottom"/>
            <w:gridSpan w:val="2"/>
          </w:tcPr>
          <w:p>
            <w:pPr>
              <w:ind w:left="200"/>
              <w:spacing w:after="0"/>
              <w:rPr>
                <w:sz w:val="20"/>
                <w:szCs w:val="20"/>
                <w:color w:val="auto"/>
              </w:rPr>
            </w:pPr>
            <w:r>
              <w:rPr>
                <w:rFonts w:ascii="Arial" w:cs="Arial" w:eastAsia="Arial" w:hAnsi="Arial"/>
                <w:sz w:val="18"/>
                <w:szCs w:val="18"/>
                <w:color w:val="auto"/>
              </w:rPr>
              <w:t>Section 10.5.   Successors and Assigns.</w:t>
            </w:r>
          </w:p>
        </w:tc>
        <w:tc>
          <w:tcPr>
            <w:tcW w:w="3220" w:type="dxa"/>
            <w:vAlign w:val="bottom"/>
          </w:tcPr>
          <w:p>
            <w:pPr>
              <w:jc w:val="right"/>
              <w:ind w:right="1630"/>
              <w:spacing w:after="0"/>
              <w:rPr>
                <w:sz w:val="20"/>
                <w:szCs w:val="20"/>
                <w:color w:val="auto"/>
              </w:rPr>
            </w:pPr>
            <w:r>
              <w:rPr>
                <w:rFonts w:ascii="Arial" w:cs="Arial" w:eastAsia="Arial" w:hAnsi="Arial"/>
                <w:sz w:val="18"/>
                <w:szCs w:val="18"/>
                <w:color w:val="auto"/>
              </w:rPr>
              <w:t>62</w:t>
            </w:r>
          </w:p>
        </w:tc>
      </w:tr>
      <w:tr>
        <w:trPr>
          <w:trHeight w:val="216"/>
        </w:trPr>
        <w:tc>
          <w:tcPr>
            <w:tcW w:w="8240" w:type="dxa"/>
            <w:vAlign w:val="bottom"/>
            <w:gridSpan w:val="2"/>
          </w:tcPr>
          <w:p>
            <w:pPr>
              <w:ind w:left="200"/>
              <w:spacing w:after="0"/>
              <w:rPr>
                <w:sz w:val="20"/>
                <w:szCs w:val="20"/>
                <w:color w:val="auto"/>
              </w:rPr>
            </w:pPr>
            <w:r>
              <w:rPr>
                <w:rFonts w:ascii="Arial" w:cs="Arial" w:eastAsia="Arial" w:hAnsi="Arial"/>
                <w:sz w:val="18"/>
                <w:szCs w:val="18"/>
                <w:color w:val="auto"/>
              </w:rPr>
              <w:t>Section 10.6.   Treatment of Certain Information; Confidentiality</w:t>
            </w:r>
          </w:p>
        </w:tc>
        <w:tc>
          <w:tcPr>
            <w:tcW w:w="3220" w:type="dxa"/>
            <w:vAlign w:val="bottom"/>
          </w:tcPr>
          <w:p>
            <w:pPr>
              <w:jc w:val="right"/>
              <w:ind w:right="1630"/>
              <w:spacing w:after="0"/>
              <w:rPr>
                <w:sz w:val="20"/>
                <w:szCs w:val="20"/>
                <w:color w:val="auto"/>
              </w:rPr>
            </w:pPr>
            <w:r>
              <w:rPr>
                <w:rFonts w:ascii="Arial" w:cs="Arial" w:eastAsia="Arial" w:hAnsi="Arial"/>
                <w:sz w:val="18"/>
                <w:szCs w:val="18"/>
                <w:color w:val="auto"/>
              </w:rPr>
              <w:t>65</w:t>
            </w:r>
          </w:p>
        </w:tc>
      </w:tr>
      <w:tr>
        <w:trPr>
          <w:trHeight w:val="230"/>
        </w:trPr>
        <w:tc>
          <w:tcPr>
            <w:tcW w:w="8240" w:type="dxa"/>
            <w:vAlign w:val="bottom"/>
            <w:gridSpan w:val="2"/>
          </w:tcPr>
          <w:p>
            <w:pPr>
              <w:ind w:left="200"/>
              <w:spacing w:after="0"/>
              <w:rPr>
                <w:sz w:val="20"/>
                <w:szCs w:val="20"/>
                <w:color w:val="auto"/>
              </w:rPr>
            </w:pPr>
            <w:r>
              <w:rPr>
                <w:rFonts w:ascii="Arial" w:cs="Arial" w:eastAsia="Arial" w:hAnsi="Arial"/>
                <w:sz w:val="18"/>
                <w:szCs w:val="18"/>
                <w:color w:val="auto"/>
              </w:rPr>
              <w:t>Section 10.7.   Governing Law; Submission to Process</w:t>
            </w:r>
          </w:p>
        </w:tc>
        <w:tc>
          <w:tcPr>
            <w:tcW w:w="3220" w:type="dxa"/>
            <w:vAlign w:val="bottom"/>
          </w:tcPr>
          <w:p>
            <w:pPr>
              <w:jc w:val="right"/>
              <w:ind w:right="1630"/>
              <w:spacing w:after="0"/>
              <w:rPr>
                <w:sz w:val="20"/>
                <w:szCs w:val="20"/>
                <w:color w:val="auto"/>
              </w:rPr>
            </w:pPr>
            <w:r>
              <w:rPr>
                <w:rFonts w:ascii="Arial" w:cs="Arial" w:eastAsia="Arial" w:hAnsi="Arial"/>
                <w:sz w:val="18"/>
                <w:szCs w:val="18"/>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-9486265</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-9486265</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-2308225</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-2308225</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25" w:right="199" w:bottom="0" w:gutter="0" w:footer="0" w:header="0"/>
        </w:sectPr>
      </w:pPr>
    </w:p>
    <w:bookmarkStart w:id="69" w:name="page70"/>
    <w:bookmarkEnd w:id="69"/>
    <w:tbl>
      <w:tblPr>
        <w:tblLayout w:type="fixed"/>
        <w:tblInd w:w="20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10.8.</w:t>
            </w:r>
          </w:p>
        </w:tc>
        <w:tc>
          <w:tcPr>
            <w:tcW w:w="6040" w:type="dxa"/>
            <w:vAlign w:val="bottom"/>
          </w:tcPr>
          <w:p>
            <w:pPr>
              <w:ind w:left="80"/>
              <w:spacing w:after="0"/>
              <w:rPr>
                <w:sz w:val="20"/>
                <w:szCs w:val="20"/>
                <w:color w:val="auto"/>
              </w:rPr>
            </w:pPr>
            <w:r>
              <w:rPr>
                <w:rFonts w:ascii="Arial" w:cs="Arial" w:eastAsia="Arial" w:hAnsi="Arial"/>
                <w:sz w:val="18"/>
                <w:szCs w:val="18"/>
                <w:color w:val="auto"/>
              </w:rPr>
              <w:t>Intentionally deleted</w:t>
            </w:r>
          </w:p>
        </w:tc>
        <w:tc>
          <w:tcPr>
            <w:tcW w:w="24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10.9.</w:t>
            </w:r>
          </w:p>
        </w:tc>
        <w:tc>
          <w:tcPr>
            <w:tcW w:w="6040" w:type="dxa"/>
            <w:vAlign w:val="bottom"/>
          </w:tcPr>
          <w:p>
            <w:pPr>
              <w:ind w:left="80"/>
              <w:spacing w:after="0"/>
              <w:rPr>
                <w:sz w:val="20"/>
                <w:szCs w:val="20"/>
                <w:color w:val="auto"/>
              </w:rPr>
            </w:pPr>
            <w:r>
              <w:rPr>
                <w:rFonts w:ascii="Arial" w:cs="Arial" w:eastAsia="Arial" w:hAnsi="Arial"/>
                <w:sz w:val="18"/>
                <w:szCs w:val="18"/>
                <w:color w:val="auto"/>
              </w:rPr>
              <w:t>Intentionally deleted</w:t>
            </w:r>
          </w:p>
        </w:tc>
        <w:tc>
          <w:tcPr>
            <w:tcW w:w="24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3"/>
              </w:rPr>
              <w:t>Section 10.10.</w:t>
            </w:r>
          </w:p>
        </w:tc>
        <w:tc>
          <w:tcPr>
            <w:tcW w:w="6040" w:type="dxa"/>
            <w:vAlign w:val="bottom"/>
          </w:tcPr>
          <w:p>
            <w:pPr>
              <w:ind w:left="80"/>
              <w:spacing w:after="0"/>
              <w:rPr>
                <w:sz w:val="20"/>
                <w:szCs w:val="20"/>
                <w:color w:val="auto"/>
              </w:rPr>
            </w:pPr>
            <w:r>
              <w:rPr>
                <w:rFonts w:ascii="Arial" w:cs="Arial" w:eastAsia="Arial" w:hAnsi="Arial"/>
                <w:sz w:val="18"/>
                <w:szCs w:val="18"/>
                <w:color w:val="auto"/>
              </w:rPr>
              <w:t>Limitation on Interest</w:t>
            </w:r>
          </w:p>
        </w:tc>
        <w:tc>
          <w:tcPr>
            <w:tcW w:w="24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3"/>
              </w:rPr>
              <w:t>Section 10.11.</w:t>
            </w:r>
          </w:p>
        </w:tc>
        <w:tc>
          <w:tcPr>
            <w:tcW w:w="6040" w:type="dxa"/>
            <w:vAlign w:val="bottom"/>
          </w:tcPr>
          <w:p>
            <w:pPr>
              <w:ind w:left="80"/>
              <w:spacing w:after="0"/>
              <w:rPr>
                <w:sz w:val="20"/>
                <w:szCs w:val="20"/>
                <w:color w:val="auto"/>
              </w:rPr>
            </w:pPr>
            <w:r>
              <w:rPr>
                <w:rFonts w:ascii="Arial" w:cs="Arial" w:eastAsia="Arial" w:hAnsi="Arial"/>
                <w:sz w:val="18"/>
                <w:szCs w:val="18"/>
                <w:color w:val="auto"/>
              </w:rPr>
              <w:t>Right of Offset</w:t>
            </w:r>
          </w:p>
        </w:tc>
        <w:tc>
          <w:tcPr>
            <w:tcW w:w="2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3"/>
              </w:rPr>
              <w:t>Section 10.12.</w:t>
            </w:r>
          </w:p>
        </w:tc>
        <w:tc>
          <w:tcPr>
            <w:tcW w:w="6040" w:type="dxa"/>
            <w:vAlign w:val="bottom"/>
          </w:tcPr>
          <w:p>
            <w:pPr>
              <w:ind w:left="80"/>
              <w:spacing w:after="0"/>
              <w:rPr>
                <w:sz w:val="20"/>
                <w:szCs w:val="20"/>
                <w:color w:val="auto"/>
              </w:rPr>
            </w:pPr>
            <w:r>
              <w:rPr>
                <w:rFonts w:ascii="Arial" w:cs="Arial" w:eastAsia="Arial" w:hAnsi="Arial"/>
                <w:sz w:val="18"/>
                <w:szCs w:val="18"/>
                <w:color w:val="auto"/>
              </w:rPr>
              <w:t>Termination; Limited Survival; Payments Set Aside</w:t>
            </w:r>
          </w:p>
        </w:tc>
        <w:tc>
          <w:tcPr>
            <w:tcW w:w="2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3"/>
              </w:rPr>
              <w:t>Section 10.13.</w:t>
            </w:r>
          </w:p>
        </w:tc>
        <w:tc>
          <w:tcPr>
            <w:tcW w:w="604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3"/>
              </w:rPr>
              <w:t>Section 10.14.</w:t>
            </w:r>
          </w:p>
        </w:tc>
        <w:tc>
          <w:tcPr>
            <w:tcW w:w="604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24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3"/>
              </w:rPr>
              <w:t>Section 10.15.</w:t>
            </w:r>
          </w:p>
        </w:tc>
        <w:tc>
          <w:tcPr>
            <w:tcW w:w="6040" w:type="dxa"/>
            <w:vAlign w:val="bottom"/>
          </w:tcPr>
          <w:p>
            <w:pPr>
              <w:ind w:left="80"/>
              <w:spacing w:after="0"/>
              <w:rPr>
                <w:sz w:val="20"/>
                <w:szCs w:val="20"/>
                <w:color w:val="auto"/>
              </w:rPr>
            </w:pPr>
            <w:r>
              <w:rPr>
                <w:rFonts w:ascii="Arial" w:cs="Arial" w:eastAsia="Arial" w:hAnsi="Arial"/>
                <w:sz w:val="18"/>
                <w:szCs w:val="18"/>
                <w:color w:val="auto"/>
              </w:rPr>
              <w:t>Waiver of Jury Trial.</w:t>
            </w:r>
          </w:p>
        </w:tc>
        <w:tc>
          <w:tcPr>
            <w:tcW w:w="24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3"/>
              </w:rPr>
              <w:t>Section 10.16.</w:t>
            </w:r>
          </w:p>
        </w:tc>
        <w:tc>
          <w:tcPr>
            <w:tcW w:w="6040" w:type="dxa"/>
            <w:vAlign w:val="bottom"/>
          </w:tcPr>
          <w:p>
            <w:pPr>
              <w:ind w:left="80"/>
              <w:spacing w:after="0"/>
              <w:rPr>
                <w:sz w:val="20"/>
                <w:szCs w:val="20"/>
                <w:color w:val="auto"/>
              </w:rPr>
            </w:pPr>
            <w:r>
              <w:rPr>
                <w:rFonts w:ascii="Arial" w:cs="Arial" w:eastAsia="Arial" w:hAnsi="Arial"/>
                <w:sz w:val="18"/>
                <w:szCs w:val="18"/>
                <w:color w:val="auto"/>
              </w:rPr>
              <w:t>USA PATRIOT Act Notice</w:t>
            </w:r>
          </w:p>
        </w:tc>
        <w:tc>
          <w:tcPr>
            <w:tcW w:w="240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I – Facility Fees and Applicable Margin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II – Commitments and Pro Rata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III – Disclosure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10.3 - Administrative Agent’s Office; Certain Addresses for Notices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Exhibit A - Note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 Borrowing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 Continuation/Conversion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 - Certificate Accompanying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E-1 - Opinion of In-House Counsel for Restricted Persons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E-2 - Opinion of Fulbright &amp; Jaworski L.L.P., Counsel for Restricted Persons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E-3 – Opinion of Bennett Jones, Canadian Counsel for Restricted Persons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 - Assignment and Assumption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INTERIM 364-DAY CREDIT AGREEMENT</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THIS INTERIM 364-DAY CREDIT AGREEMENT is made as of July 31, 2006, by and among PLAINS ALL AMERICAN PIPELINE, L.P., a Delaware limited partnership (“</w:t>
      </w:r>
      <w:r>
        <w:rPr>
          <w:rFonts w:ascii="Arial" w:cs="Arial" w:eastAsia="Arial" w:hAnsi="Arial"/>
          <w:sz w:val="17"/>
          <w:szCs w:val="17"/>
          <w:u w:val="single" w:color="auto"/>
          <w:color w:val="auto"/>
        </w:rPr>
        <w:t>Borrower</w:t>
      </w:r>
      <w:r>
        <w:rPr>
          <w:rFonts w:ascii="Arial" w:cs="Arial" w:eastAsia="Arial" w:hAnsi="Arial"/>
          <w:sz w:val="17"/>
          <w:szCs w:val="17"/>
          <w:color w:val="auto"/>
        </w:rPr>
        <w:t>”), JPMORGAN CHASE BANK, N.A., as administrative agent (in such capacity,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BANK OF AMERICA, N.A. and CITIBANK, N.A., as co-syndication agents (in such capacity, “</w:t>
      </w:r>
      <w:r>
        <w:rPr>
          <w:rFonts w:ascii="Arial" w:cs="Arial" w:eastAsia="Arial" w:hAnsi="Arial"/>
          <w:sz w:val="17"/>
          <w:szCs w:val="17"/>
          <w:u w:val="single" w:color="auto"/>
          <w:color w:val="auto"/>
        </w:rPr>
        <w:t>Co-Syndication Agents</w:t>
      </w:r>
      <w:r>
        <w:rPr>
          <w:rFonts w:ascii="Arial" w:cs="Arial" w:eastAsia="Arial" w:hAnsi="Arial"/>
          <w:sz w:val="17"/>
          <w:szCs w:val="17"/>
          <w:color w:val="auto"/>
        </w:rPr>
        <w:t>”), WACHOVIA BANK, NATIONAL ASSOCIATION and UBS SECURITIES LLC, as co-documentation agents (in such capacity, “</w:t>
      </w:r>
      <w:r>
        <w:rPr>
          <w:rFonts w:ascii="Arial" w:cs="Arial" w:eastAsia="Arial" w:hAnsi="Arial"/>
          <w:sz w:val="17"/>
          <w:szCs w:val="17"/>
          <w:u w:val="single" w:color="auto"/>
          <w:color w:val="auto"/>
        </w:rPr>
        <w:t>Co-Documentation Agents</w:t>
      </w:r>
      <w:r>
        <w:rPr>
          <w:rFonts w:ascii="Arial" w:cs="Arial" w:eastAsia="Arial" w:hAnsi="Arial"/>
          <w:sz w:val="17"/>
          <w:szCs w:val="17"/>
          <w:color w:val="auto"/>
        </w:rPr>
        <w:t>”), JPMORGAN CHASE SECURITIES LLC and CITIGROUP GLOBAL MARKETS INC., as joint bookrunners and co-lead arrangers, and the Lenders referred to below. In consideration of the mutual covenants and agreements contained herein the parties hereto agree as follows: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 consideration of the mutual covenants and agreements contained herein and in consideration of the loans which may hereafter be made by Lenders and for other good and valuable consideration, the receipt and sufficiency of which are hereby acknowledged, the parties hereto agree as follows: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 - Definitions and References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each of the following terms has the meaning given to such term in this Section 1.1 or in the sections and subsections referred to below:</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Period</w:t>
      </w:r>
      <w:r>
        <w:rPr>
          <w:rFonts w:ascii="Arial" w:cs="Arial" w:eastAsia="Arial" w:hAnsi="Arial"/>
          <w:sz w:val="17"/>
          <w:szCs w:val="17"/>
          <w:color w:val="auto"/>
        </w:rPr>
        <w:t>” means the period beginning, at the election of Borrower, with the funding date of the purchase price for a Specified Acquisition and ending on the earliest of (a) the third following Fiscal Quarter end, (b) Borrower’s receipt of proceeds of a Specified Equity Offering; and (c) Borrower’s election in writing to terminate such Acquisition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at the time of such election, the Debt Coverage Ratio shall not, on a pro forma basis, exceed 4.75 to 1.00);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if the Debt Coverage Ratio exceeds 4.75 to 1.00 at the end of the Fiscal Quarter ending next following such funding date, then the Acquisition Period shall be deemed to have commenced as of such funding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during any Acquisition Period, no additional Acquisition Period shall commence, nor shall such Acquisition Period be extended, by any subsequent Specified Acquisition until the current Acquisition Period shall have expired and Borrower shall be in compliance with Section 7.8(ii).</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Loan</w:t>
      </w:r>
      <w:r>
        <w:rPr>
          <w:rFonts w:ascii="Arial" w:cs="Arial" w:eastAsia="Arial" w:hAnsi="Arial"/>
          <w:sz w:val="18"/>
          <w:szCs w:val="18"/>
          <w:color w:val="auto"/>
        </w:rPr>
        <w:t>” shall have the meaning given such term in Section 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JPMorgan Chase Bank, N.A., as Administrative Agent hereunder, and its successors in such capacity.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Administrative Agent.</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any Person, each other Person that directly or indirectly (through one or more intermediaries or otherwise) controls, is controlled by, or is under common control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680" w:gutter="0" w:footer="0" w:header="0"/>
        </w:sectPr>
      </w:pPr>
    </w:p>
    <w:bookmarkStart w:id="70" w:name="page71"/>
    <w:bookmarkEnd w:id="70"/>
    <w:p>
      <w:pPr>
        <w:ind w:right="200"/>
        <w:spacing w:after="0" w:line="277" w:lineRule="auto"/>
        <w:rPr>
          <w:sz w:val="20"/>
          <w:szCs w:val="20"/>
          <w:color w:val="auto"/>
        </w:rPr>
      </w:pPr>
      <w:r>
        <w:rPr>
          <w:rFonts w:ascii="Arial" w:cs="Arial" w:eastAsia="Arial" w:hAnsi="Arial"/>
          <w:sz w:val="18"/>
          <w:szCs w:val="18"/>
          <w:color w:val="auto"/>
        </w:rPr>
        <w:t>with, such Person. A Person shall be deemed to be “controlled by” any other Person if such other Person possesses, directly or indirectly, power to direct or cause the direction of the management and policies of such Person whether by contract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Lending Office</w:t>
      </w:r>
      <w:r>
        <w:rPr>
          <w:rFonts w:ascii="Arial" w:cs="Arial" w:eastAsia="Arial" w:hAnsi="Arial"/>
          <w:sz w:val="18"/>
          <w:szCs w:val="18"/>
          <w:color w:val="auto"/>
        </w:rPr>
        <w:t>” means, for each Lender and for each Type of Loan, the “Lending Office” of such Lender (or of an Affiliate of such Lender) designated for such Type of Loan on such Lender’s Administrative Questionnaire or such other office of such Lender (or an Affiliate of such Lender) as such Lender may from time to time specify to Administrative Agent, and Borrower by written notice in accordance with the terms hereof as the office by which its Loans of such Type are to be made and maintained.</w:t>
      </w:r>
    </w:p>
    <w:p>
      <w:pPr>
        <w:spacing w:after="0" w:line="18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means, as to any Type of Loan, the percent per annum set forth on Schedule I as the “Applicable Margin” for such Type of Loan, based on the Applicable Rating Level in effect on such date. Changes in the Applicable Margin will occur automatically without prior notice as changes in the Applicable Rating Level occur. Administrative Agent will give notice promptly to Borrower and Lenders of changes in the Applicable Margin.</w:t>
      </w:r>
    </w:p>
    <w:p>
      <w:pPr>
        <w:spacing w:after="0" w:line="14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Rating Level</w:t>
      </w:r>
      <w:r>
        <w:rPr>
          <w:rFonts w:ascii="Arial" w:cs="Arial" w:eastAsia="Arial" w:hAnsi="Arial"/>
          <w:sz w:val="16"/>
          <w:szCs w:val="16"/>
          <w:color w:val="auto"/>
        </w:rPr>
        <w:t xml:space="preserve">” means for any day, the level set forth below that corresponds to the PAA Debt Rating by the Ratings Agencies applicable on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the event the PAA Debt Rating by the Ratings Agencies differs by one level, the higher PAA Debt Rating shall apply;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in the event the PAA Debt Rating by the Ratings Agencies differs by more than one level, the PAA Debt Rating one level above the lower PAA Debt Rating shall apply. As used in this definition, “≥” means a rating equal to or more favorable than and “&lt;“ means a rating less favorable than.</w:t>
      </w:r>
    </w:p>
    <w:p>
      <w:pPr>
        <w:spacing w:after="0" w:line="146" w:lineRule="exact"/>
        <w:rPr>
          <w:sz w:val="20"/>
          <w:szCs w:val="20"/>
          <w:color w:val="auto"/>
        </w:rPr>
      </w:pPr>
    </w:p>
    <w:tbl>
      <w:tblPr>
        <w:tblLayout w:type="fixed"/>
        <w:tblInd w:w="3560" w:type="dxa"/>
        <w:tblCellMar>
          <w:top w:w="0" w:type="dxa"/>
          <w:left w:w="0" w:type="dxa"/>
          <w:bottom w:w="0" w:type="dxa"/>
          <w:right w:w="0" w:type="dxa"/>
        </w:tblCellMar>
      </w:tblPr>
      <w:tr>
        <w:trPr>
          <w:trHeight w:val="171"/>
        </w:trPr>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Rating Level</w:t>
            </w:r>
          </w:p>
        </w:tc>
        <w:tc>
          <w:tcPr>
            <w:tcW w:w="640" w:type="dxa"/>
            <w:vAlign w:val="bottom"/>
          </w:tcPr>
          <w:p>
            <w:pPr>
              <w:spacing w:after="0"/>
              <w:rPr>
                <w:sz w:val="14"/>
                <w:szCs w:val="14"/>
                <w:color w:val="auto"/>
              </w:rPr>
            </w:pPr>
          </w:p>
        </w:tc>
        <w:tc>
          <w:tcPr>
            <w:tcW w:w="134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97"/>
              </w:rPr>
              <w:t>S&amp;P</w:t>
            </w:r>
          </w:p>
        </w:tc>
        <w:tc>
          <w:tcPr>
            <w:tcW w:w="1520" w:type="dxa"/>
            <w:vAlign w:val="bottom"/>
            <w:gridSpan w:val="3"/>
          </w:tcPr>
          <w:p>
            <w:pPr>
              <w:ind w:left="500"/>
              <w:spacing w:after="0"/>
              <w:rPr>
                <w:sz w:val="20"/>
                <w:szCs w:val="20"/>
                <w:color w:val="auto"/>
              </w:rPr>
            </w:pPr>
            <w:r>
              <w:rPr>
                <w:rFonts w:ascii="Arial" w:cs="Arial" w:eastAsia="Arial" w:hAnsi="Arial"/>
                <w:sz w:val="14"/>
                <w:szCs w:val="14"/>
                <w:b w:val="1"/>
                <w:bCs w:val="1"/>
                <w:color w:val="auto"/>
              </w:rPr>
              <w:t>Moody’s</w:t>
            </w:r>
          </w:p>
        </w:tc>
      </w:tr>
      <w:tr>
        <w:trPr>
          <w:trHeight w:val="169"/>
        </w:trPr>
        <w:tc>
          <w:tcPr>
            <w:tcW w:w="136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4"/>
              </w:rPr>
              <w:t>Level I</w:t>
            </w:r>
          </w:p>
        </w:tc>
        <w:tc>
          <w:tcPr>
            <w:tcW w:w="42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gridSpan w:val="3"/>
            <w:shd w:val="clear" w:color="auto" w:fill="CCEEFF"/>
          </w:tcPr>
          <w:p>
            <w:pPr>
              <w:jc w:val="center"/>
              <w:spacing w:after="0" w:line="170" w:lineRule="exact"/>
              <w:rPr>
                <w:sz w:val="20"/>
                <w:szCs w:val="20"/>
                <w:color w:val="auto"/>
              </w:rPr>
            </w:pPr>
            <w:r>
              <w:rPr>
                <w:rFonts w:ascii="Arial" w:cs="Arial" w:eastAsia="Arial" w:hAnsi="Arial"/>
                <w:sz w:val="18"/>
                <w:szCs w:val="18"/>
                <w:color w:val="auto"/>
                <w:w w:val="95"/>
              </w:rPr>
              <w:t>&gt; A-</w:t>
            </w:r>
          </w:p>
        </w:tc>
        <w:tc>
          <w:tcPr>
            <w:tcW w:w="3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gridSpan w:val="3"/>
            <w:shd w:val="clear" w:color="auto" w:fill="CCEEFF"/>
          </w:tcPr>
          <w:p>
            <w:pPr>
              <w:jc w:val="center"/>
              <w:spacing w:after="0" w:line="170" w:lineRule="exact"/>
              <w:rPr>
                <w:sz w:val="20"/>
                <w:szCs w:val="20"/>
                <w:color w:val="auto"/>
              </w:rPr>
            </w:pPr>
            <w:r>
              <w:rPr>
                <w:rFonts w:ascii="Arial" w:cs="Arial" w:eastAsia="Arial" w:hAnsi="Arial"/>
                <w:sz w:val="18"/>
                <w:szCs w:val="18"/>
                <w:color w:val="auto"/>
                <w:w w:val="95"/>
              </w:rPr>
              <w:t>&gt; A3</w:t>
            </w:r>
          </w:p>
        </w:tc>
      </w:tr>
      <w:tr>
        <w:trPr>
          <w:trHeight w:val="21"/>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78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Level II</w:t>
            </w:r>
          </w:p>
        </w:tc>
        <w:tc>
          <w:tcPr>
            <w:tcW w:w="1980" w:type="dxa"/>
            <w:vAlign w:val="bottom"/>
            <w:gridSpan w:val="4"/>
          </w:tcPr>
          <w:p>
            <w:pPr>
              <w:jc w:val="center"/>
              <w:ind w:right="380"/>
              <w:spacing w:after="0"/>
              <w:rPr>
                <w:sz w:val="20"/>
                <w:szCs w:val="20"/>
                <w:color w:val="auto"/>
              </w:rPr>
            </w:pPr>
            <w:r>
              <w:rPr>
                <w:rFonts w:ascii="Arial" w:cs="Arial" w:eastAsia="Arial" w:hAnsi="Arial"/>
                <w:sz w:val="18"/>
                <w:szCs w:val="18"/>
                <w:color w:val="auto"/>
              </w:rPr>
              <w:t>BBB+</w:t>
            </w: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85"/>
              </w:rPr>
              <w:t>Baa1</w:t>
            </w:r>
          </w:p>
        </w:tc>
      </w:tr>
      <w:tr>
        <w:trPr>
          <w:trHeight w:val="216"/>
        </w:trPr>
        <w:tc>
          <w:tcPr>
            <w:tcW w:w="17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8"/>
              </w:rPr>
              <w:t>Level III</w:t>
            </w:r>
          </w:p>
        </w:tc>
        <w:tc>
          <w:tcPr>
            <w:tcW w:w="1980" w:type="dxa"/>
            <w:vAlign w:val="bottom"/>
            <w:gridSpan w:val="4"/>
            <w:shd w:val="clear" w:color="auto" w:fill="CCEEFF"/>
          </w:tcPr>
          <w:p>
            <w:pPr>
              <w:jc w:val="center"/>
              <w:ind w:right="380"/>
              <w:spacing w:after="0"/>
              <w:rPr>
                <w:sz w:val="20"/>
                <w:szCs w:val="20"/>
                <w:color w:val="auto"/>
              </w:rPr>
            </w:pPr>
            <w:r>
              <w:rPr>
                <w:rFonts w:ascii="Arial" w:cs="Arial" w:eastAsia="Arial" w:hAnsi="Arial"/>
                <w:sz w:val="18"/>
                <w:szCs w:val="18"/>
                <w:color w:val="auto"/>
                <w:w w:val="99"/>
              </w:rPr>
              <w:t>BBB</w:t>
            </w: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Baa2</w:t>
            </w:r>
          </w:p>
        </w:tc>
      </w:tr>
      <w:tr>
        <w:trPr>
          <w:trHeight w:val="216"/>
        </w:trPr>
        <w:tc>
          <w:tcPr>
            <w:tcW w:w="1780" w:type="dxa"/>
            <w:vAlign w:val="bottom"/>
            <w:gridSpan w:val="2"/>
          </w:tcPr>
          <w:p>
            <w:pPr>
              <w:jc w:val="center"/>
              <w:ind w:right="440"/>
              <w:spacing w:after="0"/>
              <w:rPr>
                <w:sz w:val="20"/>
                <w:szCs w:val="20"/>
                <w:color w:val="auto"/>
              </w:rPr>
            </w:pPr>
            <w:r>
              <w:rPr>
                <w:rFonts w:ascii="Arial" w:cs="Arial" w:eastAsia="Arial" w:hAnsi="Arial"/>
                <w:sz w:val="18"/>
                <w:szCs w:val="18"/>
                <w:color w:val="auto"/>
              </w:rPr>
              <w:t>Level IV</w:t>
            </w:r>
          </w:p>
        </w:tc>
        <w:tc>
          <w:tcPr>
            <w:tcW w:w="1980" w:type="dxa"/>
            <w:vAlign w:val="bottom"/>
            <w:gridSpan w:val="4"/>
          </w:tcPr>
          <w:p>
            <w:pPr>
              <w:jc w:val="center"/>
              <w:ind w:right="400"/>
              <w:spacing w:after="0"/>
              <w:rPr>
                <w:sz w:val="20"/>
                <w:szCs w:val="20"/>
                <w:color w:val="auto"/>
              </w:rPr>
            </w:pPr>
            <w:r>
              <w:rPr>
                <w:rFonts w:ascii="Arial" w:cs="Arial" w:eastAsia="Arial" w:hAnsi="Arial"/>
                <w:sz w:val="18"/>
                <w:szCs w:val="18"/>
                <w:color w:val="auto"/>
                <w:w w:val="99"/>
              </w:rPr>
              <w:t>BBB-</w:t>
            </w: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85"/>
              </w:rPr>
              <w:t>Baa3</w:t>
            </w:r>
          </w:p>
        </w:tc>
      </w:tr>
      <w:tr>
        <w:trPr>
          <w:trHeight w:val="216"/>
        </w:trPr>
        <w:tc>
          <w:tcPr>
            <w:tcW w:w="17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6"/>
              </w:rPr>
              <w:t>Level V</w:t>
            </w:r>
          </w:p>
        </w:tc>
        <w:tc>
          <w:tcPr>
            <w:tcW w:w="1980" w:type="dxa"/>
            <w:vAlign w:val="bottom"/>
            <w:gridSpan w:val="4"/>
            <w:shd w:val="clear" w:color="auto" w:fill="CCEEFF"/>
          </w:tcPr>
          <w:p>
            <w:pPr>
              <w:jc w:val="center"/>
              <w:ind w:right="380"/>
              <w:spacing w:after="0"/>
              <w:rPr>
                <w:sz w:val="20"/>
                <w:szCs w:val="20"/>
                <w:color w:val="auto"/>
              </w:rPr>
            </w:pPr>
            <w:r>
              <w:rPr>
                <w:rFonts w:ascii="Arial" w:cs="Arial" w:eastAsia="Arial" w:hAnsi="Arial"/>
                <w:sz w:val="18"/>
                <w:szCs w:val="18"/>
                <w:color w:val="auto"/>
                <w:w w:val="97"/>
              </w:rPr>
              <w:t>&lt; BBB-</w:t>
            </w: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&lt; Baa3</w:t>
            </w:r>
          </w:p>
        </w:tc>
      </w:tr>
    </w:tbl>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If either of the Rating Agencies shall not have in effect a PAA Debt Rating or if the rating system of either of the Rating Agencies shall change, or if either of the Rating Agencies shall cease to be in the business of rating corporate debt obligations, Borrower and Majority Lenders shall negotiate in good faith to amend this definition to reflect such changed rating system or the unavailability of ratings from such Rating Agency, but until such an agreement shall be reached, the Applicable Rating Level shall be based only upon the PAA Debt Rating by the remaining Rating Agency.</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solely administered or managed by (a) a Lender, (b) an Affiliate of a Lender, or (c) an entity or an Affiliate of an entity that administers or manages a Lender.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entered into by a Lender and an Eligible Assignee, and accepted by Administrative Agent, in substantially the form of Exhibit F.</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and Insolvency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Bankruptcy and Insolvency Act</w:t>
      </w:r>
      <w:r>
        <w:rPr>
          <w:rFonts w:ascii="Arial" w:cs="Arial" w:eastAsia="Arial" w:hAnsi="Arial"/>
          <w:sz w:val="18"/>
          <w:szCs w:val="18"/>
          <w:color w:val="auto"/>
        </w:rPr>
        <w:t>, S.C. 1992, c. 27, including the regulations made and, from time to time, in force under that Act.</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means for any day a fluctuating rate per annum equal to the higher of (a) the Federal Funds Rate plus 1/2 of 1% and (b) the rate of interest in effect for such day as publicly announced from time to time by the Reference Bank as its “prime rate.” The “prime rate” is a rate set by the Reference Bank based upon various factors including its costs and desired return, general economic conditions and other factors, and is used as a reference point for pricing some loans, which may be priced at, above, or below such announced rate. Any change in such rate announced by the Reference Bank shall take effect at the opening of business on the day specified in the public announcement of such change.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which does not bear interest at a rate based upon the Eurodollar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have the meaning given that term in clause (i) of the definition of the term “Change of Control.”</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Plains All American Pipeline, L.P., a Delaware limited partnership, and its successors and assigns, so long as it is permitted to borrow hereunder.</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(i) a borrowing of new Loans of a single Type pursuant to Section 2.2 or (ii) a Continuation or Conversion of existing Loans into a single Type (and, in the case of Eurodollar Loans, with the same Interest Period) pursuant to Section 2.3.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Notice</w:t>
      </w:r>
      <w:r>
        <w:rPr>
          <w:rFonts w:ascii="Arial" w:cs="Arial" w:eastAsia="Arial" w:hAnsi="Arial"/>
          <w:sz w:val="16"/>
          <w:szCs w:val="16"/>
          <w:color w:val="auto"/>
        </w:rPr>
        <w:t>” means a written or telephonic request, or a written confirmation, made by Borrower which meets the requirements of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11"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day which shall be in New York, New York a legal holiday or day on which banking institutions are required or authorized to close. Any Business Day in any way relating to Eurodollar Loans (such as the day on which an Interest Period begins or ends) must also be a day on which commercial banks settle payments in London.</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 lease with respect to which the lessee is required concurrently to recognize the acquisition of an asset and the incurrence of a liability in accordance with GAAP.</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w:t>
      </w:r>
      <w:r>
        <w:rPr>
          <w:rFonts w:ascii="Arial" w:cs="Arial" w:eastAsia="Arial" w:hAnsi="Arial"/>
          <w:sz w:val="18"/>
          <w:szCs w:val="18"/>
          <w:color w:val="auto"/>
        </w:rPr>
        <w:t>” means, with respect to any Person and a Capital Lease, the amount of the obligation of such Person as the lessee under such Capital Lease which would, in accordance with GAAP, appear as a liability on a balance sheet of such Person.</w:t>
      </w:r>
    </w:p>
    <w:p>
      <w:pPr>
        <w:spacing w:after="0" w:line="170"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and Carry Purchases</w:t>
      </w:r>
      <w:r>
        <w:rPr>
          <w:rFonts w:ascii="Arial" w:cs="Arial" w:eastAsia="Arial" w:hAnsi="Arial"/>
          <w:sz w:val="17"/>
          <w:szCs w:val="17"/>
          <w:color w:val="auto"/>
        </w:rPr>
        <w:t>” means purchases of Petroleum Products for physical storage or in storage or in transit in pipelines which has been hedged by either a NYMEX contract, an OTC contract, an Intercontinental Exchange contract, or a contract for physical delivery.</w:t>
      </w:r>
    </w:p>
    <w:p>
      <w:pPr>
        <w:sectPr>
          <w:pgSz w:w="11900" w:h="16838" w:orient="portrait"/>
          <w:cols w:equalWidth="0" w:num="1">
            <w:col w:w="11400"/>
          </w:cols>
          <w:pgMar w:left="240" w:top="125" w:right="259" w:bottom="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Investments in:</w:t>
      </w:r>
    </w:p>
    <w:p>
      <w:pPr>
        <w:spacing w:after="0" w:line="225" w:lineRule="exact"/>
        <w:rPr>
          <w:sz w:val="20"/>
          <w:szCs w:val="20"/>
          <w:color w:val="auto"/>
        </w:rPr>
      </w:pPr>
    </w:p>
    <w:p>
      <w:pPr>
        <w:jc w:val="both"/>
        <w:ind w:right="140" w:firstLine="656"/>
        <w:spacing w:after="0" w:line="264" w:lineRule="auto"/>
        <w:tabs>
          <w:tab w:leader="none" w:pos="1343" w:val="left"/>
        </w:tabs>
        <w:numPr>
          <w:ilvl w:val="1"/>
          <w:numId w:val="138"/>
        </w:numPr>
        <w:rPr>
          <w:rFonts w:ascii="Arial" w:cs="Arial" w:eastAsia="Arial" w:hAnsi="Arial"/>
          <w:sz w:val="18"/>
          <w:szCs w:val="18"/>
          <w:color w:val="auto"/>
        </w:rPr>
      </w:pPr>
      <w:r>
        <w:rPr>
          <w:rFonts w:ascii="Arial" w:cs="Arial" w:eastAsia="Arial" w:hAnsi="Arial"/>
          <w:sz w:val="18"/>
          <w:szCs w:val="18"/>
          <w:color w:val="auto"/>
        </w:rPr>
        <w:t>marketable obligations, maturing within 12 months after acquisition thereof, issued or unconditionally guaranteed by the United States of America or the federal government of Canada or an instrumentality or agency thereof and entitled to the full faith and credit of the United States of America or the federal government of Canada, as the case may be;</w:t>
      </w:r>
    </w:p>
    <w:p>
      <w:pPr>
        <w:spacing w:after="0" w:line="181" w:lineRule="exact"/>
        <w:rPr>
          <w:rFonts w:ascii="Arial" w:cs="Arial" w:eastAsia="Arial" w:hAnsi="Arial"/>
          <w:sz w:val="18"/>
          <w:szCs w:val="18"/>
          <w:color w:val="auto"/>
        </w:rPr>
      </w:pPr>
    </w:p>
    <w:p>
      <w:pPr>
        <w:ind w:right="140" w:firstLine="656"/>
        <w:spacing w:after="0" w:line="279" w:lineRule="auto"/>
        <w:tabs>
          <w:tab w:leader="none" w:pos="1353" w:val="left"/>
        </w:tabs>
        <w:numPr>
          <w:ilvl w:val="1"/>
          <w:numId w:val="138"/>
        </w:numPr>
        <w:rPr>
          <w:rFonts w:ascii="Arial" w:cs="Arial" w:eastAsia="Arial" w:hAnsi="Arial"/>
          <w:sz w:val="17"/>
          <w:szCs w:val="17"/>
          <w:color w:val="auto"/>
        </w:rPr>
      </w:pPr>
      <w:r>
        <w:rPr>
          <w:rFonts w:ascii="Arial" w:cs="Arial" w:eastAsia="Arial" w:hAnsi="Arial"/>
          <w:sz w:val="17"/>
          <w:szCs w:val="17"/>
          <w:color w:val="auto"/>
        </w:rPr>
        <w:t>demand deposits and time deposits (including certificates of deposit) maturing within 12 months from the date of deposit thereof, (i) with any office of any Lender or (ii) with a domestic office of any national, state or provincial bank or trust company which is organized under the Laws of the United States of America or any state therein, or the federal government of Canada or any province therein, which has capital, surplus and undivided profits of at least $500,000,000, and whose long term certificates of deposit are rated at least Aa3 by Moody’s or AA- by S&amp;P;</w:t>
      </w:r>
    </w:p>
    <w:p>
      <w:pPr>
        <w:spacing w:after="0" w:line="171" w:lineRule="exact"/>
        <w:rPr>
          <w:rFonts w:ascii="Arial" w:cs="Arial" w:eastAsia="Arial" w:hAnsi="Arial"/>
          <w:sz w:val="17"/>
          <w:szCs w:val="17"/>
          <w:color w:val="auto"/>
        </w:rPr>
      </w:pPr>
    </w:p>
    <w:p>
      <w:pPr>
        <w:ind w:right="360" w:firstLine="656"/>
        <w:spacing w:after="0" w:line="277" w:lineRule="auto"/>
        <w:tabs>
          <w:tab w:leader="none" w:pos="1343" w:val="left"/>
        </w:tabs>
        <w:numPr>
          <w:ilvl w:val="1"/>
          <w:numId w:val="138"/>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subsection (a) above entered into with (i) any Lender or (ii) any other commercial bank meeting the specifications of subsection (b) above;</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open market commercial paper, maturing within 270 days after acquisition thereof, which are rated at least P-1 by Moody’s or A-1 by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S&amp;P; and</w:t>
      </w:r>
    </w:p>
    <w:p>
      <w:pPr>
        <w:spacing w:after="0" w:line="210" w:lineRule="exact"/>
        <w:rPr>
          <w:rFonts w:ascii="Arial" w:cs="Arial" w:eastAsia="Arial" w:hAnsi="Arial"/>
          <w:sz w:val="17"/>
          <w:szCs w:val="17"/>
          <w:color w:val="auto"/>
        </w:rPr>
      </w:pPr>
    </w:p>
    <w:p>
      <w:pPr>
        <w:ind w:left="1360" w:hanging="704"/>
        <w:spacing w:after="0"/>
        <w:tabs>
          <w:tab w:leader="none" w:pos="136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money market or other mutual funds substantially all of whose assets comprise securities of the types described in subsections (a) through</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above.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w:t>
      </w:r>
    </w:p>
    <w:p>
      <w:pPr>
        <w:spacing w:after="0" w:line="225" w:lineRule="exact"/>
        <w:rPr>
          <w:sz w:val="20"/>
          <w:szCs w:val="20"/>
          <w:color w:val="auto"/>
        </w:rPr>
      </w:pPr>
    </w:p>
    <w:p>
      <w:pPr>
        <w:ind w:right="300" w:firstLine="656"/>
        <w:spacing w:after="0" w:line="277" w:lineRule="auto"/>
        <w:tabs>
          <w:tab w:leader="none" w:pos="135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Qualifying Directors cease for any reason to constitute collectively a majority of the members of the board of directors of GP LLC (the “Board”) then in office;</w:t>
      </w:r>
    </w:p>
    <w:p>
      <w:pPr>
        <w:spacing w:after="0" w:line="170" w:lineRule="exact"/>
        <w:rPr>
          <w:rFonts w:ascii="Arial" w:cs="Arial" w:eastAsia="Arial" w:hAnsi="Arial"/>
          <w:sz w:val="18"/>
          <w:szCs w:val="18"/>
          <w:color w:val="auto"/>
        </w:rPr>
      </w:pPr>
    </w:p>
    <w:p>
      <w:pPr>
        <w:ind w:right="20" w:firstLine="656"/>
        <w:spacing w:after="0" w:line="277" w:lineRule="auto"/>
        <w:tabs>
          <w:tab w:leader="none" w:pos="136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GP LLC shall cease to be, directly or indirectly, the beneficial owner (within the meaning of Rule 13d-3 under the Securities Exchange Act of 1934, as amended) of all of the general partner interests of General Partner.</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General Partner shall cease to be, directly or indirectly, the beneficial owner (as defined above) of all of the general partner interests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 or</w:t>
      </w:r>
    </w:p>
    <w:p>
      <w:pPr>
        <w:spacing w:after="0" w:line="210" w:lineRule="exact"/>
        <w:rPr>
          <w:rFonts w:ascii="Arial" w:cs="Arial" w:eastAsia="Arial" w:hAnsi="Arial"/>
          <w:sz w:val="16"/>
          <w:szCs w:val="16"/>
          <w:color w:val="auto"/>
        </w:rPr>
      </w:pPr>
    </w:p>
    <w:p>
      <w:pPr>
        <w:ind w:right="80" w:firstLine="656"/>
        <w:spacing w:after="0" w:line="277" w:lineRule="auto"/>
        <w:tabs>
          <w:tab w:leader="none" w:pos="135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Neither General Partner nor Borrower shall continue to be, directly or indirectly, the beneficial owner of all of the general partner interests in Plains Marketing and Plains Pipeline.</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used herein, “</w:t>
      </w:r>
      <w:r>
        <w:rPr>
          <w:rFonts w:ascii="Arial" w:cs="Arial" w:eastAsia="Arial" w:hAnsi="Arial"/>
          <w:sz w:val="17"/>
          <w:szCs w:val="17"/>
          <w:u w:val="single" w:color="auto"/>
          <w:color w:val="auto"/>
        </w:rPr>
        <w:t>Qualifying Director</w:t>
      </w:r>
      <w:r>
        <w:rPr>
          <w:rFonts w:ascii="Arial" w:cs="Arial" w:eastAsia="Arial" w:hAnsi="Arial"/>
          <w:sz w:val="17"/>
          <w:szCs w:val="17"/>
          <w:color w:val="auto"/>
        </w:rPr>
        <w:t>” means (i) any Person designated by any Qualifying Owner as its representative on the Board, (ii) so long as Qualifying Owners own a majority of the ownership interests of GP LLC entitling the holders thereof to vote in elections for directors of GP LLC, any Person elected by a majority of such owners of GP LLC entitled to vote thereon, and (iii) the chief executive officer of GP LLC, and “</w:t>
      </w:r>
      <w:r>
        <w:rPr>
          <w:rFonts w:ascii="Arial" w:cs="Arial" w:eastAsia="Arial" w:hAnsi="Arial"/>
          <w:sz w:val="17"/>
          <w:szCs w:val="17"/>
          <w:u w:val="single" w:color="auto"/>
          <w:color w:val="auto"/>
        </w:rPr>
        <w:t>Qualifying Owner</w:t>
      </w:r>
      <w:r>
        <w:rPr>
          <w:rFonts w:ascii="Arial" w:cs="Arial" w:eastAsia="Arial" w:hAnsi="Arial"/>
          <w:sz w:val="17"/>
          <w:szCs w:val="17"/>
          <w:color w:val="auto"/>
        </w:rPr>
        <w:t>” means Kayne Anderson Investment Management, EnCap Investments LLC, Vulcan Energy Corporation or any Affiliate of any of the foregoing.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first date all the conditions precedent in Section 4.1 are satisfied or waived in accordance with Section 10.1.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 from time to time, together with all rules and regulations promulgated with respect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as to each Lender, its obligation to make Loans to Borrower pursuant to Section 2.1 in an aggregate principal amount at any one time outstanding not to exceed the amount set forth opposite such Lender’s name on Schedule II, or in the Assignment and Assumption pursuant to which such Lender becomes a party hereto, as applicable. The Commitments may be reduced from time to time pursuant to Section 2.5(b) and shall be reduced from time to time as provided in Section 2.9(a) and (b).</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means the period from and including the Closing Date through and until the Conversion Date (or, if earlier, the day on which the obligation of Lenders to make Loans to Borrower hereunder pursuant to Section 2.1 has been terminated or the day on which any of the Notes first becomes due and payable in full).</w:t>
      </w:r>
    </w:p>
    <w:p>
      <w:pPr>
        <w:spacing w:after="0" w:line="181"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Companies’ Creditors Arrangement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Companies’ Creditors Arrangement Act</w:t>
      </w:r>
      <w:r>
        <w:rPr>
          <w:rFonts w:ascii="Arial" w:cs="Arial" w:eastAsia="Arial" w:hAnsi="Arial"/>
          <w:sz w:val="18"/>
          <w:szCs w:val="18"/>
          <w:color w:val="auto"/>
        </w:rPr>
        <w:t>, R.S.C. 1985, c. C-36, including the regulations made and from time to time in force under that Act.</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w:t>
      </w:r>
      <w:r>
        <w:rPr>
          <w:rFonts w:ascii="Arial" w:cs="Arial" w:eastAsia="Arial" w:hAnsi="Arial"/>
          <w:sz w:val="17"/>
          <w:szCs w:val="17"/>
          <w:color w:val="auto"/>
        </w:rPr>
        <w:t>” refers to the consolidation of any Person, in accordance with GAAP, with its properly consolidated subsidiaries. References herein to a Person’s Consolidated financial statements, financial position, financial condition, liabilities, etc. refer to the consolidated financial statements, financial position, financial condition, liabilities, etc. of such Person and its properly consolidated subsidiaries.</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period, the sum of (1) the Consolidated Net Income during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all interest expense that was deducted in determining such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(3) all income taxes (including any franchise taxes to the extent based upon net income) that were deducted in determining such Consolidated Net Income,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(4) all depreciation, amortization (including amortization of good will and debt issue costs) and other non-cash charges (including any provision for the reduction in the carrying value of assets recorded in accordance with GAAP) which were deducted in determining such Consolidated Net Income,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(5) all non-cash items of income which were included in determining such Consolidated Net Income.</w:t>
      </w:r>
    </w:p>
    <w:p>
      <w:pPr>
        <w:sectPr>
          <w:pgSz w:w="11900" w:h="16838" w:orient="portrait"/>
          <w:cols w:equalWidth="0" w:num="1">
            <w:col w:w="11400"/>
          </w:cols>
          <w:pgMar w:left="240" w:top="125" w:right="259" w:bottom="0" w:gutter="0" w:footer="0" w:header="0"/>
        </w:sectPr>
      </w:pPr>
    </w:p>
    <w:bookmarkStart w:id="72" w:name="page73"/>
    <w:bookmarkEnd w:id="72"/>
    <w:p>
      <w:pPr>
        <w:ind w:right="14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Funded Indebtedness</w:t>
      </w:r>
      <w:r>
        <w:rPr>
          <w:rFonts w:ascii="Arial" w:cs="Arial" w:eastAsia="Arial" w:hAnsi="Arial"/>
          <w:sz w:val="17"/>
          <w:szCs w:val="17"/>
          <w:color w:val="auto"/>
        </w:rPr>
        <w:t>” means as of any date, the sum of the following (without duplication): (i) the outstanding principal amount of all Indebtedness which is classified as “long-term indebtedness” on a consolidated balance sheet of Borrower and its Consolidated Subsidiaries (excluding Unrestricted Subsidiaries) prepared as of such date in accordance with GAAP (subject to year-end audit adjustments with respect to non-year end periods) and any current maturities and other principal amount in respect of such Indebtedness due within one year but which was classified as “long-term indebtedness” at the creation thereof; (ii) the outstanding principal amount of Indebtedness for borrowed money of Borrower and its Consolidated Subsidiaries (excluding Unrestricted Subsidiaries) outstanding under a revolving</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credit, term or similar agreement (and renewals and extensions thereof); and (iii) the outstanding principal amount of Indebtedness in respect of Capital Leases of Borrower and its Consolidated Subsidiaries (excluding Unrestricted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Consolidated Funded Indebtedness shall not, if otherwise applicable, include (x) Indebtedness in respect of letters of credit, (y) Indebtedness incurred to finance Cash and Carry Purchases or (z) margin deposits.</w:t>
      </w:r>
    </w:p>
    <w:p>
      <w:pPr>
        <w:spacing w:after="0" w:line="18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means, for any period, Borrower’s and its Subsidiaries’ (excluding Unrestricted Subsidiaries) gross revenues for such period, including any cash dividends or distributions actually received from any other Person during such period, minus Borrower’s and its Subsidiaries’ (excluding Unrestricted Subsidiaries) expenses and other proper charges against income (including taxes on income, to the extent imposed), determined on a Consolidated basis after eliminating earnings or losses attributable to outstanding minority interests and excluding the net earnings of any Person other than a Subsidiary in which Borrower or any of its Subsidiaries (excluding Unrestricted Subsidiaries) has an ownership interest. Consolidated Net Income shall not include (i) any gain or loss from the sale of assets, (ii) any extraordinary gains or losses, or (iii) any non-cash gains or losses resulting from mark to market activity as a result of the implementation of SFAS 133 or EITF 98-10. In addition, Consolidated Net Income shall not include the cost or proceeds of purchasing or selling options which are used to hedge future activity, until the period in which such hedged future activity occurs.</w:t>
      </w:r>
    </w:p>
    <w:p>
      <w:pPr>
        <w:spacing w:after="0" w:line="16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Tangible Net Worth</w:t>
      </w:r>
      <w:r>
        <w:rPr>
          <w:rFonts w:ascii="Arial" w:cs="Arial" w:eastAsia="Arial" w:hAnsi="Arial"/>
          <w:sz w:val="17"/>
          <w:szCs w:val="17"/>
          <w:color w:val="auto"/>
        </w:rPr>
        <w:t xml:space="preserve">” means the remainder of (i) all Consolidated assets, as determined in accordance with GAAP, of Borrower and its Subsidiaries (excluding Unrestricted Subsidiaries)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the sum of (a) Borrower’s Consolidated liabilities (excluding liabilities of Unrestricted Subsidiaries, to the extent included therein), as determined in accordance with GAAP, (b) the book value of any equity interests in any of Borrower’s Subsidiaries (excluding Unrestricted Subsidiaries) which equity interests are owned by a Person other than Borrower or a Wholly Owned Subsidiary of Borrower; and (c) the net book value of all assets that would be treated as intangible under GAAP, including goodwill, trademarks, trade names and service marks, excluding fifty percent (50%) of goodwill attributed to the PPX Acquisition. The effect of any increase or decrease of net worth in any period as a result of items of income or loss not reflected in the determination of net income but reflected in the determination of comprehensive income (to the extent provided under GAAP as in effect on the date hereof) shall be excluded in determining Consolidated Tangible Net Worth.</w:t>
      </w:r>
    </w:p>
    <w:p>
      <w:pPr>
        <w:spacing w:after="0" w:line="17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Contango Credit Agreement</w:t>
      </w:r>
      <w:r>
        <w:rPr>
          <w:rFonts w:ascii="Arial" w:cs="Arial" w:eastAsia="Arial" w:hAnsi="Arial"/>
          <w:sz w:val="18"/>
          <w:szCs w:val="18"/>
          <w:color w:val="auto"/>
        </w:rPr>
        <w:t>” means that certain Restated Credit Agreement dated November 19, 2004, as amended by First Amendment to Restated Credit Agreement dated April 20, 2005, Second Amendment to Restated Credit Agreement dated May 20, 2005, Third Amendment to Restated Credit Agreement dated November 4, 2005, and as further amended from time to time, among Plains Marketing, Bank of America, N.A., as administrative agent, and the lenders named therein.</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Continue</w:t>
      </w:r>
      <w:r>
        <w:rPr>
          <w:rFonts w:ascii="Arial" w:cs="Arial" w:eastAsia="Arial" w:hAnsi="Arial"/>
          <w:sz w:val="18"/>
          <w:szCs w:val="18"/>
          <w:color w:val="auto"/>
        </w:rPr>
        <w:t>”, “</w:t>
      </w:r>
      <w:r>
        <w:rPr>
          <w:rFonts w:ascii="Arial" w:cs="Arial" w:eastAsia="Arial" w:hAnsi="Arial"/>
          <w:sz w:val="18"/>
          <w:szCs w:val="18"/>
          <w:u w:val="single" w:color="auto"/>
          <w:color w:val="auto"/>
        </w:rPr>
        <w:t>Continuation</w:t>
      </w:r>
      <w:r>
        <w:rPr>
          <w:rFonts w:ascii="Arial" w:cs="Arial" w:eastAsia="Arial" w:hAnsi="Arial"/>
          <w:sz w:val="18"/>
          <w:szCs w:val="18"/>
          <w:color w:val="auto"/>
        </w:rPr>
        <w:t>” and “</w:t>
      </w:r>
      <w:r>
        <w:rPr>
          <w:rFonts w:ascii="Arial" w:cs="Arial" w:eastAsia="Arial" w:hAnsi="Arial"/>
          <w:sz w:val="18"/>
          <w:szCs w:val="18"/>
          <w:u w:val="single" w:color="auto"/>
          <w:color w:val="auto"/>
        </w:rPr>
        <w:t>Continued</w:t>
      </w:r>
      <w:r>
        <w:rPr>
          <w:rFonts w:ascii="Arial" w:cs="Arial" w:eastAsia="Arial" w:hAnsi="Arial"/>
          <w:sz w:val="18"/>
          <w:szCs w:val="18"/>
          <w:color w:val="auto"/>
        </w:rPr>
        <w:t>” shall refer to the continuation pursuant to Section 2.3 of a Eurodollar Loan as a Eurodollar Loan from one Interest Period to the next Interest Period.</w:t>
      </w:r>
    </w:p>
    <w:p>
      <w:pPr>
        <w:spacing w:after="0" w:line="170"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Continuation/Conversion Notice</w:t>
      </w:r>
      <w:r>
        <w:rPr>
          <w:rFonts w:ascii="Arial" w:cs="Arial" w:eastAsia="Arial" w:hAnsi="Arial"/>
          <w:sz w:val="18"/>
          <w:szCs w:val="18"/>
          <w:color w:val="auto"/>
        </w:rPr>
        <w:t>” means a written or telephonic request, or a written confirmation, made by Borrower which meets the requirements of Section 2.3.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w:t>
      </w:r>
      <w:r>
        <w:rPr>
          <w:rFonts w:ascii="Arial" w:cs="Arial" w:eastAsia="Arial" w:hAnsi="Arial"/>
          <w:sz w:val="18"/>
          <w:szCs w:val="18"/>
          <w:color w:val="auto"/>
        </w:rPr>
        <w:t>”, “</w:t>
      </w:r>
      <w:r>
        <w:rPr>
          <w:rFonts w:ascii="Arial" w:cs="Arial" w:eastAsia="Arial" w:hAnsi="Arial"/>
          <w:sz w:val="18"/>
          <w:szCs w:val="18"/>
          <w:u w:val="single" w:color="auto"/>
          <w:color w:val="auto"/>
        </w:rPr>
        <w:t>Conversion</w:t>
      </w:r>
      <w:r>
        <w:rPr>
          <w:rFonts w:ascii="Arial" w:cs="Arial" w:eastAsia="Arial" w:hAnsi="Arial"/>
          <w:sz w:val="18"/>
          <w:szCs w:val="18"/>
          <w:color w:val="auto"/>
        </w:rPr>
        <w:t>” and “</w:t>
      </w:r>
      <w:r>
        <w:rPr>
          <w:rFonts w:ascii="Arial" w:cs="Arial" w:eastAsia="Arial" w:hAnsi="Arial"/>
          <w:sz w:val="18"/>
          <w:szCs w:val="18"/>
          <w:u w:val="single" w:color="auto"/>
          <w:color w:val="auto"/>
        </w:rPr>
        <w:t>Convert</w:t>
      </w:r>
      <w:r>
        <w:rPr>
          <w:rFonts w:ascii="Arial" w:cs="Arial" w:eastAsia="Arial" w:hAnsi="Arial"/>
          <w:sz w:val="18"/>
          <w:szCs w:val="18"/>
          <w:color w:val="auto"/>
        </w:rPr>
        <w:t>” refers to a conversion pursuant to Section 2.3 of one Type of Loan into another Type of Loan.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Date</w:t>
      </w:r>
      <w:r>
        <w:rPr>
          <w:rFonts w:ascii="Arial" w:cs="Arial" w:eastAsia="Arial" w:hAnsi="Arial"/>
          <w:sz w:val="18"/>
          <w:szCs w:val="18"/>
          <w:color w:val="auto"/>
        </w:rPr>
        <w:t>” means the earlier of (i) the date 364 days after the Initial Funding Date and (ii) July 31, 2008.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Coverage Ratio</w:t>
      </w:r>
      <w:r>
        <w:rPr>
          <w:rFonts w:ascii="Arial" w:cs="Arial" w:eastAsia="Arial" w:hAnsi="Arial"/>
          <w:sz w:val="18"/>
          <w:szCs w:val="18"/>
          <w:color w:val="auto"/>
        </w:rPr>
        <w:t>” shall have the meaning given that term in Section 7.8.</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of Default and any default, event or condition which would, with the giving of any requisite notices and the passage of any requisite periods of time, constitute an Event of Default.</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any Lender Party that (a) has failed to fund any portion of the Loans required to be funded by it hereunder within one Business Day of the date required for such funding, unless cured, (b) has otherwise failed to pay over to Administrative Agent or any other Lender any other amount required to be paid by it hereunder within one Business Day of the date when due, unless cured or the subject of a good faith dispute, (c) has otherwise materially breached any of its obligations hereunder or under any other Loan Document, unless cured, or (d) has been deemed insolvent or become the subject of a bankruptcy or insolvency proceeding.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means, at the time in question, two percent (2%) per annum plus:</w:t>
      </w:r>
    </w:p>
    <w:p>
      <w:pPr>
        <w:spacing w:after="0" w:line="225" w:lineRule="exact"/>
        <w:rPr>
          <w:sz w:val="20"/>
          <w:szCs w:val="20"/>
          <w:color w:val="auto"/>
        </w:rPr>
      </w:pPr>
    </w:p>
    <w:p>
      <w:pPr>
        <w:ind w:left="2000" w:hanging="695"/>
        <w:spacing w:after="0"/>
        <w:tabs>
          <w:tab w:leader="none" w:pos="20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Eurodollar Rate plus the Applicable Margin then in effect for each Eurodollar Loan (up to the end of the applicable Interest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Period), or</w:t>
      </w:r>
    </w:p>
    <w:p>
      <w:pPr>
        <w:spacing w:after="0" w:line="210" w:lineRule="exact"/>
        <w:rPr>
          <w:rFonts w:ascii="Arial" w:cs="Arial" w:eastAsia="Arial" w:hAnsi="Arial"/>
          <w:sz w:val="16"/>
          <w:szCs w:val="16"/>
          <w:color w:val="auto"/>
        </w:rPr>
      </w:pPr>
    </w:p>
    <w:p>
      <w:pPr>
        <w:ind w:left="2000" w:hanging="695"/>
        <w:spacing w:after="0"/>
        <w:tabs>
          <w:tab w:leader="none" w:pos="2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Base Rate plus the Applicable Margin then in effect for each Base Rate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provided, however, the Default Rate shall never exceed the Highest Lawful Rate.</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Rate Period</w:t>
      </w:r>
      <w:r>
        <w:rPr>
          <w:rFonts w:ascii="Arial" w:cs="Arial" w:eastAsia="Arial" w:hAnsi="Arial"/>
          <w:sz w:val="16"/>
          <w:szCs w:val="16"/>
          <w:color w:val="auto"/>
        </w:rPr>
        <w:t>” means (i) any period during which an Event of Default, other than pursuant to Section 8.1(a) or (b), is continuing, provided that such period shall not begin until notice of the commencement of the Default Rate has been given to Borrower by Administrative Agent upon the</w:t>
      </w:r>
    </w:p>
    <w:p>
      <w:pPr>
        <w:sectPr>
          <w:pgSz w:w="11900" w:h="16838" w:orient="portrait"/>
          <w:cols w:equalWidth="0" w:num="1">
            <w:col w:w="11380"/>
          </w:cols>
          <w:pgMar w:left="240" w:top="125" w:right="279" w:bottom="0" w:gutter="0" w:footer="0" w:header="0"/>
        </w:sectPr>
      </w:pPr>
    </w:p>
    <w:bookmarkStart w:id="73" w:name="page74"/>
    <w:bookmarkEnd w:id="73"/>
    <w:p>
      <w:pPr>
        <w:ind w:right="320"/>
        <w:spacing w:after="0" w:line="277" w:lineRule="auto"/>
        <w:rPr>
          <w:sz w:val="20"/>
          <w:szCs w:val="20"/>
          <w:color w:val="auto"/>
        </w:rPr>
      </w:pPr>
      <w:r>
        <w:rPr>
          <w:rFonts w:ascii="Arial" w:cs="Arial" w:eastAsia="Arial" w:hAnsi="Arial"/>
          <w:sz w:val="18"/>
          <w:szCs w:val="18"/>
          <w:color w:val="auto"/>
        </w:rPr>
        <w:t>instruction by Majority Lenders and (ii) any period during which any Event of Default pursuant to Section 8.1(a) or (b) is continuing unless Borrower has been notified otherwise by Administrative Agent upon the instruction by Majority Lenders.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w:t>
      </w:r>
      <w:r>
        <w:rPr>
          <w:rFonts w:ascii="Arial" w:cs="Arial" w:eastAsia="Arial" w:hAnsi="Arial"/>
          <w:sz w:val="18"/>
          <w:szCs w:val="18"/>
          <w:color w:val="auto"/>
        </w:rPr>
        <w:t>” means Schedule III hereto.</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means (a) any dividend or other distribution (whether in cash or other property, but excluding dividends or other distributions payable in equity interests in Borrower) with respect to any equity interest of Borrower, (b) any payment (whether in cash or other property, but excluding dividends or other distributions payable in equity interests in Borrower), including any sinking fund or similar deposit, on account of the retirement, redemption, purchase, cancellation, termination or other acquisition for value of any equity interest of Borrower or (c) any other payment by Borrower to any holder of equity interests of Borrower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such equity interests held thereby other than payments made with equity interests in Borrower.</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of any amount of any currency at any date means (i) if such currency is Dollars, the amount of such currency, or (ii) if such currency is Canadian Dollars, the equivalent in Dollars of such amount of such currency based upon the rate of exchange for such conversion as quoted by the Bank of Canada at approximately 12:00 noon, Toronto time (or, if not so quoted, the spot rate of exchange quoted for wholesale transactions made by Administrative Agent) on the date on or as of which such amount is to be determined.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States of America, except where otherwise specified.</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Assignee</w:t>
      </w:r>
      <w:r>
        <w:rPr>
          <w:rFonts w:ascii="Arial" w:cs="Arial" w:eastAsia="Arial" w:hAnsi="Arial"/>
          <w:sz w:val="17"/>
          <w:szCs w:val="17"/>
          <w:color w:val="auto"/>
        </w:rPr>
        <w:t xml:space="preserve">” means (a) a Lender, and (b) any other Person (other than a natural person), including Affiliates of Lenders and Approved Funds, approved by (i) Administrative Agent, and (ii) unless an Event of Default is continuing, Borrower (each such approval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that notwithstanding the foregoing, “Eligible Assignee” shall not include Borrower or any of Borrower’s Affiliates or Subsidiaries or, unless an Event of Default is continuing, any Person who, at the relevant time of determination, is a Defaulting Lender or an Affiliate of a Defaulting Lender</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provided further, an Eligible Assignee of any Lender shall include only those Persons which, through their respective Lending Offices, are capable of lending Dollars to Borrower without the imposition of any withholding taxes on interest or principal owed to such Persons, and Loans by such Eligible Assignee shall be made through such Lending Office.</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Laws relating to the environment or to emissions, discharges, releases or threatened releases of pollutants, contaminants, chemicals, or industrial, toxic or hazardous substances or wastes into the environment including ambient air, surface water, ground water, or land, or otherwise relating to the manufacture, processing, distribution, use, treatment, storage, disposal, transport, or handling of pollutants, contaminants, chemicals, or industrial, toxic or hazardous substances or wastes.</w:t>
      </w:r>
    </w:p>
    <w:p>
      <w:pPr>
        <w:spacing w:after="0" w:line="18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together with all rules and regulations promulgated with respect thereto.</w:t>
      </w:r>
    </w:p>
    <w:p>
      <w:pPr>
        <w:spacing w:after="0" w:line="17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each Restricted Person and all members of a controlled group of corporations and all trades or businesses (whether or not incorporated) under common control that, together with such Restricted Person, are treated as a single employer under Section 414 of the Code.</w:t>
      </w:r>
    </w:p>
    <w:p>
      <w:pPr>
        <w:spacing w:after="0" w:line="12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Plan</w:t>
      </w:r>
      <w:r>
        <w:rPr>
          <w:rFonts w:ascii="Arial" w:cs="Arial" w:eastAsia="Arial" w:hAnsi="Arial"/>
          <w:sz w:val="18"/>
          <w:szCs w:val="18"/>
          <w:color w:val="auto"/>
        </w:rPr>
        <w:t>” means any employee pension benefit plan subject to Title IV of ERISA maintained by any ERISA Affiliate with respect to which any Restricted Person has a fixed or contingent liability.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Loan</w:t>
      </w:r>
      <w:r>
        <w:rPr>
          <w:rFonts w:ascii="Arial" w:cs="Arial" w:eastAsia="Arial" w:hAnsi="Arial"/>
          <w:sz w:val="18"/>
          <w:szCs w:val="18"/>
          <w:color w:val="auto"/>
        </w:rPr>
        <w:t>” means a Loan that bears interest at a rate based upon the Eurodollar Rate.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 Rate</w:t>
      </w:r>
      <w:r>
        <w:rPr>
          <w:rFonts w:ascii="Arial" w:cs="Arial" w:eastAsia="Arial" w:hAnsi="Arial"/>
          <w:sz w:val="17"/>
          <w:szCs w:val="17"/>
          <w:color w:val="auto"/>
        </w:rPr>
        <w:t>” means, for any Interest Period with respect to a Eurodollar Loan, the rate per annum equal to the British Bankers Association LIBOR Rate (“</w:t>
      </w:r>
      <w:r>
        <w:rPr>
          <w:rFonts w:ascii="Arial" w:cs="Arial" w:eastAsia="Arial" w:hAnsi="Arial"/>
          <w:sz w:val="17"/>
          <w:szCs w:val="17"/>
          <w:u w:val="single" w:color="auto"/>
          <w:color w:val="auto"/>
        </w:rPr>
        <w:t>BBA LIBOR</w:t>
      </w:r>
      <w:r>
        <w:rPr>
          <w:rFonts w:ascii="Arial" w:cs="Arial" w:eastAsia="Arial" w:hAnsi="Arial"/>
          <w:sz w:val="17"/>
          <w:szCs w:val="17"/>
          <w:color w:val="auto"/>
        </w:rPr>
        <w:t>”), as published by Reuters (or other commercially available source providing quotations of BBA LIBOR as designated by Administrative Agent from time to time) at approximately 11:00 a.m., London time, two Business Days prior to the commencement of such Interest Period, for Dollar deposits (for delivery on the first day of such Interest Period) with a term equivalent to such Interest Period. If such rate is not available at such time for any reason, then the “Eurodollar Rate” for such Interest Period shall be the rate per annum determined by Administrative Agent to be the rate at which deposits in Dollars for delivery on the first day of such Interest Period in same day funds in the approximate amount of the Eurodollar Loan being made, continued or converted by the Reference Bank and with a term equivalent to such Interest Period would be offered by the Reference Bank’s London Branch to major banks in the London interbank eurodollar market at their request at approximately 11:00 a.m. (London time) two Business Days prior to the commencement of such Interest Period.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given to such term in Section 8.1.</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 Rate</w:t>
      </w:r>
      <w:r>
        <w:rPr>
          <w:rFonts w:ascii="Arial" w:cs="Arial" w:eastAsia="Arial" w:hAnsi="Arial"/>
          <w:sz w:val="18"/>
          <w:szCs w:val="18"/>
          <w:color w:val="auto"/>
        </w:rPr>
        <w:t xml:space="preserve">” means, on any day, the rate per annum set forth on Schedule I as the “Facility Fee Rate” based on the Applicable Rating Level on such date; </w:t>
      </w:r>
      <w:r>
        <w:rPr>
          <w:rFonts w:ascii="Arial" w:cs="Arial" w:eastAsia="Arial" w:hAnsi="Arial"/>
          <w:sz w:val="18"/>
          <w:szCs w:val="18"/>
          <w:u w:val="single" w:color="auto"/>
          <w:color w:val="auto"/>
        </w:rPr>
        <w:t>provided</w:t>
      </w:r>
      <w:r>
        <w:rPr>
          <w:rFonts w:ascii="Arial" w:cs="Arial" w:eastAsia="Arial" w:hAnsi="Arial"/>
          <w:sz w:val="18"/>
          <w:szCs w:val="18"/>
          <w:color w:val="auto"/>
        </w:rPr>
        <w:t>, on and after the Conversion Date, the Facility Fee Rate shall be increased by 0.25% per annum. Changes in the applicable Facility Fee Rate will occur automatically without prior notice as changes in the Applicable Rating Level occur. Administrative Agent will give notice promptly to Borrower and Lenders of changes in the Facility Fee Rate.</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JPMorgan Chase Bank on such day on such transactions as determined by Administrative Agent.</w:t>
      </w:r>
    </w:p>
    <w:p>
      <w:pPr>
        <w:sectPr>
          <w:pgSz w:w="11900" w:h="16838" w:orient="portrait"/>
          <w:cols w:equalWidth="0" w:num="1">
            <w:col w:w="11400"/>
          </w:cols>
          <w:pgMar w:left="240" w:top="125" w:right="259" w:bottom="0" w:gutter="0" w:footer="0" w:header="0"/>
        </w:sectPr>
      </w:pPr>
    </w:p>
    <w:bookmarkStart w:id="74" w:name="page75"/>
    <w:bookmarkEnd w:id="74"/>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Quarter</w:t>
      </w:r>
      <w:r>
        <w:rPr>
          <w:rFonts w:ascii="Arial" w:cs="Arial" w:eastAsia="Arial" w:hAnsi="Arial"/>
          <w:sz w:val="18"/>
          <w:szCs w:val="18"/>
          <w:color w:val="auto"/>
        </w:rPr>
        <w:t>” means a three-month period ending on March 31, June 30, September 30 or December 31 of any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a twelve-month period ending on December 31 of any year.</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engaged in making, purchasing or holding commercial loans and similar extensions of credit in the ordinary course of its business.</w:t>
      </w:r>
    </w:p>
    <w:p>
      <w:pPr>
        <w:spacing w:after="0" w:line="170"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those generally accepted accounting principles and practices which are recognized as such by the Financial Accounting Standards Board (or any generally recognized successor) and which, in the case of Borrower and its Consolidated Subsidiaries, are applied for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all periods after the date hereof in a manner consistent with the manner in which such principles and practices were applied to the Initial Financial Statements. If any change in any accounting principle or practice is required by the Financial Accounting Standards Board (or any such successor) in order for such principle or practice to continue as a generally accepted accounting principle or practice, all reports and financial statements required hereunder with respect to Borrower or with respect to Borrower and its Consolidated Subsidiaries may be prepared in accordance with such change, but all calculations and determinations to be made hereunder may be made in accordance with such change only after notice of such change is given to each Lender and Majority Lenders agree to such change insofar as it affects the accounting of Borrower or of Borrower and its Consolidated Subsidiaries.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means Plains AAP, L.P., a Delaware limited partnership, in its capacity as the sole general partner of Borrower.</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thereof authorized by applicable Law to exercise executive, legislative, judicial, taxing, regulatory or administrative powers or functions of or pertaining to such government (including any supra-national bodies such as the European Union or the European Central Bank).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GP LLC</w:t>
      </w:r>
      <w:r>
        <w:rPr>
          <w:rFonts w:ascii="Arial" w:cs="Arial" w:eastAsia="Arial" w:hAnsi="Arial"/>
          <w:sz w:val="18"/>
          <w:szCs w:val="18"/>
          <w:color w:val="auto"/>
        </w:rPr>
        <w:t>” means Plains All American GP LLC, a Delaware limited liability company.</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means, as of the date hereof, any of Borrower’s Subsidiaries that now or hereafter executes and delivers a guaranty of the Obligations to Administrative Agent pursuant to Section 6.9.</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any substances regulated under any Environmental Law, whether as pollutants, contaminants, or chemicals, or as industrial, toxic or hazardous substances or wastes, or otherwise.</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Highest Lawful Rate</w:t>
      </w:r>
      <w:r>
        <w:rPr>
          <w:rFonts w:ascii="Arial" w:cs="Arial" w:eastAsia="Arial" w:hAnsi="Arial"/>
          <w:sz w:val="18"/>
          <w:szCs w:val="18"/>
          <w:color w:val="auto"/>
        </w:rPr>
        <w:t>” means, with respect to each Lender Party to whom Obligations are owed, the maximum nonusurious rate of interest that such Lender Party is permitted under applicable Law to contract for, take, charge, or receive with respect to such Obligations. All determinations herein of the Highest Lawful Rate, or of any interest rate determined by reference to the Highest Lawful Rate, shall be made separately for each Lender Party as appropriate to assure that the Loan Documents are not construed to obligate any Person to pay interest to any Lender Party at a rate in excess of the Highest Lawful Rate applicable to such Lender Party.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means each of the following:</w:t>
      </w:r>
    </w:p>
    <w:p>
      <w:pPr>
        <w:spacing w:after="0" w:line="225" w:lineRule="exact"/>
        <w:rPr>
          <w:sz w:val="20"/>
          <w:szCs w:val="20"/>
          <w:color w:val="auto"/>
        </w:rPr>
      </w:pPr>
    </w:p>
    <w:p>
      <w:pPr>
        <w:ind w:left="1360" w:hanging="704"/>
        <w:spacing w:after="0"/>
        <w:tabs>
          <w:tab w:leader="none" w:pos="13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its obligations for the repayment of borrowed money,</w:t>
      </w:r>
    </w:p>
    <w:p>
      <w:pPr>
        <w:spacing w:after="0" w:line="225" w:lineRule="exact"/>
        <w:rPr>
          <w:rFonts w:ascii="Arial" w:cs="Arial" w:eastAsia="Arial" w:hAnsi="Arial"/>
          <w:sz w:val="18"/>
          <w:szCs w:val="18"/>
          <w:color w:val="auto"/>
        </w:rPr>
      </w:pPr>
    </w:p>
    <w:p>
      <w:pPr>
        <w:ind w:right="20" w:firstLine="656"/>
        <w:spacing w:after="0" w:line="342" w:lineRule="auto"/>
        <w:tabs>
          <w:tab w:leader="none" w:pos="1353"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its obligations to pay the deferred purchase price of property or services (excluding trade account payables arising in the ordinary course of business), other than contingent purchase price or similar obligations incurred in connection with an acquisition and not yet earned or determinable,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60" w:hanging="704"/>
        <w:spacing w:after="0"/>
        <w:tabs>
          <w:tab w:leader="none" w:pos="13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its obligations evidenced by a bond, debenture, note or similar instrument,</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its obligations, as lessee, constituting principal under Capital Leases,</w:t>
      </w:r>
    </w:p>
    <w:p>
      <w:pPr>
        <w:spacing w:after="0" w:line="225" w:lineRule="exact"/>
        <w:rPr>
          <w:rFonts w:ascii="Arial" w:cs="Arial" w:eastAsia="Arial" w:hAnsi="Arial"/>
          <w:sz w:val="18"/>
          <w:szCs w:val="18"/>
          <w:color w:val="auto"/>
        </w:rPr>
      </w:pPr>
    </w:p>
    <w:p>
      <w:pPr>
        <w:ind w:right="600" w:firstLine="656"/>
        <w:spacing w:after="0" w:line="277" w:lineRule="auto"/>
        <w:tabs>
          <w:tab w:leader="none" w:pos="134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its direct or contingent reimbursement obligations with respect to the face amount of letters of credit pursuant to the applications or reimbursement agreements therefor,</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its obligations for the repayment of outstanding banker’s acceptances, whether matured or unmatured,</w:t>
      </w:r>
    </w:p>
    <w:p>
      <w:pPr>
        <w:spacing w:after="0" w:line="225" w:lineRule="exact"/>
        <w:rPr>
          <w:rFonts w:ascii="Arial" w:cs="Arial" w:eastAsia="Arial" w:hAnsi="Arial"/>
          <w:sz w:val="18"/>
          <w:szCs w:val="18"/>
          <w:color w:val="auto"/>
        </w:rPr>
      </w:pPr>
    </w:p>
    <w:p>
      <w:pPr>
        <w:jc w:val="both"/>
        <w:ind w:right="200" w:firstLine="656"/>
        <w:spacing w:after="0" w:line="259" w:lineRule="auto"/>
        <w:tabs>
          <w:tab w:leader="none" w:pos="135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its obligations under any synthetic lease, tax retention operating lease, off-balance sheet loan or similar off-balance sheet financing if the obligation under such synthetic lease, tax retention operating lease, off-balance sheet loan or similar off-balance sheet financing is considered indebtedness for borrowed money for tax purposes but is classified as an operating lease in accordance with GAAP (excluding, to the extent included herein, operating leases entered into in the ordinary course of business), or</w:t>
      </w:r>
    </w:p>
    <w:p>
      <w:pPr>
        <w:spacing w:after="0" w:line="186" w:lineRule="exact"/>
        <w:rPr>
          <w:rFonts w:ascii="Arial" w:cs="Arial" w:eastAsia="Arial" w:hAnsi="Arial"/>
          <w:sz w:val="18"/>
          <w:szCs w:val="18"/>
          <w:color w:val="auto"/>
        </w:rPr>
      </w:pPr>
    </w:p>
    <w:p>
      <w:pPr>
        <w:ind w:left="1360" w:hanging="704"/>
        <w:spacing w:after="0"/>
        <w:tabs>
          <w:tab w:leader="none" w:pos="13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its obligations under guaranties of any obligations of any other Person described in the foregoing clauses (a) through (g).</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Financial Statements</w:t>
      </w:r>
      <w:r>
        <w:rPr>
          <w:rFonts w:ascii="Arial" w:cs="Arial" w:eastAsia="Arial" w:hAnsi="Arial"/>
          <w:sz w:val="18"/>
          <w:szCs w:val="18"/>
          <w:color w:val="auto"/>
        </w:rPr>
        <w:t>” means (i) the audited Consolidated financial statements of Borrower as of December 31, 2005, and (ii) the unaudited consolidating balance sheet and income statement of Borrower as of March 31, 2006.</w:t>
      </w:r>
    </w:p>
    <w:p>
      <w:pPr>
        <w:spacing w:after="0" w:line="170"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Funding Date</w:t>
      </w:r>
      <w:r>
        <w:rPr>
          <w:rFonts w:ascii="Arial" w:cs="Arial" w:eastAsia="Arial" w:hAnsi="Arial"/>
          <w:sz w:val="16"/>
          <w:szCs w:val="16"/>
          <w:color w:val="auto"/>
        </w:rPr>
        <w:t>” means the first date following the Closing Date that all the conditions precedent in Section 4.2 and 4.3 are satisfied or waived in accordance with Section 10.1 and Borrower’s initial funding request hereunder is so funded, but in any event shall occur not later than July 31, 2008.</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Loan</w:t>
      </w:r>
      <w:r>
        <w:rPr>
          <w:rFonts w:ascii="Arial" w:cs="Arial" w:eastAsia="Arial" w:hAnsi="Arial"/>
          <w:sz w:val="18"/>
          <w:szCs w:val="18"/>
          <w:color w:val="auto"/>
        </w:rPr>
        <w:t>” has the meaning given to such term in Section 2.1.</w:t>
      </w:r>
    </w:p>
    <w:p>
      <w:pPr>
        <w:sectPr>
          <w:pgSz w:w="11900" w:h="16874" w:orient="portrait"/>
          <w:cols w:equalWidth="0" w:num="1">
            <w:col w:w="11400"/>
          </w:cols>
          <w:pgMar w:left="240" w:top="125" w:right="259" w:bottom="0" w:gutter="0" w:footer="0" w:header="0"/>
        </w:sectPr>
      </w:pPr>
    </w:p>
    <w:bookmarkStart w:id="75" w:name="page76"/>
    <w:bookmarkEnd w:id="75"/>
    <w:p>
      <w:pPr>
        <w:spacing w:after="0" w:line="24"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Expense</w:t>
      </w:r>
      <w:r>
        <w:rPr>
          <w:rFonts w:ascii="Arial" w:cs="Arial" w:eastAsia="Arial" w:hAnsi="Arial"/>
          <w:sz w:val="18"/>
          <w:szCs w:val="18"/>
          <w:color w:val="auto"/>
        </w:rPr>
        <w:t>” means, with respect to any period, the sum (without duplication) of the following (in each case, eliminating all offsetting debits and credits between Borrower and its Subsidiaries (excluding Unrestricted Subsidiaries) and all other items required to be eliminated in the course of the preparation of Consolidated financial statements of Borrower and its Subsidiaries (excluding Unrestricted Subsidiaries) in accordance with GAAP): (a) all interest and facility or commitment fees in respect of Indebtedness of Borrower or any of its Subsidiaries (excluding Unrestricted Subsidiaries) (including imputed interest on Capital Lease Obligations) which are accrued during such period and whether expensed in such period or capitalized; plus (b) all fees in respect of letters of credit issued for the account of Borrower or any of its Subsidiaries, which are accrued during such period and whether expensed in such period or capitalized.</w:t>
      </w:r>
    </w:p>
    <w:p>
      <w:pPr>
        <w:spacing w:after="0" w:line="18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each Base Rate Loan, the last day of each March, June, September and December beginning September 30, 2006, and (b) with respect to each Eurodollar Loan, the last day of the Interest Period that is applicable thereto and, if such Interest Period is six, or twelve months in length, the dates specified by Administrative Agent, which are approximately three, six, and nine months (as appropriate) after such Interest Period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begins; provided that the last Business Day of each calendar month shall also be an Interest Payment Date for each such Loan so long as any Event of Default exists under Section 8.1 (a) or (b).</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means, with respect to each particular Eurodollar Loan in a Borrowing, the period specified in the Borrowing Notice or Continuation/Conversion Notice applicable thereto, beginning on and including the date specified in such Borrowing Notice or Continuation/Conversion Notice (which must be a Business Day), and ending one, two, three, six or twelve months (if twelve months is available for each Lender) thereafter (and, as to Loans, ending on a date less than 30 days thereafter as may be specified by Borrower, if such lesser period is available for each Lender making such Loans), as Borrower may elect in such notice; provided that: (a) any Interest Period which would otherwise end on a day which is not a Business Day shall be extended to the next succeeding Business Day unless such Business Day falls in another calendar month, in which case such Interest Period shall end on the next preceding Business Day; (b) any Interest Period (other than an Interest Period ending on a date less than 30 days after the beginning thereof as may be specified by Borrower and otherwise permitted hereunder) which begins on the last Business Day in a calendar month (or on a day for which there is no numerically corresponding day in the calendar month at the end of such Interest Period) shall end on the last Business Day in a calendar month; and (c) notwithstanding the foregoing, no Interest Period may be selected for a Loan to Borrower that would end after the Maturity Date</w:t>
      </w:r>
    </w:p>
    <w:p>
      <w:pPr>
        <w:spacing w:after="0" w:line="169"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any investment made, directly or indirectly in any Person, whether by acquisition of shares of capital stock, indebtedness or other obligations or securities or by loan, advance, capital contribution or otherwise, and whether made in cash, by the transfer of property or by any other means.</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law, regulation, ordinance, rule, treaty, judgment, order, decree, permit, concession, franchise, license, agreement or other governmental restriction of the United States or Canada or any state, province, or political subdivision thereof or of any foreign country or any department, state, province or other political subdivision thereof.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Parties</w:t>
      </w:r>
      <w:r>
        <w:rPr>
          <w:rFonts w:ascii="Arial" w:cs="Arial" w:eastAsia="Arial" w:hAnsi="Arial"/>
          <w:sz w:val="18"/>
          <w:szCs w:val="18"/>
          <w:color w:val="auto"/>
        </w:rPr>
        <w:t>” means Administrative Agent and all Lenders.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means each signatory hereto designated as a Lender, and the successors and permitted assigns of each such party as holder of a Note.</w:t>
      </w:r>
    </w:p>
    <w:p>
      <w:pPr>
        <w:spacing w:after="0" w:line="248"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Liabilities</w:t>
      </w:r>
      <w:r>
        <w:rPr>
          <w:rFonts w:ascii="Arial" w:cs="Arial" w:eastAsia="Arial" w:hAnsi="Arial"/>
          <w:sz w:val="16"/>
          <w:szCs w:val="16"/>
          <w:color w:val="auto"/>
        </w:rPr>
        <w:t>” means, as to any Person, all indebtedness, liabilities and obligations of such Person, whether matured or unmatured, liquidated or unliquidated, primary or secondary, direct or indirect, absolute, fixed or contingent, and whether or not required to be considered pursuant to GAAP.</w:t>
      </w:r>
    </w:p>
    <w:p>
      <w:pPr>
        <w:spacing w:after="0" w:line="12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property or assets, any right or interest therein of a creditor to secure Liabilities owed to it or any other arrangement with such creditor which provides for the payment of such Liabilities out of such property or assets or which allows such creditor to have such Liabilities satisfied out of such property or assets prior to the general creditors of any owner thereof, including any lien, mortgage, security interest, pledge, deposit,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production payment, rights of a vendor under any title retention or conditional sale agreement or lease substantially equivalent thereto, tax lien, mechanic’s or materialman’s lien, or any other charge or encumbrance for security purposes, whether arising by Law or agreement or otherwise, but excluding any right of offset which arises without agreement in the ordinary course of business. “Lien” also means any filed financing statement, any registration of a pledge (such as with an issuer of uncertificated securities), or any other arrangement or action which would serve to perfect a Lien described in the preceding sentence, regardless of whether such financing statement is filed, such registration is made, or such arrangement or action is undertaken before or after such Lien exists.</w:t>
      </w:r>
    </w:p>
    <w:p>
      <w:pPr>
        <w:spacing w:after="0" w:line="158"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means this Agreement, the Notes, the written Borrowing Notices and all other agreements, certificates, documents, instruments and writings at any time delivered in connection herewith or therewith (exclusive of term sheets and commitment letters).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loans by Lenders to Borrower pursuant to Section 2.1.</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Lenders</w:t>
      </w:r>
      <w:r>
        <w:rPr>
          <w:rFonts w:ascii="Arial" w:cs="Arial" w:eastAsia="Arial" w:hAnsi="Arial"/>
          <w:sz w:val="18"/>
          <w:szCs w:val="18"/>
          <w:color w:val="auto"/>
        </w:rPr>
        <w:t xml:space="preserve">” means Lenders who have in the aggregate more than fifty percent (50%) of the Total Committed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 of, and the portion of the Total Committed Amount held or deemed held by, any Defaulting Lender shall be excluded for purposes of making a determination of Majority Lenders.</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means (a) a material and adverse change in (i) Borrower’s Consolidated financial condition, (ii) Borrower’s Consolidated operations, properties or prospects, considered as a whole, or (iii) Borrower’s ability to timely pay its Obligations, or (b) a material adverse effect on the enforceability of the material terms of any Loan Document.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Maturity Date</w:t>
      </w:r>
      <w:r>
        <w:rPr>
          <w:rFonts w:ascii="Arial" w:cs="Arial" w:eastAsia="Arial" w:hAnsi="Arial"/>
          <w:sz w:val="17"/>
          <w:szCs w:val="17"/>
          <w:color w:val="auto"/>
        </w:rPr>
        <w:t>” means the date one year after the Conversion Date, unless terminated earlier in accordance with Section 8.1 or Section 10.12.</w:t>
      </w:r>
    </w:p>
    <w:p>
      <w:pPr>
        <w:sectPr>
          <w:pgSz w:w="11900" w:h="16863" w:orient="portrait"/>
          <w:cols w:equalWidth="0" w:num="1">
            <w:col w:w="11400"/>
          </w:cols>
          <w:pgMar w:left="240" w:top="341" w:right="259" w:bottom="0" w:gutter="0" w:footer="0" w:header="0"/>
        </w:sectPr>
      </w:pPr>
    </w:p>
    <w:bookmarkStart w:id="76" w:name="page77"/>
    <w:bookmarkEnd w:id="76"/>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 Service, Inc., or its successor.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has the meaning given such term in Section 2.1 hereof.</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Liabilities from time to time owing by any Restricted Person to any Lender Party under or pursuant to any of the Loan Documents. “</w:t>
      </w:r>
      <w:r>
        <w:rPr>
          <w:rFonts w:ascii="Arial" w:cs="Arial" w:eastAsia="Arial" w:hAnsi="Arial"/>
          <w:sz w:val="18"/>
          <w:szCs w:val="18"/>
          <w:u w:val="single" w:color="auto"/>
          <w:color w:val="auto"/>
        </w:rPr>
        <w:t>Obligation</w:t>
      </w:r>
      <w:r>
        <w:rPr>
          <w:rFonts w:ascii="Arial" w:cs="Arial" w:eastAsia="Arial" w:hAnsi="Arial"/>
          <w:sz w:val="18"/>
          <w:szCs w:val="18"/>
          <w:color w:val="auto"/>
        </w:rPr>
        <w:t>” means any part of the Obligations.</w:t>
      </w:r>
    </w:p>
    <w:p>
      <w:pPr>
        <w:spacing w:after="0" w:line="166" w:lineRule="exact"/>
        <w:rPr>
          <w:sz w:val="20"/>
          <w:szCs w:val="20"/>
          <w:color w:val="auto"/>
        </w:rPr>
      </w:pPr>
    </w:p>
    <w:p>
      <w:pPr>
        <w:ind w:right="8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xml:space="preserve">” means on any date </w:t>
      </w:r>
      <w:r>
        <w:rPr>
          <w:rFonts w:ascii="Arial" w:cs="Arial" w:eastAsia="Arial" w:hAnsi="Arial"/>
          <w:sz w:val="18"/>
          <w:szCs w:val="18"/>
          <w:b w:val="1"/>
          <w:bCs w:val="1"/>
          <w:color w:val="auto"/>
        </w:rPr>
        <w:t>the</w:t>
      </w:r>
      <w:r>
        <w:rPr>
          <w:rFonts w:ascii="Arial" w:cs="Arial" w:eastAsia="Arial" w:hAnsi="Arial"/>
          <w:sz w:val="18"/>
          <w:szCs w:val="18"/>
          <w:color w:val="auto"/>
        </w:rPr>
        <w:t xml:space="preserve"> aggregate outstanding principal amount of Loans after giving effect to any borrowings and prepayments or repayments of </w:t>
      </w:r>
      <w:r>
        <w:rPr>
          <w:rFonts w:ascii="Arial" w:cs="Arial" w:eastAsia="Arial" w:hAnsi="Arial"/>
          <w:sz w:val="18"/>
          <w:szCs w:val="18"/>
          <w:b w:val="1"/>
          <w:bCs w:val="1"/>
          <w:color w:val="auto"/>
        </w:rPr>
        <w:t>such</w:t>
      </w:r>
      <w:r>
        <w:rPr>
          <w:rFonts w:ascii="Arial" w:cs="Arial" w:eastAsia="Arial" w:hAnsi="Arial"/>
          <w:sz w:val="18"/>
          <w:szCs w:val="18"/>
          <w:color w:val="auto"/>
        </w:rPr>
        <w:t xml:space="preserve"> Loans occurring on such date.</w:t>
      </w:r>
    </w:p>
    <w:p>
      <w:pPr>
        <w:spacing w:after="0" w:line="16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PAA Debt Rating</w:t>
      </w:r>
      <w:r>
        <w:rPr>
          <w:rFonts w:ascii="Arial" w:cs="Arial" w:eastAsia="Arial" w:hAnsi="Arial"/>
          <w:sz w:val="18"/>
          <w:szCs w:val="18"/>
          <w:color w:val="auto"/>
        </w:rPr>
        <w:t>” means the rating then in effect by a Rating Agency with respect to the long term senior unsecured non-credit enhanced debt of Borrower.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specified in Section 10.5(d).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Percentage Share</w:t>
      </w:r>
      <w:r>
        <w:rPr>
          <w:rFonts w:ascii="Arial" w:cs="Arial" w:eastAsia="Arial" w:hAnsi="Arial"/>
          <w:sz w:val="18"/>
          <w:szCs w:val="18"/>
          <w:color w:val="auto"/>
        </w:rPr>
        <w:t>” means:</w:t>
      </w:r>
    </w:p>
    <w:p>
      <w:pPr>
        <w:spacing w:after="0" w:line="225" w:lineRule="exact"/>
        <w:rPr>
          <w:sz w:val="20"/>
          <w:szCs w:val="20"/>
          <w:color w:val="auto"/>
        </w:rPr>
      </w:pPr>
    </w:p>
    <w:p>
      <w:pPr>
        <w:ind w:left="660" w:right="80" w:firstLine="645"/>
        <w:spacing w:after="0" w:line="264" w:lineRule="auto"/>
        <w:tabs>
          <w:tab w:leader="none" w:pos="200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at any time the Commitments remain outstanding until the Initial Funding Date, a fraction (expressed as a percentage, carried out to the sixth decimal place), the </w:t>
      </w:r>
      <w:r>
        <w:rPr>
          <w:rFonts w:ascii="Arial" w:cs="Arial" w:eastAsia="Arial" w:hAnsi="Arial"/>
          <w:sz w:val="18"/>
          <w:szCs w:val="18"/>
          <w:u w:val="single" w:color="auto"/>
          <w:color w:val="auto"/>
        </w:rPr>
        <w:t>numerator</w:t>
      </w:r>
      <w:r>
        <w:rPr>
          <w:rFonts w:ascii="Arial" w:cs="Arial" w:eastAsia="Arial" w:hAnsi="Arial"/>
          <w:sz w:val="18"/>
          <w:szCs w:val="18"/>
          <w:color w:val="auto"/>
        </w:rPr>
        <w:t xml:space="preserve"> of which is the amount of the Commitment of such Lender at such time and the </w:t>
      </w:r>
      <w:r>
        <w:rPr>
          <w:rFonts w:ascii="Arial" w:cs="Arial" w:eastAsia="Arial" w:hAnsi="Arial"/>
          <w:sz w:val="18"/>
          <w:szCs w:val="18"/>
          <w:u w:val="single" w:color="auto"/>
          <w:color w:val="auto"/>
        </w:rPr>
        <w:t>denominator</w:t>
      </w:r>
      <w:r>
        <w:rPr>
          <w:rFonts w:ascii="Arial" w:cs="Arial" w:eastAsia="Arial" w:hAnsi="Arial"/>
          <w:sz w:val="18"/>
          <w:szCs w:val="18"/>
          <w:color w:val="auto"/>
        </w:rPr>
        <w:t xml:space="preserve"> of which is the amount of the Total Committed Amount at such time;</w:t>
      </w:r>
    </w:p>
    <w:p>
      <w:pPr>
        <w:spacing w:after="0" w:line="181" w:lineRule="exact"/>
        <w:rPr>
          <w:rFonts w:ascii="Arial" w:cs="Arial" w:eastAsia="Arial" w:hAnsi="Arial"/>
          <w:sz w:val="18"/>
          <w:szCs w:val="18"/>
          <w:color w:val="auto"/>
        </w:rPr>
      </w:pPr>
    </w:p>
    <w:p>
      <w:pPr>
        <w:ind w:left="660" w:right="100" w:firstLine="645"/>
        <w:spacing w:after="0" w:line="257" w:lineRule="auto"/>
        <w:tabs>
          <w:tab w:leader="none" w:pos="201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on and after the Initial Funding Date until the earliest of (i) the date on which the Additional Loans are made, (ii) the Conversion Date, and (iii) the termination of the Commitments pursuant to Section 8.1, a fraction (expressed as a percentage, carried out to the sixth decimal place), the </w:t>
      </w:r>
      <w:r>
        <w:rPr>
          <w:rFonts w:ascii="Arial" w:cs="Arial" w:eastAsia="Arial" w:hAnsi="Arial"/>
          <w:sz w:val="18"/>
          <w:szCs w:val="18"/>
          <w:u w:val="single" w:color="auto"/>
          <w:color w:val="auto"/>
        </w:rPr>
        <w:t>numerator</w:t>
      </w:r>
      <w:r>
        <w:rPr>
          <w:rFonts w:ascii="Arial" w:cs="Arial" w:eastAsia="Arial" w:hAnsi="Arial"/>
          <w:sz w:val="18"/>
          <w:szCs w:val="18"/>
          <w:color w:val="auto"/>
        </w:rPr>
        <w:t xml:space="preserve"> of which is the sum of the Outstanding Amount of the Initial Loan of such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then-outstanding Commitment, and the </w:t>
      </w:r>
      <w:r>
        <w:rPr>
          <w:rFonts w:ascii="Arial" w:cs="Arial" w:eastAsia="Arial" w:hAnsi="Arial"/>
          <w:sz w:val="18"/>
          <w:szCs w:val="18"/>
          <w:u w:val="single" w:color="auto"/>
          <w:color w:val="auto"/>
        </w:rPr>
        <w:t>denominator</w:t>
      </w:r>
      <w:r>
        <w:rPr>
          <w:rFonts w:ascii="Arial" w:cs="Arial" w:eastAsia="Arial" w:hAnsi="Arial"/>
          <w:sz w:val="18"/>
          <w:szCs w:val="18"/>
          <w:color w:val="auto"/>
        </w:rPr>
        <w:t xml:space="preserve"> of which is the sum of the Outstanding Amount of all Initial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then-outstanding Total Committed Amount; and</w:t>
      </w:r>
    </w:p>
    <w:p>
      <w:pPr>
        <w:spacing w:after="0" w:line="188" w:lineRule="exact"/>
        <w:rPr>
          <w:rFonts w:ascii="Arial" w:cs="Arial" w:eastAsia="Arial" w:hAnsi="Arial"/>
          <w:sz w:val="18"/>
          <w:szCs w:val="18"/>
          <w:color w:val="auto"/>
        </w:rPr>
      </w:pPr>
    </w:p>
    <w:p>
      <w:pPr>
        <w:jc w:val="both"/>
        <w:ind w:left="660" w:right="60" w:firstLine="645"/>
        <w:spacing w:after="0" w:line="286" w:lineRule="auto"/>
        <w:tabs>
          <w:tab w:leader="none" w:pos="2003"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on and after the earliest of (i) the date on which the Additional Loans are made, (ii) the Conversion Date, and (iii) the termination of the Commitments pursuant to Section 8.1, a fraction (expressed as a percentage, carried out to the sixth decimal place), the </w:t>
      </w:r>
      <w:r>
        <w:rPr>
          <w:rFonts w:ascii="Arial" w:cs="Arial" w:eastAsia="Arial" w:hAnsi="Arial"/>
          <w:sz w:val="17"/>
          <w:szCs w:val="17"/>
          <w:u w:val="single" w:color="auto"/>
          <w:color w:val="auto"/>
        </w:rPr>
        <w:t>numerator</w:t>
      </w:r>
      <w:r>
        <w:rPr>
          <w:rFonts w:ascii="Arial" w:cs="Arial" w:eastAsia="Arial" w:hAnsi="Arial"/>
          <w:sz w:val="17"/>
          <w:szCs w:val="17"/>
          <w:color w:val="auto"/>
        </w:rPr>
        <w:t xml:space="preserve"> of which is the Outstanding Amount of Loans of such Lender and the </w:t>
      </w:r>
      <w:r>
        <w:rPr>
          <w:rFonts w:ascii="Arial" w:cs="Arial" w:eastAsia="Arial" w:hAnsi="Arial"/>
          <w:sz w:val="17"/>
          <w:szCs w:val="17"/>
          <w:u w:val="single" w:color="auto"/>
          <w:color w:val="auto"/>
        </w:rPr>
        <w:t>denominator</w:t>
      </w:r>
      <w:r>
        <w:rPr>
          <w:rFonts w:ascii="Arial" w:cs="Arial" w:eastAsia="Arial" w:hAnsi="Arial"/>
          <w:sz w:val="17"/>
          <w:szCs w:val="17"/>
          <w:color w:val="auto"/>
        </w:rPr>
        <w:t xml:space="preserve"> of which is the Total Outstanding Amount.</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initial Percentage Share of each Lender is set forth opposite the name of such Lender on Schedule II or in the Assignment and Assumption pursuant to which such Lender becomes a party hereto, as applicable.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w:t>
      </w:r>
      <w:r>
        <w:rPr>
          <w:rFonts w:ascii="Arial" w:cs="Arial" w:eastAsia="Arial" w:hAnsi="Arial"/>
          <w:sz w:val="18"/>
          <w:szCs w:val="18"/>
          <w:color w:val="auto"/>
        </w:rPr>
        <w:t>” has the meaning given to such term in Section 7.2.</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corporation, partnership, limited liability company, association, joint stock company, trust or trustee thereof, estate or executor thereof, unincorporated organization or joint venture, Governmental Authority, or any other legally recognizable entity.</w:t>
      </w:r>
    </w:p>
    <w:p>
      <w:pPr>
        <w:spacing w:after="0" w:line="14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Petroleum Products</w:t>
      </w:r>
      <w:r>
        <w:rPr>
          <w:rFonts w:ascii="Arial" w:cs="Arial" w:eastAsia="Arial" w:hAnsi="Arial"/>
          <w:sz w:val="18"/>
          <w:szCs w:val="18"/>
          <w:color w:val="auto"/>
        </w:rPr>
        <w:t>” means crude oil, condensate, natural gas, natural gas liquids (NGL’s), liquefied petroleum gases (LPG’s), refined petroleum products or any blend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Plains Marketing</w:t>
      </w:r>
      <w:r>
        <w:rPr>
          <w:rFonts w:ascii="Arial" w:cs="Arial" w:eastAsia="Arial" w:hAnsi="Arial"/>
          <w:sz w:val="18"/>
          <w:szCs w:val="18"/>
          <w:color w:val="auto"/>
        </w:rPr>
        <w:t>” means Plains Marketing, L.P., a Texas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Plains Pipeline</w:t>
      </w:r>
      <w:r>
        <w:rPr>
          <w:rFonts w:ascii="Arial" w:cs="Arial" w:eastAsia="Arial" w:hAnsi="Arial"/>
          <w:sz w:val="18"/>
          <w:szCs w:val="18"/>
          <w:color w:val="auto"/>
        </w:rPr>
        <w:t>” means Plains Pipeline, L.P., a Texas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PPX</w:t>
      </w:r>
      <w:r>
        <w:rPr>
          <w:rFonts w:ascii="Arial" w:cs="Arial" w:eastAsia="Arial" w:hAnsi="Arial"/>
          <w:sz w:val="18"/>
          <w:szCs w:val="18"/>
          <w:color w:val="auto"/>
        </w:rPr>
        <w:t>” means Pacific Energy Partners, L.P., a Delaware limited partnership.</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PPX Acquisition</w:t>
      </w:r>
      <w:r>
        <w:rPr>
          <w:rFonts w:ascii="Arial" w:cs="Arial" w:eastAsia="Arial" w:hAnsi="Arial"/>
          <w:sz w:val="18"/>
          <w:szCs w:val="18"/>
          <w:color w:val="auto"/>
        </w:rPr>
        <w:t>” means (i) the merger of PPX with and into Borrower, (ii) the purchase by Borrower from LB Pacific, LP, a Delaware limited partnership, of certain equity interests in PPX and in certain Affiliates of PPX, and (iii) the acquisition of other property and interests, in each case pursuant to the PPX Acquisition Documents.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PPX Acquisition Documents</w:t>
      </w:r>
      <w:r>
        <w:rPr>
          <w:rFonts w:ascii="Arial" w:cs="Arial" w:eastAsia="Arial" w:hAnsi="Arial"/>
          <w:sz w:val="18"/>
          <w:szCs w:val="18"/>
          <w:color w:val="auto"/>
        </w:rPr>
        <w:t>” means the PPX Merger Agreement, the PPX Purchase Agreement, and all other agreements or instruments executed and delivered by Borrower or any of its Affiliates in connection therewith to consummate the PPX Acquisition.</w:t>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PPX Merger Agreement</w:t>
      </w:r>
      <w:r>
        <w:rPr>
          <w:rFonts w:ascii="Arial" w:cs="Arial" w:eastAsia="Arial" w:hAnsi="Arial"/>
          <w:sz w:val="18"/>
          <w:szCs w:val="18"/>
          <w:color w:val="auto"/>
        </w:rPr>
        <w:t>” means that certain Agreement and Plan of Merger dated as of June 11, 2006 by and among PPX and certain of its Affiliates and Borrower and certain of its Affiliates.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PPX Purchase Agreement</w:t>
      </w:r>
      <w:r>
        <w:rPr>
          <w:rFonts w:ascii="Arial" w:cs="Arial" w:eastAsia="Arial" w:hAnsi="Arial"/>
          <w:sz w:val="18"/>
          <w:szCs w:val="18"/>
          <w:color w:val="auto"/>
        </w:rPr>
        <w:t>” means that certain Purchase Agreement dated as of June 11, 2006 by and among LB Pacific, LP, a Delaware limited partnership, and Borrower.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Property</w:t>
      </w:r>
      <w:r>
        <w:rPr>
          <w:rFonts w:ascii="Arial" w:cs="Arial" w:eastAsia="Arial" w:hAnsi="Arial"/>
          <w:sz w:val="18"/>
          <w:szCs w:val="18"/>
          <w:color w:val="auto"/>
        </w:rPr>
        <w:t>” means, whether owned or leased on the date hereof or hereafter acquired:</w:t>
      </w:r>
    </w:p>
    <w:p>
      <w:pPr>
        <w:spacing w:after="0" w:line="225" w:lineRule="exact"/>
        <w:rPr>
          <w:sz w:val="20"/>
          <w:szCs w:val="20"/>
          <w:color w:val="auto"/>
        </w:rPr>
      </w:pPr>
    </w:p>
    <w:p>
      <w:pPr>
        <w:ind w:right="100" w:firstLine="656"/>
        <w:spacing w:after="0" w:line="342" w:lineRule="auto"/>
        <w:tabs>
          <w:tab w:leader="none" w:pos="89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any pipeline assets of any Restricted Person,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123" w:lineRule="exact"/>
        <w:rPr>
          <w:rFonts w:ascii="Arial" w:cs="Arial" w:eastAsia="Arial" w:hAnsi="Arial"/>
          <w:sz w:val="16"/>
          <w:szCs w:val="16"/>
          <w:color w:val="auto"/>
        </w:rPr>
      </w:pPr>
    </w:p>
    <w:p>
      <w:pPr>
        <w:ind w:left="920" w:hanging="264"/>
        <w:spacing w:after="0"/>
        <w:tabs>
          <w:tab w:leader="none" w:pos="9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processing or manufacturing plant or terminal owned or leased by any Restricted Person;</w:t>
      </w:r>
    </w:p>
    <w:p>
      <w:pPr>
        <w:sectPr>
          <w:pgSz w:w="11900" w:h="16874" w:orient="portrait"/>
          <w:cols w:equalWidth="0" w:num="1">
            <w:col w:w="11380"/>
          </w:cols>
          <w:pgMar w:left="240" w:top="341" w:right="279" w:bottom="0" w:gutter="0" w:footer="0" w:header="0"/>
        </w:sectPr>
      </w:pPr>
    </w:p>
    <w:bookmarkStart w:id="77" w:name="page78"/>
    <w:bookmarkEnd w:id="77"/>
    <w:p>
      <w:pPr>
        <w:spacing w:after="0" w:line="1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except, in the case of either clause (a) or (b): (i) any such assets consisting of inventories, furniture, office fixtures and equipment, including data processing equipment, vehicles and equipment used on, or useful with, vehicles, and (ii) any such asset, plant or terminal which, in the good faith opinion of the Board, is not material in relation to the activities of Borrower and its Subsidiaries, taken as a whole.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Agency</w:t>
      </w:r>
      <w:r>
        <w:rPr>
          <w:rFonts w:ascii="Arial" w:cs="Arial" w:eastAsia="Arial" w:hAnsi="Arial"/>
          <w:sz w:val="18"/>
          <w:szCs w:val="18"/>
          <w:color w:val="auto"/>
        </w:rPr>
        <w:t>” means either S&amp;P or Moody’s.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w:t>
      </w:r>
      <w:r>
        <w:rPr>
          <w:rFonts w:ascii="Arial" w:cs="Arial" w:eastAsia="Arial" w:hAnsi="Arial"/>
          <w:sz w:val="18"/>
          <w:szCs w:val="18"/>
          <w:color w:val="auto"/>
        </w:rPr>
        <w:t>” means, at any time, the financial institution serving as Administrative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of Governors of the Federal Reserve System as from time to time in effect.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and advisors of such Person and of such Person’s Affiliates.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financial officer, treasurer or assistant treasurer of Borrower, General Partner, or the general partner of General Partner, as the case may be. Any document delivered hereunder that is signed by a Responsible Officer of Borrower shall be conclusively presumed to have been authorized by all necessary corporate, partnership and/or other action on the part of Borrower, and such Responsible Officer shall be conclusively presumed to have acted on behalf of Borrower.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Person</w:t>
      </w:r>
      <w:r>
        <w:rPr>
          <w:rFonts w:ascii="Arial" w:cs="Arial" w:eastAsia="Arial" w:hAnsi="Arial"/>
          <w:sz w:val="18"/>
          <w:szCs w:val="18"/>
          <w:color w:val="auto"/>
        </w:rPr>
        <w:t>” means any of Borrower and each Subsidiary of Borrower, including but not limited to Plains Marketing, Plains Pipeline, PMC (Nova Scotia) Company, Plains Marketing Canada, L.P., and each Subsidiary of Plains Marketing, Plains Pipeline, PMC (Nova Scotia) Company and Plains Marketing Canada, L.P., but excluding, for the avoidance of doubt, Unrestricted Subsidiaries.</w:t>
      </w:r>
    </w:p>
    <w:p>
      <w:pPr>
        <w:spacing w:after="0" w:line="181"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Restriction Exception</w:t>
      </w:r>
      <w:r>
        <w:rPr>
          <w:rFonts w:ascii="Arial" w:cs="Arial" w:eastAsia="Arial" w:hAnsi="Arial"/>
          <w:sz w:val="16"/>
          <w:szCs w:val="16"/>
          <w:color w:val="auto"/>
        </w:rPr>
        <w:t xml:space="preserve">” means (i) any applicable Law or any instrument governing Indebtedness or equity interests, or any applicable Law or any other agreement relating to any property, assets or operations of a Person whose capital stock or other equity interests are acquired, in whole or part, by a Restricted Person pursuant to an acquisition (whether by merger, consolidation, amalgamation or otherwise), as such instrument or agreement is in effect at the time of such acquisition (except with respect to Indebtedness incurred in connection with, or in contemplation of, such acquisition), or such applicable Law is then or thereafter in effect (as applicable), which is not applicable to the acquiring Restricted Person, or the property, assets or operations of the acquiring Restricted Person, other than the acquired Person, or the property, assets or operations of such acquired Person or such acquired Person’s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Indebtedness, the incurrence of such Indebtedness is not prohibited hereunder, (ii) provisions with respect to the disposition or distribution of assets in joint venture agreements or other similar agreements entered into in the ordinary course of business, (iii) (a) a lease, license or similar contract, which restricts in a customary manner the subletting, assignment, encumbrance or transfer of any property or asset that is subject thereto or the assignment, encumbrance or transfer of any such lease, license or other contract, (b) mortgages, deeds of trust, pledges or other security instruments, the entry into which does not result in a Default, securing indebtedness of a Restricted Person, which restricts the transfer of the property subject to such mortgages, deeds of trust, pledges or other security instruments, or (c) customary provisions restricting disposition of, or encumbrances on, real property interests set forth in any reciprocal easements of any Restricted Person, (iv) restrictions imposed pursuant to this Agreement and the other Loan Documents, (v) restrictions on the transfer or encumbrance of property or assets which are imposed by the holder of Liens on property or assets of a Restricted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incurrence of such Lien nor any related Indebtedness results in a Default, (vi) any agreement to, directly or indirectly, sell or otherwise dispose of assets or equity interests to any Person pending the closing of such 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sale is consummated in compliance with any applicable provisions of this Agreement, (vii) net worth provisions in leases and other agreements entered into by any Restricted Person in the ordinary course of business, and (viii) an agreement governing Indebtedness incurred to refinance the Indebtedness issued, assumed or incurred pursuant to an agreement referred to in clauses (iv) and (v)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provisions relating to such encumbrance or restriction contained in any such Indebtedness are no less favorable to the such Restricted Person in any material respect as determined by the Board in its reasonable and good faith judgment than the provisions relating to such encumbrance or restriction contained in agreements referred to in such clauses (iv) and (v).</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Group (a division of McGraw Hill, Inc.) or its successor.</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Restricted Persons</w:t>
      </w:r>
      <w:r>
        <w:rPr>
          <w:rFonts w:ascii="Arial" w:cs="Arial" w:eastAsia="Arial" w:hAnsi="Arial"/>
          <w:sz w:val="18"/>
          <w:szCs w:val="18"/>
          <w:color w:val="auto"/>
        </w:rPr>
        <w:t>” means Borrower, Plains Marketing, Plains Pipeline, PMC (Nova Scotia) Company, Plains Marketing Canada, L.P., and Subsidiaries of Borrower that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would be a “significant subsidiary” as defined in Article 1, Rule 1-02 of Regulation S-X, promulgated pursuant to the Securities Exchange Act of 1934 and the Securities Act of 1933, each as amended.</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Acquisition</w:t>
      </w:r>
      <w:r>
        <w:rPr>
          <w:rFonts w:ascii="Arial" w:cs="Arial" w:eastAsia="Arial" w:hAnsi="Arial"/>
          <w:sz w:val="18"/>
          <w:szCs w:val="18"/>
          <w:color w:val="auto"/>
        </w:rPr>
        <w:t>” means one or more acquisitions of assets or entities or operating lines or divisions in any rolling 12-month period for an aggregate purchase price of not less than $50,000,000.</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Equity Offering</w:t>
      </w:r>
      <w:r>
        <w:rPr>
          <w:rFonts w:ascii="Arial" w:cs="Arial" w:eastAsia="Arial" w:hAnsi="Arial"/>
          <w:sz w:val="18"/>
          <w:szCs w:val="18"/>
          <w:color w:val="auto"/>
        </w:rPr>
        <w:t>” means one or more issuances of equity by Borrower for aggregate net cash proceeds of not less than fifty percent (50%) of the aggregate purchase price of the Specified Acquisition.</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xml:space="preserve">” means, with respect to any Person, any corporation, association, partnership, limited liability company, joint venture, or other business or corporate entity, enterprise or organization which is directly or indirectly (through one or more intermediaries) controlled or owned more than fifty percent by such Person (other than PAA/Vulcan Gas Storage, LLC and its subsidiaries, unless Borrower shall also have the fully matured right, directly or indirectly, to elect more than 50% of the board of directors of PAA/Vulcan Gas Storage, LLC);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Unrestricted Subsidiary shall be deemed a “Subsidiary” of any Restricted Person for purposes of any Loan Document except as provided in Section 7.10.</w:t>
      </w:r>
    </w:p>
    <w:p>
      <w:pPr>
        <w:spacing w:after="0" w:line="173"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Event</w:t>
      </w:r>
      <w:r>
        <w:rPr>
          <w:rFonts w:ascii="Arial" w:cs="Arial" w:eastAsia="Arial" w:hAnsi="Arial"/>
          <w:sz w:val="16"/>
          <w:szCs w:val="16"/>
          <w:color w:val="auto"/>
        </w:rPr>
        <w:t>” means (a) the occurrence with respect to any ERISA Plan of (i) a reportable event described in Sections 4043(c)(5) or (6) of ERISA or (ii) any other reportable event described in Section 4043(c) of ERISA other than a reportable event not subject to the provision for 30-day notice to the Pension Benefit Guaranty Corporation pursuant to a waiver by such corporation under Section 4043(a) of ERISA, or (b) the withdrawal of any ERISA</w:t>
      </w:r>
    </w:p>
    <w:p>
      <w:pPr>
        <w:sectPr>
          <w:pgSz w:w="11900" w:h="16952" w:orient="portrait"/>
          <w:cols w:equalWidth="0" w:num="1">
            <w:col w:w="11420"/>
          </w:cols>
          <w:pgMar w:left="240" w:top="341" w:right="239" w:bottom="0" w:gutter="0" w:footer="0" w:header="0"/>
        </w:sectPr>
      </w:pPr>
    </w:p>
    <w:bookmarkStart w:id="78" w:name="page79"/>
    <w:bookmarkEnd w:id="78"/>
    <w:p>
      <w:pPr>
        <w:spacing w:after="0" w:line="9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Affiliate from an ERISA Plan during a plan year in which it was a “substantial employer” as defined in Section 4001(a)(2) of ERISA, or (c) the filing of a notice of intent to terminate any ERISA Plan or the treatment of any ERISA Plan amendment as a termination under Section 4041 of ERISA, or (d) the institution of proceedings to terminate any ERISA Plan by the Pension Benefit Guaranty Corporation under Section 4042 of ERISA, or (e) any other event or condition which might constitute grounds under Section 4042 of ERISA for the termination of, or the appointment of a trustee to administer, any ERISA Plan.</w:t>
      </w:r>
    </w:p>
    <w:p>
      <w:pPr>
        <w:spacing w:after="0" w:line="15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Ticking Fee Rate</w:t>
      </w:r>
      <w:r>
        <w:rPr>
          <w:rFonts w:ascii="Arial" w:cs="Arial" w:eastAsia="Arial" w:hAnsi="Arial"/>
          <w:sz w:val="18"/>
          <w:szCs w:val="18"/>
          <w:color w:val="auto"/>
        </w:rPr>
        <w:t>” means, on any day, the rate per annum set forth on Schedule I as the “Ticking Fee Rate” based on the Applicable Rating Level on such date. Changes in the applicable Ticking Fee Rate will occur automatically without prior notice as changes in the Applicable Rating Level occur. Administrative Agent will give notice promptly to Borrower and Lenders of changes in the Ticking Fee Rate.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Committed Amount</w:t>
      </w:r>
      <w:r>
        <w:rPr>
          <w:rFonts w:ascii="Arial" w:cs="Arial" w:eastAsia="Arial" w:hAnsi="Arial"/>
          <w:sz w:val="18"/>
          <w:szCs w:val="18"/>
          <w:color w:val="auto"/>
        </w:rPr>
        <w:t>” means, at any time, the sum of the aggregate amount of the Commitments at such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 Amount</w:t>
      </w:r>
      <w:r>
        <w:rPr>
          <w:rFonts w:ascii="Arial" w:cs="Arial" w:eastAsia="Arial" w:hAnsi="Arial"/>
          <w:sz w:val="18"/>
          <w:szCs w:val="18"/>
          <w:color w:val="auto"/>
        </w:rPr>
        <w:t>” means, at any time, the Outstanding Amount of all Loans at such time.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any Loans, the characterization of such Loans as Base Rate Loans or Eurodollar Loans.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shall have the meaning given it in Section 7.10.</w:t>
      </w:r>
    </w:p>
    <w:p>
      <w:pPr>
        <w:spacing w:after="0" w:line="22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US/Canada Credit Agreement</w:t>
      </w:r>
      <w:r>
        <w:rPr>
          <w:rFonts w:ascii="Arial" w:cs="Arial" w:eastAsia="Arial" w:hAnsi="Arial"/>
          <w:sz w:val="17"/>
          <w:szCs w:val="17"/>
          <w:color w:val="auto"/>
        </w:rPr>
        <w:t>” means that certain Second Amended and Restated Credit Agreement [US/Canada Facilities] of even date herewith among Borrower, PMC (Nova Scotia) Company, Plains Marketing Canada, L.P., Bank of America, N.A., as administrative agent, Bank of America, N.A., acting through its Canada Branch, as Canadian administrative agent, and the lenders named therein, as from time to time amended.</w:t>
      </w:r>
    </w:p>
    <w:p>
      <w:pPr>
        <w:spacing w:after="0" w:line="166"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means any Subsidiary of a Person, all of the issued and outstanding stock, limited liability company membership interests, or partnership interests of which (including all rights or options to acquire such stock or interests) are directly or indirectly (through one or more Subsidiaries) owned by such Person.</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Exhibits and Schedules; Additional Definitions</w:t>
      </w:r>
      <w:r>
        <w:rPr>
          <w:rFonts w:ascii="Arial" w:cs="Arial" w:eastAsia="Arial" w:hAnsi="Arial"/>
          <w:sz w:val="18"/>
          <w:szCs w:val="18"/>
          <w:color w:val="auto"/>
        </w:rPr>
        <w:t>. All Exhibits and Schedules attached to this Agreement are a part hereof for all purposes.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 of Defined Instruments</w:t>
      </w:r>
      <w:r>
        <w:rPr>
          <w:rFonts w:ascii="Arial" w:cs="Arial" w:eastAsia="Arial" w:hAnsi="Arial"/>
          <w:sz w:val="18"/>
          <w:szCs w:val="18"/>
          <w:color w:val="auto"/>
        </w:rPr>
        <w:t>. Unless the context otherwise requires or unless otherwise provided herein the terms defined in this Agreement which refer to a particular agreement, instrument or document also refer to and include all renewals, extensions, modifications, amendments and restatements of such agreement, instrument or document, provided that nothing contained in this section shall be construed to authorize any such renewal, extension, modification, amendment or restatement.</w:t>
      </w:r>
    </w:p>
    <w:p>
      <w:pPr>
        <w:spacing w:after="0" w:line="18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References and Titles</w:t>
      </w:r>
      <w:r>
        <w:rPr>
          <w:rFonts w:ascii="Arial" w:cs="Arial" w:eastAsia="Arial" w:hAnsi="Arial"/>
          <w:sz w:val="17"/>
          <w:szCs w:val="17"/>
          <w:color w:val="auto"/>
        </w:rPr>
        <w:t>. All references in this Agreement to Exhibits, Schedules, articles, sections, subsections and other subdivisions refer to the Exhibits, Schedules, articles, sections, subsections and other subdivisions of this Agreement unless expressly provided otherwise. Titles appearing at the beginning of any subdivisions are for convenience only and do not constitute any part of such subdivisions and shall be disregarded in construing the language contained in such subdivisions. The words “this Agreement,” “this instrument,” “herein,” “hereof,” “hereby,” “hereunder” and words of similar import refer to this Agreement as a whole and not to any particular subdivision unless expressly so limited. The phrases “this section” and “this subsection” and similar phrases refer only to the sections or subsections hereof in which such phrases occur. The word “or” is not exclusive, and the word “including” (in its various forms) means “including without limitation.” Pronouns in masculine, feminine and neuter genders shall be construed to include any other gender, and words in the singular form shall be construed to include the plural and vice versa, unless the context otherwise requires. References to an “officer” or “officers” of the General Partner or any Restricted Person shall mean and include officers of such Person or the controlling management entity of such Person as provided in such Person’s organizational documents, as applicable.</w:t>
      </w:r>
    </w:p>
    <w:p>
      <w:pPr>
        <w:spacing w:after="0" w:line="17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Calculations and Determinations</w:t>
      </w:r>
      <w:r>
        <w:rPr>
          <w:rFonts w:ascii="Arial" w:cs="Arial" w:eastAsia="Arial" w:hAnsi="Arial"/>
          <w:sz w:val="18"/>
          <w:szCs w:val="18"/>
          <w:color w:val="auto"/>
        </w:rPr>
        <w:t>. All calculations under the Loan Documents of interest chargeable with respect to Eurodollar Loans and of fees shall be made on the basis of actual days elapsed (including the first day but excluding the last) and a year of 360 days. All other calculations of interest made under the Loan Documents shall be made on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basis of actual days elapsed (including the first day but excluding the last) and a year of 365 or 366 days, as appropriate. Each determination by a Lender Party of amounts to be paid under Article III or any other matters which are to be determined hereunder by a Lender Party (such as any Eurodollar Rate, Business Day or Interest Period) shall, in the absence of manifest error, be conclusive and binding. Unless otherwise expressly provided herein or unless Majority Lenders otherwise consent all financial statements and reports furnished to any Lender Party hereunder shall be prepared and all financial computations and determinations pursuant hereto shall be made in accordance with GAAP.</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 - The Loans</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Commitments to Lend; Notes</w:t>
      </w:r>
      <w:r>
        <w:rPr>
          <w:rFonts w:ascii="Arial" w:cs="Arial" w:eastAsia="Arial" w:hAnsi="Arial"/>
          <w:sz w:val="16"/>
          <w:szCs w:val="16"/>
          <w:color w:val="auto"/>
        </w:rPr>
        <w:t>. Subject to the terms and conditions hereof, each Lender agrees to make a Loan on the Initial Funding Date to Borrower (an “</w:t>
      </w:r>
      <w:r>
        <w:rPr>
          <w:rFonts w:ascii="Arial" w:cs="Arial" w:eastAsia="Arial" w:hAnsi="Arial"/>
          <w:sz w:val="16"/>
          <w:szCs w:val="16"/>
          <w:u w:val="single" w:color="auto"/>
          <w:color w:val="auto"/>
        </w:rPr>
        <w:t>Initial Loan</w:t>
      </w:r>
      <w:r>
        <w:rPr>
          <w:rFonts w:ascii="Arial" w:cs="Arial" w:eastAsia="Arial" w:hAnsi="Arial"/>
          <w:sz w:val="16"/>
          <w:szCs w:val="16"/>
          <w:color w:val="auto"/>
        </w:rPr>
        <w:t>”), and a single additional Loan on or after the Initial Funding Date (an “</w:t>
      </w:r>
      <w:r>
        <w:rPr>
          <w:rFonts w:ascii="Arial" w:cs="Arial" w:eastAsia="Arial" w:hAnsi="Arial"/>
          <w:sz w:val="16"/>
          <w:szCs w:val="16"/>
          <w:u w:val="single" w:color="auto"/>
          <w:color w:val="auto"/>
        </w:rPr>
        <w:t>Additional Loan</w:t>
      </w:r>
      <w:r>
        <w:rPr>
          <w:rFonts w:ascii="Arial" w:cs="Arial" w:eastAsia="Arial" w:hAnsi="Arial"/>
          <w:sz w:val="16"/>
          <w:szCs w:val="16"/>
          <w:color w:val="auto"/>
        </w:rPr>
        <w:t>”), in each case upon Borrower’s request from time to time during the Commitment Period, provided that (a) subject to Sections 3.3, 3.4 and 3.6, all Lenders are requested to make Loans of the same Type in accordance with their respective Percentage Shares and as part of the same Borrowing, (b) such Loans, when made, do not exceed the Total Committed Amount determined as of the date on which the requested Loans are to be made, (c) each such Lender’s Loan, when made, does not exceed such Lender’s Commitment, and (d) the aggregate amount of the Additional Loans shall not exceed $250,000,000. The aggregate amount of all Loans in any Borrowing must be equal to $1,000,000 or any higher integral multiple of $1,000,000. The obligation of Borrower to repay to each Lender the aggregate amount of all Loans made by such Lender to Borrower, together with interest accruing in connection therewith, shall be evidenced by a single promissory note (herein called such Lender’s “</w:t>
      </w:r>
      <w:r>
        <w:rPr>
          <w:rFonts w:ascii="Arial" w:cs="Arial" w:eastAsia="Arial" w:hAnsi="Arial"/>
          <w:sz w:val="16"/>
          <w:szCs w:val="16"/>
          <w:u w:val="single" w:color="auto"/>
          <w:color w:val="auto"/>
        </w:rPr>
        <w:t>Note</w:t>
      </w:r>
      <w:r>
        <w:rPr>
          <w:rFonts w:ascii="Arial" w:cs="Arial" w:eastAsia="Arial" w:hAnsi="Arial"/>
          <w:sz w:val="16"/>
          <w:szCs w:val="16"/>
          <w:color w:val="auto"/>
        </w:rPr>
        <w:t>”) made by Borrower payable to the order of such Lender in the form of Exhibit A with appropriate insertions. The amount of principal owing on any Lender’s Note at any given time shall be the aggregate amount of all Loans theretofore made by such Lender to Borrower minus all payments of principal theretofore received by such Lender on such Note. Interest on each Note shall accrue and be due and payable as provided herein and therein. Each Note shall be due and payable as provided herein and therein, and shall be due and payable in full on the</w:t>
      </w:r>
    </w:p>
    <w:p>
      <w:pPr>
        <w:sectPr>
          <w:pgSz w:w="11900" w:h="16930" w:orient="portrait"/>
          <w:cols w:equalWidth="0" w:num="1">
            <w:col w:w="11400"/>
          </w:cols>
          <w:pgMar w:left="240" w:top="125" w:right="259" w:bottom="0" w:gutter="0" w:footer="0" w:header="0"/>
        </w:sectPr>
      </w:pPr>
    </w:p>
    <w:bookmarkStart w:id="79" w:name="page80"/>
    <w:bookmarkEnd w:id="79"/>
    <w:p>
      <w:pPr>
        <w:ind w:right="40"/>
        <w:spacing w:after="0" w:line="264" w:lineRule="auto"/>
        <w:rPr>
          <w:sz w:val="20"/>
          <w:szCs w:val="20"/>
          <w:color w:val="auto"/>
        </w:rPr>
      </w:pPr>
      <w:r>
        <w:rPr>
          <w:rFonts w:ascii="Arial" w:cs="Arial" w:eastAsia="Arial" w:hAnsi="Arial"/>
          <w:sz w:val="18"/>
          <w:szCs w:val="18"/>
          <w:color w:val="auto"/>
        </w:rPr>
        <w:t>Maturity Date. Borrower may not reborrow, in whole or part, the repaid portion of any Loans made under this Section 2.1. Borrower may have no more than seven Borrowings of Eurodollar Loans outstanding at any time. All payments of principal and interest on the Loans made pursuant to this Section 2.1 shall be made in Dollars.</w:t>
      </w:r>
    </w:p>
    <w:p>
      <w:pPr>
        <w:spacing w:after="0" w:line="39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Requests for Loans</w:t>
      </w:r>
      <w:r>
        <w:rPr>
          <w:rFonts w:ascii="Arial" w:cs="Arial" w:eastAsia="Arial" w:hAnsi="Arial"/>
          <w:sz w:val="18"/>
          <w:szCs w:val="18"/>
          <w:color w:val="auto"/>
        </w:rPr>
        <w:t>. Borrower must give to Administrative Agent written notice (or telephonic notice promptly confirmed in writing) of any requested Borrowing. Each such notice constitutes a “Borrowing Notice” hereunder and must:</w:t>
      </w:r>
    </w:p>
    <w:p>
      <w:pPr>
        <w:spacing w:after="0" w:line="170" w:lineRule="exact"/>
        <w:rPr>
          <w:sz w:val="20"/>
          <w:szCs w:val="20"/>
          <w:color w:val="auto"/>
        </w:rPr>
      </w:pPr>
    </w:p>
    <w:p>
      <w:pPr>
        <w:ind w:right="400" w:firstLine="656"/>
        <w:spacing w:after="0" w:line="264" w:lineRule="auto"/>
        <w:tabs>
          <w:tab w:leader="none" w:pos="134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specify (i) the aggregate amount of such Borrowing and the date on which Base Rate Loans are to be advanced, or (ii) the aggregate amount of any such Borrowing of new Eurodollar Loans, the date on which such Eurodollar Loans are to be advanced (which shall be the first day of the Interest Period which is to apply thereto), and the length of the applicable Interest Period;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firstLine="656"/>
        <w:spacing w:after="0" w:line="308" w:lineRule="auto"/>
        <w:tabs>
          <w:tab w:leader="none" w:pos="1353" w:val="left"/>
        </w:tabs>
        <w:numPr>
          <w:ilvl w:val="0"/>
          <w:numId w:val="147"/>
        </w:numPr>
        <w:rPr>
          <w:rFonts w:ascii="Arial" w:cs="Arial" w:eastAsia="Arial" w:hAnsi="Arial"/>
          <w:sz w:val="17"/>
          <w:szCs w:val="17"/>
          <w:color w:val="auto"/>
        </w:rPr>
      </w:pPr>
      <w:r>
        <w:rPr>
          <w:rFonts w:ascii="Arial" w:cs="Arial" w:eastAsia="Arial" w:hAnsi="Arial"/>
          <w:sz w:val="17"/>
          <w:szCs w:val="17"/>
          <w:color w:val="auto"/>
        </w:rPr>
        <w:t>be received by Administrative Agent not later than 11:00 a.m., New York, New York time on (i) the day on which any such Base Rate Loans are to be made, or (ii) the third Business Day preceding the day on which any such Eurodollar Loans are to be made.</w:t>
      </w:r>
    </w:p>
    <w:p>
      <w:pPr>
        <w:spacing w:after="0" w:line="14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Each such written request or confirmation must be made in the form and substance of the “Borrowing Notice” attached hereto as Exhibit B, duly completed. Each such telephonic request shall be deemed a representation, warranty, acknowledgment and agreement by Borrower as to the matters which are required to be set out in such written confirmation. Upon receipt of any such Borrowing Notice, Administrative Agent shall give each Lender prompt notice of the terms thereof. If all conditions precedent to such new Loans have been met, each Lender will on the date requested promptly remit to Administrative Agent at its office in New York, New York, the amount of such Lender’s new Loan in immediately available funds, and upon receipt of such funds, unless to its actual knowledge any conditions precedent to such Loans have been neither met nor waived as provided herein, Administrative Agent shall promptly make such Loans available to Borrower. Unless Administrative Agent shall have received prompt notice from a Lender that such Lender will not make available to Borrower such Lender’s new Loan, Administrative Agent may in its discretion assume that such Lender has made such Loan available to Administrative Agent in accordance with this section, and Administrative Agent may if it chooses, in reliance upon such assumption, make such Loan available to Borrower. If and to the extent such Lender shall not so make its new Loan available to Administrative Agent, such Lender and Borrower severally agree to pay or repay to Administrative Agent within three days after demand the amount of such Loan together with interest thereon, for each day from the date such amount was made available to Borrower until the date such amount is paid or repaid to Administrative Agent, with interest at (i) the Federal Funds Rate, if such Lender is making such payment, and (ii) the interest rate applicable at the time to the other new Loans made on such date, if Borrower is making such repayment. If neither such Lender nor Borrower pays or repays to Administrative Agent such amount within such three-day period, Administrative Agent shall be entitled to recover from Borrower, on demand in lieu of the interest provided for in the preceding sentence, interest thereon at the Default Rate, calculated from the date such amount was made available to Borrower. The failure of any Lender to make any new Loan to be made by it hereunder shall not relieve any other Lender of its obligation hereunder, if any, to make its new Loan, but no Lender shall be responsible for the failure of any other Lender to make any new Loan to be made by such other Lender. All Borrowings of Loans shall be advanced in Dollars.</w:t>
      </w:r>
    </w:p>
    <w:p>
      <w:pPr>
        <w:spacing w:after="0" w:line="389"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Continuations and Conversions of Existing Loans</w:t>
      </w:r>
      <w:r>
        <w:rPr>
          <w:rFonts w:ascii="Arial" w:cs="Arial" w:eastAsia="Arial" w:hAnsi="Arial"/>
          <w:sz w:val="17"/>
          <w:szCs w:val="17"/>
          <w:color w:val="auto"/>
        </w:rPr>
        <w:t>. Borrower may make the following elections with respect to Loans already outstanding: (i) to Convert, in whole or in part, Base Rate Loans to Eurodollar Loans, (ii) to Convert, in whole or in part, Eurodollar Loans to Base Rate Loans on the last day of the Interest Period applicable thereto, and (iii) to Continue, in whole or in part, Eurodollar Loans beyond the expiration of such Interest Period by designating a new Interest Period to take effect at the time of such expiration. In making such elections, Borrower may combine existing Loans to Borrower made pursuant to separate Borrowings into one new Borrowing or divide existing Loans to Borrower made pursuant to one Borrowing into separate new Borrowings, provided that Borrower may have no more than seven Borrowings of Eurodollar Loans outstanding at any time. To make any such election, Borrower must give to Administrative Agent written notice (or telephonic notice promptly confirmed in writing) of any such Conversion or Continuation of existing Loans, with a separate notice given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for each new Borrowing. Each such notice constitutes a “Continuation/Conversion Notice” hereunder and must:</w:t>
      </w:r>
    </w:p>
    <w:p>
      <w:pPr>
        <w:spacing w:after="0" w:line="225" w:lineRule="exact"/>
        <w:rPr>
          <w:sz w:val="20"/>
          <w:szCs w:val="20"/>
          <w:color w:val="auto"/>
        </w:rPr>
      </w:pPr>
    </w:p>
    <w:p>
      <w:pPr>
        <w:ind w:left="2020" w:hanging="715"/>
        <w:spacing w:after="0"/>
        <w:tabs>
          <w:tab w:leader="none" w:pos="20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specify the existing Loans which are to be Continued or Converted;</w:t>
      </w:r>
    </w:p>
    <w:p>
      <w:pPr>
        <w:spacing w:after="0" w:line="225" w:lineRule="exact"/>
        <w:rPr>
          <w:rFonts w:ascii="Arial" w:cs="Arial" w:eastAsia="Arial" w:hAnsi="Arial"/>
          <w:sz w:val="18"/>
          <w:szCs w:val="18"/>
          <w:color w:val="auto"/>
        </w:rPr>
      </w:pPr>
    </w:p>
    <w:p>
      <w:pPr>
        <w:jc w:val="both"/>
        <w:ind w:left="660" w:right="80" w:firstLine="645"/>
        <w:spacing w:after="0" w:line="279" w:lineRule="auto"/>
        <w:tabs>
          <w:tab w:leader="none" w:pos="2023" w:val="left"/>
        </w:tabs>
        <w:numPr>
          <w:ilvl w:val="0"/>
          <w:numId w:val="148"/>
        </w:numPr>
        <w:rPr>
          <w:rFonts w:ascii="Arial" w:cs="Arial" w:eastAsia="Arial" w:hAnsi="Arial"/>
          <w:sz w:val="17"/>
          <w:szCs w:val="17"/>
          <w:color w:val="auto"/>
        </w:rPr>
      </w:pPr>
      <w:r>
        <w:rPr>
          <w:rFonts w:ascii="Arial" w:cs="Arial" w:eastAsia="Arial" w:hAnsi="Arial"/>
          <w:sz w:val="17"/>
          <w:szCs w:val="17"/>
          <w:color w:val="auto"/>
        </w:rPr>
        <w:t>specify (A) the aggregate amount of any Borrowing of Base Rate Loans, into which such existing Loans are to be Continued or Converted and the date on which such Continuation or Conversion is to occur, or (B) the aggregate amount of any Borrowing of Eurodollar Loans into which such existing Loans are to be Continued or Converted, the date on which such Continuation or Conversion is to occur (which shall be the first day of the Interest Period which is to apply to such Eurodollar Loans), and the length of the applicable Interest Period; and</w:t>
      </w:r>
    </w:p>
    <w:p>
      <w:pPr>
        <w:spacing w:after="0" w:line="171" w:lineRule="exact"/>
        <w:rPr>
          <w:rFonts w:ascii="Arial" w:cs="Arial" w:eastAsia="Arial" w:hAnsi="Arial"/>
          <w:sz w:val="17"/>
          <w:szCs w:val="17"/>
          <w:color w:val="auto"/>
        </w:rPr>
      </w:pPr>
    </w:p>
    <w:p>
      <w:pPr>
        <w:ind w:left="660" w:right="440" w:firstLine="645"/>
        <w:spacing w:after="0" w:line="264" w:lineRule="auto"/>
        <w:tabs>
          <w:tab w:leader="none" w:pos="202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be received by Administrative Agent not later than 11:00 a.m. New York, New York time on (i) the day on which any such Continuation or Conversion to Base Rate Loans is to occur, or (ii) the third Business Day preceding the day on which any such Continuation or Conversion to Eurodollar Loans is to occur.</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Each such written request or confirmation must be made in the form and substance of the “Continuation/Conversion Notice” attached hereto as Exhibit C, duly completed. Each such telephonic request shall be deemed a representation, warranty, acknowledgment and agreement by Borrower as to the matters which are required to be set out in such written confirmation. Upon receipt of any such Continuation/Conversion Notice, Administrative Agent shall give each Lender prompt notice of the terms thereof. Each Continuation/Conversion Notice shall be irrevocable and binding on Borrower. During the continuance of any Default, Borrower may not make any election to Convert existing Loans into Eurodollar Loans or Continue existing Loans as Eurodollar Loans beyond the expiration of their respective and corresponding Interest Period then in effect. If (due to the existence of a Default or for any other reason) Borrower fails to timely and properly give any Continuation/Conversion Notice with respect to a Borrowing of existing Eurodollar Loans at least three days prior to the end of the Interest Period applicable to such Eurodollar Loans, any such Eurodollar Loans, to the extent not prepaid at the end of such Interest Period, shall automatically be Converted into Base Rate Loans at the end of such Interest Period. No new funds shall be repaid by Borrower or advanced by any Lender in connection with any Continuation or Conversion of existing Loans pursuant to this section, and no such Continuation or Conversion shall be deemed to be a</w:t>
      </w:r>
    </w:p>
    <w:p>
      <w:pPr>
        <w:sectPr>
          <w:pgSz w:w="11900" w:h="16838" w:orient="portrait"/>
          <w:cols w:equalWidth="0" w:num="1">
            <w:col w:w="11420"/>
          </w:cols>
          <w:pgMar w:left="240" w:top="125" w:right="239" w:bottom="0" w:gutter="0" w:footer="0" w:header="0"/>
        </w:sectPr>
      </w:pPr>
    </w:p>
    <w:bookmarkStart w:id="80" w:name="page81"/>
    <w:bookmarkEnd w:id="80"/>
    <w:p>
      <w:pPr>
        <w:spacing w:after="0" w:line="13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new advance of funds for any purpose; such Continuations and Conversions merely constitute a change in the interest rate applicable to such already outstanding Loans.</w:t>
      </w:r>
    </w:p>
    <w:p>
      <w:pPr>
        <w:spacing w:after="0" w:line="3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Use of Proceeds</w:t>
      </w:r>
      <w:r>
        <w:rPr>
          <w:rFonts w:ascii="Arial" w:cs="Arial" w:eastAsia="Arial" w:hAnsi="Arial"/>
          <w:sz w:val="17"/>
          <w:szCs w:val="17"/>
          <w:color w:val="auto"/>
        </w:rPr>
        <w:t>. Borrower shall use the Initial Loans to finance the PPX Acquisition. Borrower shall use the Additional Loans to finance capital expenditures of any Restricted Person, provide working capital for operations and for other general business purposes, including acquisitions. In no event shall the funds from any Loans be used directly or indirectly by any Person for personal, family, household or agricultural purposes or for the purpose, whether immediate, incidental or ultimate, of purchasing, acquiring or carrying any “margin stock” (as such term is defined in Regulation U promulgated by the Board of Governors of the Federal Reserve System) or to extend credit to others directly or indirectly for the purpose of purchasing or carrying any such margin stock. Borrower represents and warrants that it is not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engaged principally, or as one of its important activities, in the business of extending credit to others for the purpose of purchasing or carrying such margin stock.</w:t>
      </w:r>
    </w:p>
    <w:p>
      <w:pPr>
        <w:spacing w:after="0" w:line="17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5"/>
          <w:szCs w:val="15"/>
          <w:u w:val="single" w:color="auto"/>
          <w:color w:val="auto"/>
        </w:rPr>
        <w:t>Interest Rates and Fees</w:t>
      </w:r>
      <w:r>
        <w:rPr>
          <w:rFonts w:ascii="Arial" w:cs="Arial" w:eastAsia="Arial" w:hAnsi="Arial"/>
          <w:sz w:val="15"/>
          <w:szCs w:val="15"/>
          <w:color w:val="auto"/>
        </w:rPr>
        <w:t>.</w:t>
      </w:r>
    </w:p>
    <w:p>
      <w:pPr>
        <w:spacing w:after="0" w:line="225" w:lineRule="exact"/>
        <w:rPr>
          <w:sz w:val="20"/>
          <w:szCs w:val="20"/>
          <w:color w:val="auto"/>
        </w:rPr>
      </w:pPr>
    </w:p>
    <w:p>
      <w:pPr>
        <w:ind w:left="1360" w:hanging="704"/>
        <w:spacing w:after="0"/>
        <w:tabs>
          <w:tab w:leader="none" w:pos="1360"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Interest Rates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59" w:lineRule="auto"/>
        <w:tabs>
          <w:tab w:leader="none" w:pos="2006" w:val="left"/>
        </w:tabs>
        <w:numPr>
          <w:ilvl w:val="2"/>
          <w:numId w:val="149"/>
        </w:numPr>
        <w:rPr>
          <w:rFonts w:ascii="Arial" w:cs="Arial" w:eastAsia="Arial" w:hAnsi="Arial"/>
          <w:sz w:val="18"/>
          <w:szCs w:val="18"/>
          <w:color w:val="auto"/>
        </w:rPr>
      </w:pPr>
      <w:r>
        <w:rPr>
          <w:rFonts w:ascii="Arial" w:cs="Arial" w:eastAsia="Arial" w:hAnsi="Arial"/>
          <w:sz w:val="18"/>
          <w:szCs w:val="18"/>
          <w:color w:val="auto"/>
        </w:rPr>
        <w:t>Each Loan shall bear interest as follows: (A) unless the Default Rate shall apply, each Base Rate Loan shall bear interest on each day outstanding at the Base Rate plus the Applicable Margin in effect on such day, and each Eurodollar Loan shall bear interest on each day during the related Interest Period at the related Eurodollar Rate plus the Applicable Margin in effect on such day, and (B) during a Default Rate Period, all Loans shall bear interest on each day outstanding at the applicable Default Rate.</w:t>
      </w:r>
    </w:p>
    <w:p>
      <w:pPr>
        <w:spacing w:after="0" w:line="186" w:lineRule="exact"/>
        <w:rPr>
          <w:rFonts w:ascii="Arial" w:cs="Arial" w:eastAsia="Arial" w:hAnsi="Arial"/>
          <w:sz w:val="18"/>
          <w:szCs w:val="18"/>
          <w:color w:val="auto"/>
        </w:rPr>
      </w:pPr>
    </w:p>
    <w:p>
      <w:pPr>
        <w:ind w:right="180" w:firstLine="1305"/>
        <w:spacing w:after="0" w:line="288" w:lineRule="auto"/>
        <w:tabs>
          <w:tab w:leader="none" w:pos="2011" w:val="left"/>
        </w:tabs>
        <w:numPr>
          <w:ilvl w:val="2"/>
          <w:numId w:val="149"/>
        </w:numPr>
        <w:rPr>
          <w:rFonts w:ascii="Arial" w:cs="Arial" w:eastAsia="Arial" w:hAnsi="Arial"/>
          <w:sz w:val="16"/>
          <w:szCs w:val="16"/>
          <w:color w:val="auto"/>
        </w:rPr>
      </w:pPr>
      <w:r>
        <w:rPr>
          <w:rFonts w:ascii="Arial" w:cs="Arial" w:eastAsia="Arial" w:hAnsi="Arial"/>
          <w:sz w:val="16"/>
          <w:szCs w:val="16"/>
          <w:color w:val="auto"/>
        </w:rPr>
        <w:t>Accrued and unpaid interest on each Loan shall be due and payable on each Interest Payment Date; provided, during a Default Rate Period, accrued and unpaid interest on all Loans shall be due and payable within three Business Days following demand therefor by Administrative Agent to Borrower. If an Event of Default based upon Section 8.1(a), Section 8.1(b) or, with respect to Borrower, based upon Section 8.1(h)(i), (h)(ii) or (h)</w:t>
      </w:r>
    </w:p>
    <w:p>
      <w:pPr>
        <w:ind w:right="80" w:firstLine="8"/>
        <w:spacing w:after="0" w:line="261" w:lineRule="auto"/>
        <w:tabs>
          <w:tab w:leader="none" w:pos="31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exists and the Loans are not bearing interest at the Default Rate, the past due principal and past due interest shall bear interest on each day outstanding at the applicable Default Rate.</w:t>
      </w:r>
    </w:p>
    <w:p>
      <w:pPr>
        <w:spacing w:after="0" w:line="183" w:lineRule="exact"/>
        <w:rPr>
          <w:rFonts w:ascii="Arial" w:cs="Arial" w:eastAsia="Arial" w:hAnsi="Arial"/>
          <w:sz w:val="18"/>
          <w:szCs w:val="18"/>
          <w:color w:val="auto"/>
        </w:rPr>
      </w:pPr>
    </w:p>
    <w:p>
      <w:pPr>
        <w:ind w:right="340" w:firstLine="1305"/>
        <w:spacing w:after="0" w:line="277" w:lineRule="auto"/>
        <w:tabs>
          <w:tab w:leader="none" w:pos="2016" w:val="left"/>
        </w:tabs>
        <w:numPr>
          <w:ilvl w:val="2"/>
          <w:numId w:val="150"/>
        </w:numPr>
        <w:rPr>
          <w:rFonts w:ascii="Arial" w:cs="Arial" w:eastAsia="Arial" w:hAnsi="Arial"/>
          <w:sz w:val="18"/>
          <w:szCs w:val="18"/>
          <w:color w:val="auto"/>
        </w:rPr>
      </w:pPr>
      <w:r>
        <w:rPr>
          <w:rFonts w:ascii="Arial" w:cs="Arial" w:eastAsia="Arial" w:hAnsi="Arial"/>
          <w:sz w:val="18"/>
          <w:szCs w:val="18"/>
          <w:color w:val="auto"/>
        </w:rPr>
        <w:t>The interest rate shall change whenever the applicable Base Rate, Eurodollar Rate or Applicable Margin changes. In no event shall the interest rate on any Loan exceed the Highest Lawful Rate.</w:t>
      </w:r>
    </w:p>
    <w:p>
      <w:pPr>
        <w:spacing w:after="0" w:line="170" w:lineRule="exact"/>
        <w:rPr>
          <w:rFonts w:ascii="Arial" w:cs="Arial" w:eastAsia="Arial" w:hAnsi="Arial"/>
          <w:sz w:val="18"/>
          <w:szCs w:val="18"/>
          <w:color w:val="auto"/>
        </w:rPr>
      </w:pPr>
    </w:p>
    <w:p>
      <w:pPr>
        <w:ind w:right="20" w:firstLine="656"/>
        <w:spacing w:after="0" w:line="271" w:lineRule="auto"/>
        <w:tabs>
          <w:tab w:leader="none" w:pos="1353" w:val="left"/>
        </w:tabs>
        <w:numPr>
          <w:ilvl w:val="1"/>
          <w:numId w:val="150"/>
        </w:numPr>
        <w:rPr>
          <w:rFonts w:ascii="Arial" w:cs="Arial" w:eastAsia="Arial" w:hAnsi="Arial"/>
          <w:sz w:val="17"/>
          <w:szCs w:val="17"/>
          <w:color w:val="auto"/>
        </w:rPr>
      </w:pPr>
      <w:r>
        <w:rPr>
          <w:rFonts w:ascii="Arial" w:cs="Arial" w:eastAsia="Arial" w:hAnsi="Arial"/>
          <w:sz w:val="17"/>
          <w:szCs w:val="17"/>
          <w:u w:val="single" w:color="auto"/>
          <w:color w:val="auto"/>
        </w:rPr>
        <w:t>Facility Fees; Reduction of Commitments</w:t>
      </w:r>
      <w:r>
        <w:rPr>
          <w:rFonts w:ascii="Arial" w:cs="Arial" w:eastAsia="Arial" w:hAnsi="Arial"/>
          <w:sz w:val="17"/>
          <w:szCs w:val="17"/>
          <w:color w:val="auto"/>
        </w:rPr>
        <w:t xml:space="preserve">. In consideration of each Lender’s Commitment, commencing on the Initial Funding Date through the Maturity Date, Borrower will pay to Administrative Agent for the account of each Lender a facility fee determined on a daily basis equal to the Facility Fee Rate in effect on such day times (i) on and after the Initial Funding Date through and until the earlier of (x) the date on which the Additional Loans are made and (y) the Conversion Date, an amount equal to the sum of such Lender’s Commitment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Initial Loan, and (ii) thereafter, the Outstanding Amount of such Lender’s Loans. Such facility fee shall be due and payable quarterly in arrears on the last day of each Fiscal Quarter, on the Conversion Date, and on the Maturity Date. Borrower shall have the right from time to time to permanently reduce the Total Committed Amount, provided that (A) notice of such reduction is given not less than two Business Days prior to such reduction, and (B) each partial reduction shall be in an amount at least equal to $1,000,000 and in multiples of $1,000,000 in excess thereof.</w:t>
      </w:r>
    </w:p>
    <w:p>
      <w:pPr>
        <w:spacing w:after="0" w:line="178" w:lineRule="exact"/>
        <w:rPr>
          <w:rFonts w:ascii="Arial" w:cs="Arial" w:eastAsia="Arial" w:hAnsi="Arial"/>
          <w:sz w:val="17"/>
          <w:szCs w:val="17"/>
          <w:color w:val="auto"/>
        </w:rPr>
      </w:pPr>
    </w:p>
    <w:p>
      <w:pPr>
        <w:ind w:right="60" w:firstLine="656"/>
        <w:spacing w:after="0" w:line="259" w:lineRule="auto"/>
        <w:tabs>
          <w:tab w:leader="none" w:pos="1343"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Ticking Fees</w:t>
      </w:r>
      <w:r>
        <w:rPr>
          <w:rFonts w:ascii="Arial" w:cs="Arial" w:eastAsia="Arial" w:hAnsi="Arial"/>
          <w:sz w:val="18"/>
          <w:szCs w:val="18"/>
          <w:color w:val="auto"/>
        </w:rPr>
        <w:t>. In consideration of each Lender’s Commitment, Borrower will pay to Administrative Agent for the account of each Lender a ticking fee determined on a daily basis equal to the Ticking Fee Rate in effect on such day times such Lender’s Commitment on each day commencing January 31, 2007 through and until the Initial Funding Date. Such ticking fee shall be due and payable quarterly in arrears on the last day of each Fiscal Quarter and on the Initial Funding Date.</w:t>
      </w:r>
    </w:p>
    <w:p>
      <w:pPr>
        <w:spacing w:after="0" w:line="200" w:lineRule="exact"/>
        <w:rPr>
          <w:sz w:val="20"/>
          <w:szCs w:val="20"/>
          <w:color w:val="auto"/>
        </w:rPr>
      </w:pPr>
    </w:p>
    <w:p>
      <w:pPr>
        <w:spacing w:after="0" w:line="20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Intentionally deleted</w:t>
      </w:r>
      <w:r>
        <w:rPr>
          <w:rFonts w:ascii="Arial" w:cs="Arial" w:eastAsia="Arial" w:hAnsi="Arial"/>
          <w:sz w:val="16"/>
          <w:szCs w:val="16"/>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Conversion to Term Loan</w:t>
      </w:r>
      <w:r>
        <w:rPr>
          <w:rFonts w:ascii="Arial" w:cs="Arial" w:eastAsia="Arial" w:hAnsi="Arial"/>
          <w:sz w:val="17"/>
          <w:szCs w:val="17"/>
          <w:color w:val="auto"/>
        </w:rPr>
        <w:t>. Effective at 11:59 p.m., New York, New York time on the day immediately preceding the Conversion Date, each Lender’s obligation to make new Loans to Borrower shall be canceled automatically (if not terminated hereunder prior to such date), and, provided that no Event of Default shall have occurred and be continuing, each Lender’s Loans shall become term loans maturing on the Maturity Date.</w:t>
      </w:r>
    </w:p>
    <w:p>
      <w:pPr>
        <w:spacing w:after="0" w:line="16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Optional Prepayments</w:t>
      </w:r>
      <w:r>
        <w:rPr>
          <w:rFonts w:ascii="Arial" w:cs="Arial" w:eastAsia="Arial" w:hAnsi="Arial"/>
          <w:sz w:val="16"/>
          <w:szCs w:val="16"/>
          <w:color w:val="auto"/>
        </w:rPr>
        <w:t>. Borrower may, upon three Business Days’ notice, as to Eurodollar Loans, or same Business Day’s notice, as to Base Rate Loans, to Administrative Agent (and Administrative Agent will promptly give notice to the other Lenders) from time to time and without premium or penalty (other than any amounts due under Section 3.6 hereof with respect to prepayments of any Eurodollar Loans) prepay the Loans, in whole or in part, so long as the aggregate amounts of all partial prepayments of principal on (i) Eurodollar Loans equals $2,500,000 or any higher integral multiple of $250,000, and (ii) Base Rate Loans equals $250,000 or any higher integral multiple of $50,000. Upon receipt of any such notice, Administrative Agent shall give each Lender prompt notice of the terms thereof. Each prepayment of principal of a Loan under this section shall be accompanied by all interest then accrued and unpaid on the principal so prepaid. Any principal or interest prepaid pursuant to this section shall be in addition to, and not in lieu of, all payments otherwise required to be paid under the Loan Documents at the time of such prepayment. Following notice by Borrower pursuant to the foregoing, Borrower shall make such prepayment, and the prepayment amount specified in such notice shall be due and payable, on the date specified in such notice.</w:t>
      </w:r>
    </w:p>
    <w:p>
      <w:pPr>
        <w:spacing w:after="0" w:line="38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Mandatory Commitment Reductions and Prepayments</w:t>
      </w:r>
      <w:r>
        <w:rPr>
          <w:rFonts w:ascii="Arial" w:cs="Arial" w:eastAsia="Arial" w:hAnsi="Arial"/>
          <w:sz w:val="16"/>
          <w:szCs w:val="16"/>
          <w:color w:val="auto"/>
        </w:rPr>
        <w:t>.</w:t>
      </w:r>
    </w:p>
    <w:p>
      <w:pPr>
        <w:spacing w:after="0" w:line="225" w:lineRule="exact"/>
        <w:rPr>
          <w:sz w:val="20"/>
          <w:szCs w:val="20"/>
          <w:color w:val="auto"/>
        </w:rPr>
      </w:pPr>
    </w:p>
    <w:p>
      <w:pPr>
        <w:ind w:right="320" w:firstLine="656"/>
        <w:spacing w:after="0" w:line="342" w:lineRule="auto"/>
        <w:tabs>
          <w:tab w:leader="none" w:pos="1343"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Mandatory Commitment Reductions – Making of Loans</w:t>
      </w:r>
      <w:r>
        <w:rPr>
          <w:rFonts w:ascii="Arial" w:cs="Arial" w:eastAsia="Arial" w:hAnsi="Arial"/>
          <w:sz w:val="16"/>
          <w:szCs w:val="16"/>
          <w:color w:val="auto"/>
        </w:rPr>
        <w:t>. Upon the making of the Initial Loans, the Total Committed Amount shall be reduced by the aggregate amount of such Initial Loans, and each Lender’s Commitment shall be automatically and permanently reduced by the amount of</w:t>
      </w:r>
    </w:p>
    <w:p>
      <w:pPr>
        <w:sectPr>
          <w:pgSz w:w="11900" w:h="16975" w:orient="portrait"/>
          <w:cols w:equalWidth="0" w:num="1">
            <w:col w:w="11400"/>
          </w:cols>
          <w:pgMar w:left="240" w:top="125" w:right="259" w:bottom="0" w:gutter="0" w:footer="0" w:header="0"/>
        </w:sectPr>
      </w:pPr>
    </w:p>
    <w:bookmarkStart w:id="81" w:name="page82"/>
    <w:bookmarkEnd w:id="81"/>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such Lender’s Initial Loan. Upon the earlier of the making of the Additional Loans and the Conversion Date, the Total Committed Amount shall be reduced to zero, and each Lender’s Commitment shall be automatically and permanently reduced to zero and terminated.</w:t>
      </w:r>
    </w:p>
    <w:p>
      <w:pPr>
        <w:spacing w:after="0" w:line="170" w:lineRule="exact"/>
        <w:rPr>
          <w:sz w:val="20"/>
          <w:szCs w:val="20"/>
          <w:color w:val="auto"/>
        </w:rPr>
      </w:pPr>
    </w:p>
    <w:p>
      <w:pPr>
        <w:ind w:firstLine="656"/>
        <w:spacing w:after="0" w:line="257" w:lineRule="auto"/>
        <w:tabs>
          <w:tab w:leader="none" w:pos="1353"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Mandatory Commitment Reduction – Debt Offerings</w:t>
      </w:r>
      <w:r>
        <w:rPr>
          <w:rFonts w:ascii="Arial" w:cs="Arial" w:eastAsia="Arial" w:hAnsi="Arial"/>
          <w:sz w:val="18"/>
          <w:szCs w:val="18"/>
          <w:color w:val="auto"/>
        </w:rPr>
        <w:t>. Upon the consummation of any public or private debt offering by Borrower or any of its Subsidiaries (a “</w:t>
      </w:r>
      <w:r>
        <w:rPr>
          <w:rFonts w:ascii="Arial" w:cs="Arial" w:eastAsia="Arial" w:hAnsi="Arial"/>
          <w:sz w:val="18"/>
          <w:szCs w:val="18"/>
          <w:u w:val="single" w:color="auto"/>
          <w:color w:val="auto"/>
        </w:rPr>
        <w:t>Debt Offering</w:t>
      </w:r>
      <w:r>
        <w:rPr>
          <w:rFonts w:ascii="Arial" w:cs="Arial" w:eastAsia="Arial" w:hAnsi="Arial"/>
          <w:sz w:val="18"/>
          <w:szCs w:val="18"/>
          <w:color w:val="auto"/>
        </w:rPr>
        <w:t>”) on or prior to the Initial Funding Date, the Total Committed Amount shall be permanently reduced by an amount equal to the net cash proceeds received by Borrower or any of its Subsidiaries from such Debt Offering, to the extent such net cash proceeds (i) were designated for use, or used in connection with, the PPX Acquisition, or (ii) were not designated for use, or used in connection with, the PPX Acquisition, but when aggregated with all other such non-designated proceeds, do not exceed $200,000.000.</w:t>
      </w:r>
    </w:p>
    <w:p>
      <w:pPr>
        <w:spacing w:after="0" w:line="188" w:lineRule="exact"/>
        <w:rPr>
          <w:rFonts w:ascii="Arial" w:cs="Arial" w:eastAsia="Arial" w:hAnsi="Arial"/>
          <w:sz w:val="18"/>
          <w:szCs w:val="18"/>
          <w:color w:val="auto"/>
        </w:rPr>
      </w:pPr>
    </w:p>
    <w:p>
      <w:pPr>
        <w:ind w:right="440" w:firstLine="656"/>
        <w:spacing w:after="0" w:line="286" w:lineRule="auto"/>
        <w:tabs>
          <w:tab w:leader="none" w:pos="1343"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Mandatory Prepayments – Debt Offering</w:t>
      </w:r>
      <w:r>
        <w:rPr>
          <w:rFonts w:ascii="Arial" w:cs="Arial" w:eastAsia="Arial" w:hAnsi="Arial"/>
          <w:sz w:val="17"/>
          <w:szCs w:val="17"/>
          <w:color w:val="auto"/>
        </w:rPr>
        <w:t>. Upon the consummation of any Debt Offering (as defined in Section 2.9(b) above) after the Initial Funding Date, Borrower shall contemporaneously with the receipt of the net cash proceeds thereof by it or its applicable Subsidiaries make a mandatory prepayment on the Loans in an amount equal to such net cash proceeds of such Debt Offering.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70" w:lineRule="auto"/>
        <w:tabs>
          <w:tab w:leader="none" w:pos="1353"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Mandatory Prepayments – Principal Property Sales</w:t>
      </w:r>
      <w:r>
        <w:rPr>
          <w:rFonts w:ascii="Arial" w:cs="Arial" w:eastAsia="Arial" w:hAnsi="Arial"/>
          <w:sz w:val="17"/>
          <w:szCs w:val="17"/>
          <w:color w:val="auto"/>
        </w:rPr>
        <w:t>. Following the consummation of the PPX Acquisition, in the event Borrower or any of its Subsidiaries shall sell, lease or otherwise dispose of Principal Property acquired pursuant to the PPX Acquisition to any Person other than a Restricted Person (other than in exchange for property of like kind or otherwise useful in Restricted Persons’ businesses and properties) pursuant to which Borrower and its Subsidiaries receive aggregate net cash proceeds with respect to such sales, leases or other dispositions in excess of $25,000,000, Borrower and/or such Subsidiaries shall, within one year of the date on which such aggregate proceeds exceed such amount, either use or enter into a binding contractual commitment to use, such proceeds to acquire, construct, rebuild or repair capital assets to be used or useful in Borrower’s and its Subsidiaries’ business (including the acquisition of equity interests in one or more Persons owning such assets) or make a mandatory prepayment on the Loans in an amount equal to the amount of such proceeds not so used. Upon receipt by Borrower or such Subsidiary of any such proceeds and until the application thereof as provided in the foregoing sentence, Borrower or such Subsidiary may use such proceeds to prepay loans under the US/Canada Credit Agreement or otherwise shall maintain such proceeds in cash or cash equivalents.</w:t>
      </w:r>
    </w:p>
    <w:p>
      <w:pPr>
        <w:spacing w:after="0" w:line="177" w:lineRule="exact"/>
        <w:rPr>
          <w:rFonts w:ascii="Arial" w:cs="Arial" w:eastAsia="Arial" w:hAnsi="Arial"/>
          <w:sz w:val="17"/>
          <w:szCs w:val="17"/>
          <w:color w:val="auto"/>
        </w:rPr>
      </w:pPr>
    </w:p>
    <w:p>
      <w:pPr>
        <w:jc w:val="both"/>
        <w:ind w:right="20" w:firstLine="656"/>
        <w:spacing w:after="0" w:line="264" w:lineRule="auto"/>
        <w:tabs>
          <w:tab w:leader="none" w:pos="1343"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Accrued and Unpaid Interest</w:t>
      </w:r>
      <w:r>
        <w:rPr>
          <w:rFonts w:ascii="Arial" w:cs="Arial" w:eastAsia="Arial" w:hAnsi="Arial"/>
          <w:sz w:val="18"/>
          <w:szCs w:val="18"/>
          <w:color w:val="auto"/>
        </w:rPr>
        <w:t>. Each prepayment of principal under this section shall be accompanied by all interest then accrued and unpaid on the principal so prepaid. Any principal or interest prepaid pursuant to this section shall be in addition to, and not in lieu of, all payments otherwise required to be paid under the Loan Documents at the time of such prepayment.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 - Payments to Lenders</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5"/>
          <w:szCs w:val="15"/>
          <w:u w:val="single" w:color="auto"/>
          <w:color w:val="auto"/>
        </w:rPr>
        <w:t>General Procedures</w:t>
      </w:r>
      <w:r>
        <w:rPr>
          <w:rFonts w:ascii="Arial" w:cs="Arial" w:eastAsia="Arial" w:hAnsi="Arial"/>
          <w:sz w:val="15"/>
          <w:szCs w:val="15"/>
          <w:color w:val="auto"/>
        </w:rPr>
        <w:t>.</w:t>
      </w:r>
    </w:p>
    <w:p>
      <w:pPr>
        <w:spacing w:after="0" w:line="225" w:lineRule="exact"/>
        <w:rPr>
          <w:sz w:val="20"/>
          <w:szCs w:val="20"/>
          <w:color w:val="auto"/>
        </w:rPr>
      </w:pPr>
    </w:p>
    <w:p>
      <w:pPr>
        <w:ind w:right="80" w:firstLine="656"/>
        <w:spacing w:after="0" w:line="268" w:lineRule="auto"/>
        <w:tabs>
          <w:tab w:leader="none" w:pos="1343" w:val="left"/>
        </w:tabs>
        <w:numPr>
          <w:ilvl w:val="0"/>
          <w:numId w:val="154"/>
        </w:numPr>
        <w:rPr>
          <w:rFonts w:ascii="Arial" w:cs="Arial" w:eastAsia="Arial" w:hAnsi="Arial"/>
          <w:sz w:val="17"/>
          <w:szCs w:val="17"/>
          <w:color w:val="auto"/>
        </w:rPr>
      </w:pPr>
      <w:r>
        <w:rPr>
          <w:rFonts w:ascii="Arial" w:cs="Arial" w:eastAsia="Arial" w:hAnsi="Arial"/>
          <w:sz w:val="17"/>
          <w:szCs w:val="17"/>
          <w:color w:val="auto"/>
        </w:rPr>
        <w:t>Each Restricted Person shall pay all amounts owing by such Restricted Person with respect to any Obligations (whether for principal, interest, fees, or otherwise) to Administrative Agent for the account of the Lender Party to whom such payment is owed in Dollars, without condition or deduction for any counterclaim, defense, recoupment or setoff, and in immediately available funds. If any payment is received on account of any Obligation in any currency other than Dollars (whether voluntarily or pursuant to any order or judgment or the enforcement thereof or the realization of any security or the liquidation of any Person or otherwise howsoever), such payment shall constitute a discharge of the liability of a Restricted Person hereunder and under the other Loan Documents in respect of such Obligation only to the extent of the amount of Dollars which the relevant Lender Parties are able to purchase with the amount of the other currency received by it on the Business Day next following such receipt by Administrative Agent in accordance with its normal procedures and after deducting any premium and costs of exchange. Each payment under the Loan Documents must be received by Administrative Agent not later than noon, New York, New York time on the date such payment becomes due and payable, unless otherwise expressly provided herein. Any payment received by Administrative Agent after such time will be deemed to have been made on the next following Business Day. Should any such payment become due and payable on a day other than a Business Day, the maturity of such payment shall be extended to the next succeeding Business Day, and, in the case of a payment of principal or past due interest, interest shall accrue and be payable thereon for the period of such extension as provided in the Loan Document under which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such payment is due. Each payment under a Loan Document to a Lender Party shall be due and payable at the place provided therein and, if no specific place of payment is provided, shall be due and payable at the place of payment of Administrative Agent’s Note.</w:t>
      </w:r>
    </w:p>
    <w:p>
      <w:pPr>
        <w:spacing w:after="0" w:line="170" w:lineRule="exact"/>
        <w:rPr>
          <w:sz w:val="20"/>
          <w:szCs w:val="20"/>
          <w:color w:val="auto"/>
        </w:rPr>
      </w:pPr>
    </w:p>
    <w:p>
      <w:pPr>
        <w:ind w:right="180" w:firstLine="656"/>
        <w:spacing w:after="0" w:line="277" w:lineRule="auto"/>
        <w:tabs>
          <w:tab w:leader="none" w:pos="135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When Administrative Agent collects or receives money on account of the Obligations, Administrative Agent shall distribute all money so collected or received, and each Lender Party shall apply all such money so distributed, as follows:</w:t>
      </w:r>
    </w:p>
    <w:p>
      <w:pPr>
        <w:spacing w:after="0" w:line="170" w:lineRule="exact"/>
        <w:rPr>
          <w:rFonts w:ascii="Arial" w:cs="Arial" w:eastAsia="Arial" w:hAnsi="Arial"/>
          <w:sz w:val="18"/>
          <w:szCs w:val="18"/>
          <w:color w:val="auto"/>
        </w:rPr>
      </w:pPr>
    </w:p>
    <w:p>
      <w:pPr>
        <w:ind w:right="180" w:firstLine="1305"/>
        <w:spacing w:after="0" w:line="264" w:lineRule="auto"/>
        <w:tabs>
          <w:tab w:leader="none" w:pos="2006" w:val="left"/>
        </w:tabs>
        <w:numPr>
          <w:ilvl w:val="1"/>
          <w:numId w:val="155"/>
        </w:numPr>
        <w:rPr>
          <w:rFonts w:ascii="Arial" w:cs="Arial" w:eastAsia="Arial" w:hAnsi="Arial"/>
          <w:sz w:val="18"/>
          <w:szCs w:val="18"/>
          <w:color w:val="auto"/>
        </w:rPr>
      </w:pPr>
      <w:r>
        <w:rPr>
          <w:rFonts w:ascii="Arial" w:cs="Arial" w:eastAsia="Arial" w:hAnsi="Arial"/>
          <w:sz w:val="18"/>
          <w:szCs w:val="18"/>
          <w:color w:val="auto"/>
        </w:rPr>
        <w:t>first, for the payment of all Obligations which are then due (and if such money is insufficient to pay all such Obligations, first to any reimbursements due Administrative Agent under Section 10.4 and then to the partial payment of all other Obligations then due in proportion to the amounts thereof, or as Lender Parties shall otherwise agree);</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then for the prepayment of amounts owing under the Loan Documents (other than principal on the Notes) if so specified by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Borrower;</w:t>
      </w:r>
    </w:p>
    <w:p>
      <w:pPr>
        <w:spacing w:after="0" w:line="210" w:lineRule="exact"/>
        <w:rPr>
          <w:rFonts w:ascii="Arial" w:cs="Arial" w:eastAsia="Arial" w:hAnsi="Arial"/>
          <w:sz w:val="17"/>
          <w:szCs w:val="17"/>
          <w:color w:val="auto"/>
        </w:rPr>
      </w:pPr>
    </w:p>
    <w:p>
      <w:pPr>
        <w:ind w:left="2020" w:hanging="715"/>
        <w:spacing w:after="0"/>
        <w:tabs>
          <w:tab w:leader="none" w:pos="202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then for the prepayment of principal on the Notes, together with accrued and unpaid interest on the principal so prepaid; and</w:t>
      </w:r>
    </w:p>
    <w:p>
      <w:pPr>
        <w:spacing w:after="0" w:line="236" w:lineRule="exact"/>
        <w:rPr>
          <w:rFonts w:ascii="Arial" w:cs="Arial" w:eastAsia="Arial" w:hAnsi="Arial"/>
          <w:sz w:val="17"/>
          <w:szCs w:val="17"/>
          <w:color w:val="auto"/>
        </w:rPr>
      </w:pPr>
    </w:p>
    <w:p>
      <w:pPr>
        <w:ind w:left="2020" w:hanging="715"/>
        <w:spacing w:after="0"/>
        <w:tabs>
          <w:tab w:leader="none" w:pos="20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last, for the payment or prepayment of any other Obligations.</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All payments applied to principal or interest on any Note shall be applied first to any interest then due and payable, then to principal then due and payable, and last to any prepayment of principal and accrued interest thereon in compliance with Sections 2.8 and 2.9, as applicable. All distributions of amounts described in any of subsections (ii), (iii), or (iv) above shall be made by Administrative Agent pro rata to each Lender Party then owed Obligations described in such subsection in proportion to all amounts owed to all Lender Parties which are described in such subsection; provided that if any Lender then owes payments to Administrative Agent under Section 9.10, any amounts otherwise distributable under this section to such Lender shall be deemed to belong to</w:t>
      </w:r>
    </w:p>
    <w:p>
      <w:pPr>
        <w:sectPr>
          <w:pgSz w:w="11900" w:h="16941" w:orient="portrait"/>
          <w:cols w:equalWidth="0" w:num="1">
            <w:col w:w="11420"/>
          </w:cols>
          <w:pgMar w:left="240" w:top="125" w:right="239" w:bottom="0" w:gutter="0" w:footer="0" w:header="0"/>
        </w:sectPr>
      </w:pPr>
    </w:p>
    <w:bookmarkStart w:id="82" w:name="page83"/>
    <w:bookmarkEnd w:id="82"/>
    <w:p>
      <w:pPr>
        <w:ind w:right="160"/>
        <w:spacing w:after="0" w:line="277" w:lineRule="auto"/>
        <w:rPr>
          <w:sz w:val="20"/>
          <w:szCs w:val="20"/>
          <w:color w:val="auto"/>
        </w:rPr>
      </w:pPr>
      <w:r>
        <w:rPr>
          <w:rFonts w:ascii="Arial" w:cs="Arial" w:eastAsia="Arial" w:hAnsi="Arial"/>
          <w:sz w:val="18"/>
          <w:szCs w:val="18"/>
          <w:color w:val="auto"/>
        </w:rPr>
        <w:t>Administrative Agent to the extent of such unpaid payments, and Administrative Agent shall apply such amounts to make such unpaid payments rather than distribute such amounts to such Lender.</w:t>
      </w:r>
    </w:p>
    <w:p>
      <w:pPr>
        <w:spacing w:after="0" w:line="170" w:lineRule="exact"/>
        <w:rPr>
          <w:sz w:val="20"/>
          <w:szCs w:val="20"/>
          <w:color w:val="auto"/>
        </w:rPr>
      </w:pPr>
    </w:p>
    <w:p>
      <w:pPr>
        <w:ind w:right="20" w:firstLine="656"/>
        <w:spacing w:after="0" w:line="271" w:lineRule="auto"/>
        <w:tabs>
          <w:tab w:leader="none" w:pos="1343" w:val="left"/>
        </w:tabs>
        <w:numPr>
          <w:ilvl w:val="0"/>
          <w:numId w:val="156"/>
        </w:numPr>
        <w:rPr>
          <w:rFonts w:ascii="Arial" w:cs="Arial" w:eastAsia="Arial" w:hAnsi="Arial"/>
          <w:sz w:val="17"/>
          <w:szCs w:val="17"/>
          <w:color w:val="auto"/>
        </w:rPr>
      </w:pPr>
      <w:r>
        <w:rPr>
          <w:rFonts w:ascii="Arial" w:cs="Arial" w:eastAsia="Arial" w:hAnsi="Arial"/>
          <w:sz w:val="17"/>
          <w:szCs w:val="17"/>
          <w:color w:val="auto"/>
        </w:rPr>
        <w:t>Unless Administrative Agent shall have received notice from Borrower prior to the date on which any payment is due to Administrative Agent for the account of the Lenders that Borrower will not make such payment, Administrative Agent may assume that Borrower has made such payment on such date in accordance herewith and may, in reliance upon such assumption, distribute to the appropriate Lenders the amount due. In such event, if Borrower has not in fact made such payment, then each of such Lenders severally agrees to repay to Administrative Agent forthwith on demand the amount so distributed to such Lender in immediately available funds with interest thereon, for each day from and including the date such amount is distributed to it to but excluding the date of payment to Administrative Agent at the greater of the Federal Funds Rate and a rate determined by Administrative Agent in accordance with banking industry rules on interbank compensation. A notice of Administrative Agent to any Lender with respect to any amount owing under this subsection (c) shall be conclusive, absent manifest error.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Capital Reimbursement</w:t>
      </w:r>
      <w:r>
        <w:rPr>
          <w:rFonts w:ascii="Arial" w:cs="Arial" w:eastAsia="Arial" w:hAnsi="Arial"/>
          <w:sz w:val="18"/>
          <w:szCs w:val="18"/>
          <w:color w:val="auto"/>
        </w:rPr>
        <w:t>. If either (a) the introduction or implementation of or the compliance with or any change in or in the interpretation of any Law, or (b) the introduction or implementation of or the compliance with any request, directive or guideline from any central bank or other governmental authority (whether or not having the force of Law) affects or would affect the amount of capital required or expected to be maintained by any Lender Party or any corporation controlling any Lender Party, then, within five Business Days after demand by such Lender Party, Borrower will pay to Administrative Agent for the benefit of such Lender Party, from time to time as specified by such Lender Party, such additional amount or amounts which such Lender Party shall determine to be appropriate to compensate such Lender Party or any corporation controlling such Lender Party in light of such circumstances, to the extent that such Lender Party reasonably determines that the amount of any such capital would be increased or the rate of return on any such capital would be reduced by or in whole or in part based on the existence of the face amount of such Lender Party’s Loans or commitments under this Agreement.</w:t>
      </w:r>
    </w:p>
    <w:p>
      <w:pPr>
        <w:spacing w:after="0" w:line="197"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Increased Cost of Eurodollar Loans</w:t>
      </w:r>
      <w:r>
        <w:rPr>
          <w:rFonts w:ascii="Arial" w:cs="Arial" w:eastAsia="Arial" w:hAnsi="Arial"/>
          <w:sz w:val="18"/>
          <w:szCs w:val="18"/>
          <w:color w:val="auto"/>
        </w:rPr>
        <w:t>. If any applicable Law (whether now in effect or hereinafter enacted or promulgated, including Regulation D) or any interpretation or administration thereof by any governmental authority charged with the interpretation or administration thereof (whether or not having the force of Law):</w:t>
      </w:r>
    </w:p>
    <w:p>
      <w:pPr>
        <w:spacing w:after="0" w:line="181" w:lineRule="exact"/>
        <w:rPr>
          <w:sz w:val="20"/>
          <w:szCs w:val="20"/>
          <w:color w:val="auto"/>
        </w:rPr>
      </w:pPr>
    </w:p>
    <w:p>
      <w:pPr>
        <w:jc w:val="both"/>
        <w:ind w:firstLine="656"/>
        <w:spacing w:after="0" w:line="279" w:lineRule="auto"/>
        <w:tabs>
          <w:tab w:leader="none" w:pos="134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shall change the basis of taxation of payments to any Lender Party of any principal, interest, or other amounts attributable to any Eurodollar Loan or otherwise due under this Agreement in respect of any Eurodollar Loan (other than taxes imposed on, or measured by such Lender’ Party’s overall net income (however denominated), and franchise taxes imposed on such Lender Party (in lieu of net income taxes) or any Applicable Lending Office of such Lender Party by any jurisdiction in which such Lender Party or any such Applicable Lending Office is located); or</w:t>
      </w:r>
    </w:p>
    <w:p>
      <w:pPr>
        <w:spacing w:after="0" w:line="171" w:lineRule="exact"/>
        <w:rPr>
          <w:rFonts w:ascii="Arial" w:cs="Arial" w:eastAsia="Arial" w:hAnsi="Arial"/>
          <w:sz w:val="17"/>
          <w:szCs w:val="17"/>
          <w:color w:val="auto"/>
        </w:rPr>
      </w:pPr>
    </w:p>
    <w:p>
      <w:pPr>
        <w:ind w:right="120" w:firstLine="656"/>
        <w:spacing w:after="0" w:line="264" w:lineRule="auto"/>
        <w:tabs>
          <w:tab w:leader="none" w:pos="135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shall change, impose, modify, apply or deem applicable any reserve, special deposit or similar requirements in respect of any Eurodollar Loan (excluding those for which such Lender Party is fully compensated pursuant to adjustments made in the definition of Eurodollar Rate) or against assets of, deposits with or for the account of, or credit extended by, such Lender Party; or</w:t>
      </w:r>
    </w:p>
    <w:p>
      <w:pPr>
        <w:spacing w:after="0" w:line="181" w:lineRule="exact"/>
        <w:rPr>
          <w:rFonts w:ascii="Arial" w:cs="Arial" w:eastAsia="Arial" w:hAnsi="Arial"/>
          <w:sz w:val="18"/>
          <w:szCs w:val="18"/>
          <w:color w:val="auto"/>
        </w:rPr>
      </w:pPr>
    </w:p>
    <w:p>
      <w:pPr>
        <w:ind w:right="20" w:firstLine="656"/>
        <w:spacing w:after="0" w:line="254" w:lineRule="auto"/>
        <w:tabs>
          <w:tab w:leader="none" w:pos="134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shall impose on any Lender Party or the interbank Eurocurrency deposit market any other condition affecting any Eurodollar Loan, the result of which is to increase the cost to any Lender Party of funding or maintaining any Eurodollar Loan or to reduce the amount of any sum receivable by any Lender Party in respect of any Eurodollar Loan by an amount deemed by such Lender Party to be material, then such Lender Party shall promptly notify Administrative Agent and Borrower in writing of the happening of such event and of the amount required to compensate such Lender Party for such event (on an after-tax basis, taking into account any taxes on such compensation), whereupon (i) Borrower shall, within five Business Days after demand therefor by such Lender Party, pay such amount to Administrative Agent for the account of such Lender Party and (ii) Borrower may elect, by giving to Administrative Agent and such Lender Party not less than three Business Days’ notice, to Convert all (but not less than all) of any such Eurodollar Loans into Base Rate Loans.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Notice; Change of Applicable Lending Office</w:t>
      </w:r>
      <w:r>
        <w:rPr>
          <w:rFonts w:ascii="Arial" w:cs="Arial" w:eastAsia="Arial" w:hAnsi="Arial"/>
          <w:sz w:val="17"/>
          <w:szCs w:val="17"/>
          <w:color w:val="auto"/>
        </w:rPr>
        <w:t>. A Lender Party shall notify Borrower of any event occurring after the date of this Agreement that will entitle such Lender Party to compensation under Section 3.2, 3.3, or 3.5 hereof as promptly as practicable, but in any event within 180 days, after such Lender Party obtains actual knowledge thereof; provided, that (i) if such Lender Party fails to give such notice within 180 days after it obtains actual knowledge of such an event, such Lender Party shall, with respect to compensation payable pursuant to Section 3.2, 3.3, or 3.5 in respect of any costs resulting from such event, only be entitled to payment under Section 3.2, 3.3, or 3.5 hereof for costs incurred from and after the date 180 days prior to the date that such Lender Party does give such notice and (ii) such Lender Party will designate a different Applicable Lending Office for the Loans affected by such event if such designation will avoid the need for, or reduce the amount of, such compensation and will not, in the sole opinion of such Lender Party, be disadvantageous to such Lender Party, except that such Lender Party shall have no obligation to designate an Applicable Lending Office located in the United States of America. Each Lender Party will furnish to Borrower a certificate setting forth the basis and amount of each request by such Lender Party for compensation under Section 3.2, 3.3, or 3.5 hereof.</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Availability</w:t>
      </w:r>
      <w:r>
        <w:rPr>
          <w:rFonts w:ascii="Arial" w:cs="Arial" w:eastAsia="Arial" w:hAnsi="Arial"/>
          <w:sz w:val="17"/>
          <w:szCs w:val="17"/>
          <w:color w:val="auto"/>
        </w:rPr>
        <w:t>. If (a) any change in applicable Laws, or in the interpretation or administration thereof of or in any jurisdiction whatsoever, domestic or foreign, shall make it unlawful or impracticable for any Lender Party to fund or maintain Eurodollar Loans, or shall materially restrict the authority of any Lender Party to purchase or take offshore deposits of dollars (i.e., “Eurodollars”), or (b) any Lender Party determines that matching deposits appropriate to fund or maintain any Eurodollar Loan are not available to it, or (c) any Lender Party determines that the formula for calculating the Eurodollar Rate does not fairly reflect the cost to such Lender Party of making or maintaining loans based on such rate, with respect to the Commitment hereunder, then, upon notice by such Lender Party to Borrower and Administrative Agent, Borrower’s right to elect Eurodollar Loans from such Lender Party shall be suspended to the extent and for the duration of such illegality, impracticability or restriction and all Eurodollar Loans of such Lender Party which are then outstanding or are then the subject of any Borrowing Notice and which cannot lawfully or practicably be maintained, funded or accepted shall immediately become or remain, or shall be funded as, Base Rate Loans of such Lender Party. With respect to each Commitment, Borrower agrees to indemnify each Lender Party extending credit pursuant thereto, and hold each such Lender Party harmless against all costs, expenses, claims, penalties, liabilities and damages which may result from any such change in Law, interpretation or administration. Such indemnification shall be on an after-tax basis, taking into account any taxes imposed on the amounts paid as indemnity.</w:t>
      </w:r>
    </w:p>
    <w:p>
      <w:pPr>
        <w:sectPr>
          <w:pgSz w:w="11900" w:h="16838" w:orient="portrait"/>
          <w:cols w:equalWidth="0" w:num="1">
            <w:col w:w="11420"/>
          </w:cols>
          <w:pgMar w:left="240" w:top="125" w:right="239" w:bottom="0" w:gutter="0" w:footer="0" w:header="0"/>
        </w:sectPr>
      </w:pPr>
    </w:p>
    <w:bookmarkStart w:id="83" w:name="page84"/>
    <w:bookmarkEnd w:id="83"/>
    <w:p>
      <w:pPr>
        <w:spacing w:after="0" w:line="13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Funding Losses</w:t>
      </w:r>
      <w:r>
        <w:rPr>
          <w:rFonts w:ascii="Arial" w:cs="Arial" w:eastAsia="Arial" w:hAnsi="Arial"/>
          <w:sz w:val="16"/>
          <w:szCs w:val="16"/>
          <w:color w:val="auto"/>
        </w:rPr>
        <w:t>. In addition to its other obligations hereunder, with respect to each Commitment, Borrower will indemnify each Lender Party extending credit pursuant thereto against, and reimburse each Lender Party on demand for, any loss or expense incurred or sustained by such Lender Party (including any loss or expense incurred by reason of the liquidation or reemployment of deposits or other funds acquired by such Lender Party to fund or maintain Eurodollar Loans), as a result of (a) any payment or prepayment (whether or not authorized or required hereunder) of all or a portion of a Eurodollar Loan on a day other than the day on which the applicable Interest Period ends, (b) any payment or prepayment, whether or not required hereunder, of a Loan made after the delivery, but before the effective date, of a Continuation/Conversion Notice, if such payment or prepayment prevents such</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Continuation/Conversion Notice from becoming fully effective, (c) the failure of any Loan to be made or of any Continuation/Conversion Notice to become effective due to any condition precedent not being satisfied or due to any other action or inaction of any Restricted Person, or (d) any Conversion (whether or not authorized or required hereunder) of all or any portion of any Eurodollar Loan into a Base Rate Loan or into a different Eurodollar Loan on a day other than the day on which the applicable Interest Period ends. Such indemnification shall be on an after-tax basis, taking into account any taxes imposed on the amounts paid as indemnity.</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Reimbursable Taxes</w:t>
      </w:r>
      <w:r>
        <w:rPr>
          <w:rFonts w:ascii="Arial" w:cs="Arial" w:eastAsia="Arial" w:hAnsi="Arial"/>
          <w:sz w:val="18"/>
          <w:szCs w:val="18"/>
          <w:color w:val="auto"/>
        </w:rPr>
        <w:t>. With respect to the Commitments, Borrower covenants and agrees with each Lender Party extending credit pursuant thereto that:</w:t>
      </w:r>
    </w:p>
    <w:p>
      <w:pPr>
        <w:spacing w:after="0" w:line="170" w:lineRule="exact"/>
        <w:rPr>
          <w:sz w:val="20"/>
          <w:szCs w:val="20"/>
          <w:color w:val="auto"/>
        </w:rPr>
      </w:pPr>
    </w:p>
    <w:p>
      <w:pPr>
        <w:ind w:firstLine="656"/>
        <w:spacing w:after="0" w:line="272" w:lineRule="auto"/>
        <w:tabs>
          <w:tab w:leader="none" w:pos="1343" w:val="left"/>
        </w:tabs>
        <w:numPr>
          <w:ilvl w:val="0"/>
          <w:numId w:val="158"/>
        </w:numPr>
        <w:rPr>
          <w:rFonts w:ascii="Arial" w:cs="Arial" w:eastAsia="Arial" w:hAnsi="Arial"/>
          <w:sz w:val="17"/>
          <w:szCs w:val="17"/>
          <w:color w:val="auto"/>
        </w:rPr>
      </w:pPr>
      <w:r>
        <w:rPr>
          <w:rFonts w:ascii="Arial" w:cs="Arial" w:eastAsia="Arial" w:hAnsi="Arial"/>
          <w:sz w:val="17"/>
          <w:szCs w:val="17"/>
          <w:color w:val="auto"/>
        </w:rPr>
        <w:t>Borrower will indemnify each such Lender Party against and reimburse each such Lender Party for all present and future stamp and other taxes, duties, levies, imposts, deductions, charges, costs, and withholdings whatsoever imposed, assessed, levied or collected on or in respect of this Agreement, any Eurodollar Loans (whether or not legally or correctly imposed, assessed, levied or collected), excluding, however, any taxes imposed on or measured by the overall net income (however denominated) and franchise taxes imposed on (in lieu of income taxes) Administrative Agent or such Lender Party or any Applicable Lending Office of such Lender Party by any jurisdiction in which such Lender Party or any such Applicable Lending Office is located (all such non-excluded taxes, levies, costs and charges being collectively called “Reimbursable Taxes” in this section). Such indemnification shall be on an after-tax basis, taking into account any taxes imposed on the amounts paid as indemnity.</w:t>
      </w:r>
    </w:p>
    <w:p>
      <w:pPr>
        <w:spacing w:after="0" w:line="177" w:lineRule="exact"/>
        <w:rPr>
          <w:rFonts w:ascii="Arial" w:cs="Arial" w:eastAsia="Arial" w:hAnsi="Arial"/>
          <w:sz w:val="17"/>
          <w:szCs w:val="17"/>
          <w:color w:val="auto"/>
        </w:rPr>
      </w:pPr>
    </w:p>
    <w:p>
      <w:pPr>
        <w:ind w:right="80" w:firstLine="656"/>
        <w:spacing w:after="0" w:line="254" w:lineRule="auto"/>
        <w:tabs>
          <w:tab w:leader="none" w:pos="135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All payments on account of the principal of, and interest on, each such Lender Party’s Loans and Notes, and all other amounts payable by Borrower to any such Lender Party hereunder, shall be made in full without set-off or counterclaim and shall be made free and clear of and without deductions or withholdings of any nature by reason of any Reimbursable Taxes, all of which will be for the account of Borrower. In the event of Borrower being compelled by Law to make any such deduction or withholding from any payment to any such Lender Party, Borrower shall pay on the due date of such payment, by way of additional interest, such additional amounts as are needed to cause the amount receivable by such Lender Party after such deduction or withholding to equal the amount which would have been receivable in the absence of such deduction or withholding. If Borrower should make any deduction or withholding as aforesaid, Borrower shall within 60 days thereafter forward to such Lender Party an official receipt or other official document evidencing payment of such deduction or withholding.</w:t>
      </w:r>
    </w:p>
    <w:p>
      <w:pPr>
        <w:spacing w:after="0" w:line="192" w:lineRule="exact"/>
        <w:rPr>
          <w:rFonts w:ascii="Arial" w:cs="Arial" w:eastAsia="Arial" w:hAnsi="Arial"/>
          <w:sz w:val="18"/>
          <w:szCs w:val="18"/>
          <w:color w:val="auto"/>
        </w:rPr>
      </w:pPr>
    </w:p>
    <w:p>
      <w:pPr>
        <w:ind w:right="120" w:firstLine="656"/>
        <w:spacing w:after="0" w:line="264" w:lineRule="auto"/>
        <w:tabs>
          <w:tab w:leader="none" w:pos="134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Borrower is ever required to pay any Reimbursable Tax with respect to any Eurodollar Loan, Borrower may elect, by giving to Administrative Agent and such Lender Party not less than three Business Days’ notice, to Convert all (but not less than all) of any such Eurodollar Loan into a Base Rate Loan, but such election shall not diminish Borrower’s obligation to pay all Reimbursable Taxes.</w:t>
      </w:r>
    </w:p>
    <w:p>
      <w:pPr>
        <w:spacing w:after="0" w:line="181" w:lineRule="exact"/>
        <w:rPr>
          <w:rFonts w:ascii="Arial" w:cs="Arial" w:eastAsia="Arial" w:hAnsi="Arial"/>
          <w:sz w:val="18"/>
          <w:szCs w:val="18"/>
          <w:color w:val="auto"/>
        </w:rPr>
      </w:pPr>
    </w:p>
    <w:p>
      <w:pPr>
        <w:jc w:val="both"/>
        <w:ind w:right="140" w:firstLine="656"/>
        <w:spacing w:after="0" w:line="259" w:lineRule="auto"/>
        <w:tabs>
          <w:tab w:leader="none" w:pos="135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Borrower shall be entitled, to the extent it is required to do so by Law, to deduct or withhold (and not to make any indemnification or reimbursement for) income or other similar taxes imposed by the United States of America (other than any portion thereof attributable to a change in federal income tax Laws effected after the date hereof) from interest, fees or other amounts payable hereunder for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account of such Lender Party, other than such a Lender Party (i) who is a US person for Federal income tax purposes or (ii) who has the Prescribed Forms on file with Administrative Agent (with copies provided to Borrower) for the applicable year to the extent deduction or withholding of such taxes is not required as a result of the filing of such Prescribed Forms, provided that if Borrower shall so deduct or withhold any such taxes, it shall provide a statement to Administrative Agent and such Lender Party, setting forth the amount of such taxes so deducted or withheld, the applicable rate and any other information or documentation which such Lender Party may reasonably request for assisting such Lender Party to obtain any allowable credits or deductions for the taxes so deducted or withheld in the jurisdiction or jurisdictions in which such Lender Party is subject to tax. As used in this section, “Prescribed Forms” means such duly executed forms or statements, and in such number of copies, which may, from time to time, be prescribed by Law and which, pursuant to applicable provisions of (x) an income tax treaty between the United States and the country of residence of such Lender Party providing the forms or statements, (y) the Code, or (z) any applicable rules or regulations thereunder, permit Borrower to make payments hereunder for the account of such Lender Party free of such deduction or withholding of income or similar taxes.</w:t>
      </w:r>
    </w:p>
    <w:p>
      <w:pPr>
        <w:spacing w:after="0" w:line="178"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u w:val="single" w:color="auto"/>
          <w:color w:val="auto"/>
        </w:rPr>
        <w:t>Replacement of Lenders</w:t>
      </w:r>
      <w:r>
        <w:rPr>
          <w:rFonts w:ascii="Arial" w:cs="Arial" w:eastAsia="Arial" w:hAnsi="Arial"/>
          <w:sz w:val="16"/>
          <w:szCs w:val="16"/>
          <w:color w:val="auto"/>
        </w:rPr>
        <w:t>. If any Lender Party requests compensation under Sections 3.2 through 3.7, or if any Lender Party has failed to fund any portion of the Loans required to be funded by it hereunder within two Business Days of the date required for such funding hereunder, notwithstanding subsequent cure, then Borrower may, at its sole expense (except as otherwise provided hereunder) and effort, upon notice to such Lender Party and Administrative Agent, require such Lender Party to assign and delegate (in accordance with and subject to the restrictions contained in, and consents required by, Section 10.5), all of its interests, rights and obligations under this Agreement and the related Loan Documents to an assignee that shall assume such obligations (which assignee may be another Lender Party, if a Lender Party accepts such assignment), provided that:</w:t>
      </w:r>
    </w:p>
    <w:p>
      <w:pPr>
        <w:spacing w:after="0" w:line="165" w:lineRule="exact"/>
        <w:rPr>
          <w:sz w:val="20"/>
          <w:szCs w:val="20"/>
          <w:color w:val="auto"/>
        </w:rPr>
      </w:pPr>
    </w:p>
    <w:p>
      <w:pPr>
        <w:ind w:right="80" w:firstLine="656"/>
        <w:spacing w:after="0" w:line="286" w:lineRule="auto"/>
        <w:tabs>
          <w:tab w:leader="none" w:pos="1343" w:val="left"/>
        </w:tabs>
        <w:numPr>
          <w:ilvl w:val="0"/>
          <w:numId w:val="159"/>
        </w:numPr>
        <w:rPr>
          <w:rFonts w:ascii="Arial" w:cs="Arial" w:eastAsia="Arial" w:hAnsi="Arial"/>
          <w:sz w:val="17"/>
          <w:szCs w:val="17"/>
          <w:color w:val="auto"/>
        </w:rPr>
      </w:pPr>
      <w:r>
        <w:rPr>
          <w:rFonts w:ascii="Arial" w:cs="Arial" w:eastAsia="Arial" w:hAnsi="Arial"/>
          <w:sz w:val="17"/>
          <w:szCs w:val="17"/>
          <w:color w:val="auto"/>
        </w:rPr>
        <w:t>such Lender Party shall have received payment of an amount equal to the outstanding principal of its Loans, accrued interest thereon, accrued fees and all other amounts payable to it hereunder and under the other Loan Documents (including any amounts under Section 3.6) from the assignee (to the extent of such outstanding principal and accrued interest and fees) Borrower (in the case of all other amounts); and</w:t>
      </w:r>
    </w:p>
    <w:p>
      <w:pPr>
        <w:spacing w:after="0" w:line="165" w:lineRule="exact"/>
        <w:rPr>
          <w:rFonts w:ascii="Arial" w:cs="Arial" w:eastAsia="Arial" w:hAnsi="Arial"/>
          <w:sz w:val="17"/>
          <w:szCs w:val="17"/>
          <w:color w:val="auto"/>
        </w:rPr>
      </w:pPr>
    </w:p>
    <w:p>
      <w:pPr>
        <w:ind w:left="1360" w:hanging="704"/>
        <w:spacing w:after="0"/>
        <w:tabs>
          <w:tab w:leader="none" w:pos="13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w:t>
      </w:r>
    </w:p>
    <w:p>
      <w:pPr>
        <w:spacing w:after="0" w:line="22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Notwithstanding the foregoing rights of Borrower under this section, however, Borrower may not replace any Lender Party which seeks reimbursement for increased costs under Section 3.2 through 3.7 unless Borrower is at the same time replacing all Lender Parties which are then seeking such compensation.</w:t>
      </w:r>
    </w:p>
    <w:p>
      <w:pPr>
        <w:sectPr>
          <w:pgSz w:w="11900" w:h="16975" w:orient="portrait"/>
          <w:cols w:equalWidth="0" w:num="1">
            <w:col w:w="11420"/>
          </w:cols>
          <w:pgMar w:left="240" w:top="125" w:right="239" w:bottom="0" w:gutter="0" w:footer="0" w:header="0"/>
        </w:sectPr>
      </w:pPr>
    </w:p>
    <w:bookmarkStart w:id="84" w:name="page85"/>
    <w:bookmarkEnd w:id="84"/>
    <w:p>
      <w:pPr>
        <w:ind w:left="660"/>
        <w:spacing w:after="0"/>
        <w:tabs>
          <w:tab w:leader="none" w:pos="2040" w:val="left"/>
        </w:tabs>
        <w:rPr>
          <w:sz w:val="20"/>
          <w:szCs w:val="20"/>
          <w:color w:val="auto"/>
        </w:rPr>
      </w:pPr>
      <w:r>
        <w:rPr>
          <w:rFonts w:ascii="Arial" w:cs="Arial" w:eastAsia="Arial" w:hAnsi="Arial"/>
          <w:sz w:val="18"/>
          <w:szCs w:val="18"/>
          <w:color w:val="auto"/>
        </w:rPr>
        <w:t>Section 3.9.</w:t>
      </w:r>
      <w:r>
        <w:rPr>
          <w:sz w:val="20"/>
          <w:szCs w:val="20"/>
          <w:color w:val="auto"/>
        </w:rPr>
        <w:tab/>
      </w:r>
      <w:r>
        <w:rPr>
          <w:rFonts w:ascii="Arial" w:cs="Arial" w:eastAsia="Arial" w:hAnsi="Arial"/>
          <w:sz w:val="16"/>
          <w:szCs w:val="16"/>
          <w:u w:val="single" w:color="auto"/>
          <w:color w:val="auto"/>
        </w:rPr>
        <w:t>Currency Conversion and Indemnity</w:t>
      </w:r>
      <w:r>
        <w:rPr>
          <w:rFonts w:ascii="Arial" w:cs="Arial" w:eastAsia="Arial" w:hAnsi="Arial"/>
          <w:sz w:val="16"/>
          <w:szCs w:val="16"/>
          <w:color w:val="auto"/>
        </w:rPr>
        <w:t>.</w:t>
      </w:r>
    </w:p>
    <w:p>
      <w:pPr>
        <w:spacing w:after="0" w:line="225" w:lineRule="exact"/>
        <w:rPr>
          <w:sz w:val="20"/>
          <w:szCs w:val="20"/>
          <w:color w:val="auto"/>
        </w:rPr>
      </w:pPr>
    </w:p>
    <w:p>
      <w:pPr>
        <w:ind w:right="360" w:firstLine="656"/>
        <w:spacing w:after="0" w:line="264" w:lineRule="auto"/>
        <w:tabs>
          <w:tab w:leader="none" w:pos="134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for the purpose of obtaining or enforcing judgment in any court in any jurisdiction, it becomes necessary to convert into a particular currency (the “</w:t>
      </w:r>
      <w:r>
        <w:rPr>
          <w:rFonts w:ascii="Arial" w:cs="Arial" w:eastAsia="Arial" w:hAnsi="Arial"/>
          <w:sz w:val="18"/>
          <w:szCs w:val="18"/>
          <w:u w:val="single" w:color="auto"/>
          <w:color w:val="auto"/>
        </w:rPr>
        <w:t>Judgment Currency</w:t>
      </w:r>
      <w:r>
        <w:rPr>
          <w:rFonts w:ascii="Arial" w:cs="Arial" w:eastAsia="Arial" w:hAnsi="Arial"/>
          <w:sz w:val="18"/>
          <w:szCs w:val="18"/>
          <w:color w:val="auto"/>
        </w:rPr>
        <w:t>”) any amount due under a Loan Document in the currency in which it was effected (the “</w:t>
      </w:r>
      <w:r>
        <w:rPr>
          <w:rFonts w:ascii="Arial" w:cs="Arial" w:eastAsia="Arial" w:hAnsi="Arial"/>
          <w:sz w:val="18"/>
          <w:szCs w:val="18"/>
          <w:u w:val="single" w:color="auto"/>
          <w:color w:val="auto"/>
        </w:rPr>
        <w:t>Agreed Currency</w:t>
      </w:r>
      <w:r>
        <w:rPr>
          <w:rFonts w:ascii="Arial" w:cs="Arial" w:eastAsia="Arial" w:hAnsi="Arial"/>
          <w:sz w:val="18"/>
          <w:szCs w:val="18"/>
          <w:color w:val="auto"/>
        </w:rPr>
        <w:t>”) then the conversion shall be made on the basis of the rate of exchange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prevailing on the Business Day preceding the date such judgment is given and in any event each Restricted Person obligated to pay such Obligation shall be obligated to pay the relevant Lender Parties any deficiency in accordance with Section 3.9(b). For the foregoing purposes “rate of exchange” means the rate at which Administrative Agent in accordance with its normal banking procedures is able on the relevant date to purchase the Agreed Currency with the Judgment Currency after deducting any premium and costs of exchange.</w:t>
      </w:r>
    </w:p>
    <w:p>
      <w:pPr>
        <w:spacing w:after="0" w:line="187" w:lineRule="exact"/>
        <w:rPr>
          <w:sz w:val="20"/>
          <w:szCs w:val="20"/>
          <w:color w:val="auto"/>
        </w:rPr>
      </w:pPr>
    </w:p>
    <w:p>
      <w:pPr>
        <w:ind w:right="20" w:firstLine="656"/>
        <w:spacing w:after="0" w:line="289" w:lineRule="auto"/>
        <w:tabs>
          <w:tab w:leader="none" w:pos="1353"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If any Lender Party receives any payment or payments on account of the liability of a Restricted Person under the Loan Documents pursuant to any judgment or order in any currency other than the Agreed Currency (an “</w:t>
      </w:r>
      <w:r>
        <w:rPr>
          <w:rFonts w:ascii="Arial" w:cs="Arial" w:eastAsia="Arial" w:hAnsi="Arial"/>
          <w:sz w:val="16"/>
          <w:szCs w:val="16"/>
          <w:u w:val="single" w:color="auto"/>
          <w:color w:val="auto"/>
        </w:rPr>
        <w:t>Other Currency</w:t>
      </w:r>
      <w:r>
        <w:rPr>
          <w:rFonts w:ascii="Arial" w:cs="Arial" w:eastAsia="Arial" w:hAnsi="Arial"/>
          <w:sz w:val="16"/>
          <w:szCs w:val="16"/>
          <w:color w:val="auto"/>
        </w:rPr>
        <w:t>”), and the amount of the Agreed Currency which the relevant Lender Party is able to purchase on the Business Day next following such receipt with the proceeds of such payment or payments in accordance with its normal procedures and after deducting any premiums and costs of exchange is less than the amount of the Agreed Currency due in respect of such Obligations immediately prior to such judgment or order, then Borrower on demand shall, and Borrower hereby agrees to, indemnify and save such Lender Party harmless from and against any loss, cost or expense arising out of or in connection with such deficiency. The agreement of indemnity provided for in this Section 3.9(b) shall constitute an obligation separate and independent from all other obligations contained in this Agreement, shall give rise to a separate and independent cause of action, shall apply irrespective of any indulgence granted by the Lender Parties or any of them from time to time, and shall continue in full force and effect notwithstanding any judgment or order for a liquidated sum in respect of an amount due hereunder or under any judgment or order.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 - Conditions Precedent to Lending</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Documents to be Delivered – Closing Date</w:t>
      </w:r>
      <w:r>
        <w:rPr>
          <w:rFonts w:ascii="Arial" w:cs="Arial" w:eastAsia="Arial" w:hAnsi="Arial"/>
          <w:sz w:val="18"/>
          <w:szCs w:val="18"/>
          <w:color w:val="auto"/>
        </w:rPr>
        <w:t>. No Lender has any obligation to make its Initial Loan, and this Agreement shall not be effective, unless Administrative Agent shall have received all of the following, at Administrative Agent’s office in New York, New York, duly executed and delivered and in form, substance and date satisfactory to Administrative Agent (the receipt of which by Administrative Agent shall be evidenced by it notification of the effectiveness hereof):</w:t>
      </w:r>
    </w:p>
    <w:p>
      <w:pPr>
        <w:spacing w:after="0" w:line="187" w:lineRule="exact"/>
        <w:rPr>
          <w:sz w:val="20"/>
          <w:szCs w:val="20"/>
          <w:color w:val="auto"/>
        </w:rPr>
      </w:pPr>
    </w:p>
    <w:p>
      <w:pPr>
        <w:ind w:left="1360" w:hanging="704"/>
        <w:spacing w:after="0"/>
        <w:tabs>
          <w:tab w:leader="none" w:pos="13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This Agreement and any other document that Lenders are to execute in connection herewith.</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Each Note and the guaranty of each Guarantor.</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Certain certificates including:</w:t>
      </w:r>
    </w:p>
    <w:p>
      <w:pPr>
        <w:spacing w:after="0" w:line="225" w:lineRule="exact"/>
        <w:rPr>
          <w:rFonts w:ascii="Arial" w:cs="Arial" w:eastAsia="Arial" w:hAnsi="Arial"/>
          <w:sz w:val="18"/>
          <w:szCs w:val="18"/>
          <w:color w:val="auto"/>
        </w:rPr>
      </w:pPr>
    </w:p>
    <w:p>
      <w:pPr>
        <w:jc w:val="both"/>
        <w:ind w:left="660" w:firstLine="645"/>
        <w:spacing w:after="0" w:line="276" w:lineRule="auto"/>
        <w:tabs>
          <w:tab w:leader="none" w:pos="2018" w:val="left"/>
        </w:tabs>
        <w:numPr>
          <w:ilvl w:val="1"/>
          <w:numId w:val="162"/>
        </w:numPr>
        <w:rPr>
          <w:rFonts w:ascii="Arial" w:cs="Arial" w:eastAsia="Arial" w:hAnsi="Arial"/>
          <w:sz w:val="17"/>
          <w:szCs w:val="17"/>
          <w:color w:val="auto"/>
        </w:rPr>
      </w:pPr>
      <w:r>
        <w:rPr>
          <w:rFonts w:ascii="Arial" w:cs="Arial" w:eastAsia="Arial" w:hAnsi="Arial"/>
          <w:sz w:val="17"/>
          <w:szCs w:val="17"/>
          <w:color w:val="auto"/>
        </w:rPr>
        <w:t>An “Omnibus Certificate” of the secretary or assistant secretary and any vice president of GP LLC, which shall contain the names and signatures of the officers of GP LLC authorized to execute Loan Documents and which shall certify to the truth, correctness and completeness of the following exhibits attached thereto: (1) a copy of resolutions duly adopted by the Board and in full force and effect at the time this Agreement is entered into, authorizing the execution of this Agreement and the other Loan Documents delivered or to be delivered in connection herewith and the consummation of the transactions contemplated herein and therein, (2) a copy of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charter documents of Borrower and all amendments thereto, certified by the appropriate official of its jurisdiction of organization, and (3) a copy of the agreement of limited partnership of Borrower;</w:t>
      </w:r>
    </w:p>
    <w:p>
      <w:pPr>
        <w:spacing w:after="0" w:line="170" w:lineRule="exact"/>
        <w:rPr>
          <w:sz w:val="20"/>
          <w:szCs w:val="20"/>
          <w:color w:val="auto"/>
        </w:rPr>
      </w:pPr>
    </w:p>
    <w:p>
      <w:pPr>
        <w:ind w:left="660" w:firstLine="645"/>
        <w:spacing w:after="0" w:line="271" w:lineRule="auto"/>
        <w:tabs>
          <w:tab w:leader="none" w:pos="2023" w:val="left"/>
        </w:tabs>
        <w:numPr>
          <w:ilvl w:val="1"/>
          <w:numId w:val="163"/>
        </w:numPr>
        <w:rPr>
          <w:rFonts w:ascii="Arial" w:cs="Arial" w:eastAsia="Arial" w:hAnsi="Arial"/>
          <w:sz w:val="17"/>
          <w:szCs w:val="17"/>
          <w:color w:val="auto"/>
        </w:rPr>
      </w:pPr>
      <w:r>
        <w:rPr>
          <w:rFonts w:ascii="Arial" w:cs="Arial" w:eastAsia="Arial" w:hAnsi="Arial"/>
          <w:sz w:val="17"/>
          <w:szCs w:val="17"/>
          <w:color w:val="auto"/>
        </w:rPr>
        <w:t>An “Omnibus Certificate” of the secretary or assistant secretary and any vice president of Plains Marketing GP Inc., which shall contain the names and signatures of the officers of such company authorized to execute Loan Documents and which shall certify to the truth, correctness and completeness of the following exhibits attached thereto: (1) a copy of resolutions duly adopted by the board of directors of such company and in full force and effect at the time this Agreement is entered into, authorizing the execution of the Loan Documents delivered or to be delivered in connection herewith and the consummation of the transactions contemplated therein, (2) a copy of the charter documents of each Significant Restricted Person, other than those Significant Restricted Persons whose charter documents are attached to the certificates described in Section 4.1(c)(i) above or Section 4.1(c)(iii) below and all amendments thereto, certified by the appropriate official of its jurisdiction of organization, and (3) a copy of any bylaws or agreement of limited partnership of such Significant Restricted Persons;</w:t>
      </w:r>
    </w:p>
    <w:p>
      <w:pPr>
        <w:spacing w:after="0" w:line="178" w:lineRule="exact"/>
        <w:rPr>
          <w:rFonts w:ascii="Arial" w:cs="Arial" w:eastAsia="Arial" w:hAnsi="Arial"/>
          <w:sz w:val="17"/>
          <w:szCs w:val="17"/>
          <w:color w:val="auto"/>
        </w:rPr>
      </w:pPr>
    </w:p>
    <w:p>
      <w:pPr>
        <w:ind w:left="660" w:right="100" w:firstLine="645"/>
        <w:spacing w:after="0" w:line="271" w:lineRule="auto"/>
        <w:tabs>
          <w:tab w:leader="none" w:pos="2028" w:val="left"/>
        </w:tabs>
        <w:numPr>
          <w:ilvl w:val="1"/>
          <w:numId w:val="163"/>
        </w:numPr>
        <w:rPr>
          <w:rFonts w:ascii="Arial" w:cs="Arial" w:eastAsia="Arial" w:hAnsi="Arial"/>
          <w:sz w:val="17"/>
          <w:szCs w:val="17"/>
          <w:color w:val="auto"/>
        </w:rPr>
      </w:pPr>
      <w:r>
        <w:rPr>
          <w:rFonts w:ascii="Arial" w:cs="Arial" w:eastAsia="Arial" w:hAnsi="Arial"/>
          <w:sz w:val="17"/>
          <w:szCs w:val="17"/>
          <w:color w:val="auto"/>
        </w:rPr>
        <w:t>An “Omnibus Certificate” of the secretary or assistant secretary and any vice president of PMC (Nova Scotia) Company, which shall contain the names and signatures of the officers of PMC (Nova Scotia) Company authorized to execute Loan Documents and which shall certify to the truth, correctness and completeness of the following exhibits attached thereto: (1) a copy of resolutions duly adopted by the board of directors of PMC (Nova Scotia) Company and in full force and effect at the time this Agreement is entered into, authorizing the execution of the Loan Documents delivered or to be delivered in connection herewith and the consummation of the transactions contemplated therein, (2) a copy of the charter documents of PMC (Nova Scotia) Company and Plains Marketing Canada, L.P. and all amendments thereto, certified by the appropriate official of its jurisdiction of organization, and (3) a copy of the bylaws of PMC (Nova Scotia) Company and the agreement of limited partnership of Plains Marketing Canada, L.P.; and</w:t>
      </w:r>
    </w:p>
    <w:p>
      <w:pPr>
        <w:spacing w:after="0" w:line="178" w:lineRule="exact"/>
        <w:rPr>
          <w:rFonts w:ascii="Arial" w:cs="Arial" w:eastAsia="Arial" w:hAnsi="Arial"/>
          <w:sz w:val="17"/>
          <w:szCs w:val="17"/>
          <w:color w:val="auto"/>
        </w:rPr>
      </w:pPr>
    </w:p>
    <w:p>
      <w:pPr>
        <w:ind w:left="2020" w:hanging="715"/>
        <w:spacing w:after="0"/>
        <w:tabs>
          <w:tab w:leader="none" w:pos="20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 certificate of a Responsible Officer of GP LLC, regarding satisfaction of Section 4.2.</w:t>
      </w:r>
    </w:p>
    <w:p>
      <w:pPr>
        <w:spacing w:after="0" w:line="225" w:lineRule="exact"/>
        <w:rPr>
          <w:rFonts w:ascii="Arial" w:cs="Arial" w:eastAsia="Arial" w:hAnsi="Arial"/>
          <w:sz w:val="18"/>
          <w:szCs w:val="18"/>
          <w:color w:val="auto"/>
        </w:rPr>
      </w:pPr>
    </w:p>
    <w:p>
      <w:pPr>
        <w:ind w:right="60" w:firstLine="656"/>
        <w:spacing w:after="0" w:line="277" w:lineRule="auto"/>
        <w:tabs>
          <w:tab w:leader="none" w:pos="135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certificate (or certificates) of the due formation, valid existence and good standing of each Significant Restricted Person in its respective jurisdiction of organization, issued by the appropriate authorities of such jurisdiction.</w:t>
      </w:r>
    </w:p>
    <w:p>
      <w:pPr>
        <w:sectPr>
          <w:pgSz w:w="11900" w:h="16838" w:orient="portrait"/>
          <w:cols w:equalWidth="0" w:num="1">
            <w:col w:w="11400"/>
          </w:cols>
          <w:pgMar w:left="240" w:top="341" w:right="259" w:bottom="0" w:gutter="0" w:footer="0" w:header="0"/>
        </w:sectPr>
      </w:pPr>
    </w:p>
    <w:bookmarkStart w:id="85" w:name="page86"/>
    <w:bookmarkEnd w:id="85"/>
    <w:p>
      <w:pPr>
        <w:spacing w:after="0" w:line="90" w:lineRule="exact"/>
        <w:rPr>
          <w:sz w:val="20"/>
          <w:szCs w:val="20"/>
          <w:color w:val="auto"/>
        </w:rPr>
      </w:pPr>
    </w:p>
    <w:p>
      <w:pPr>
        <w:ind w:right="100" w:firstLine="656"/>
        <w:spacing w:after="0" w:line="264" w:lineRule="auto"/>
        <w:tabs>
          <w:tab w:leader="none" w:pos="134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Favorable opinions of Tim Moore, Esq., General Counsel for Restricted Persons, substantially in the form set forth in Exhibit E-1, Fulbright &amp; Jaworski L.L.P., special Texas and New York counsel to Restricted Persons, substantially in the form set forth in Exhibit E-2, and Bennett Jones LLP, special Canadian Counsel for Restricted Persons, substantially in the form set forth in Exhibit E-3.</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77" w:lineRule="auto"/>
        <w:tabs>
          <w:tab w:leader="none" w:pos="136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Consolidated financial statements of Borrower and its Subsidiaries as of March 31, 2006, reflecting compliance with Section 7.8, together with a certificate by a Responsible Officer of GP LLC certifying such financial statements.</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No Material Adverse Change shall have occurred since December 31, 2005.</w:t>
      </w:r>
    </w:p>
    <w:p>
      <w:pPr>
        <w:spacing w:after="0" w:line="225" w:lineRule="exact"/>
        <w:rPr>
          <w:rFonts w:ascii="Arial" w:cs="Arial" w:eastAsia="Arial" w:hAnsi="Arial"/>
          <w:sz w:val="18"/>
          <w:szCs w:val="18"/>
          <w:color w:val="auto"/>
        </w:rPr>
      </w:pPr>
    </w:p>
    <w:p>
      <w:pPr>
        <w:ind w:right="220" w:firstLine="656"/>
        <w:spacing w:after="0" w:line="273" w:lineRule="auto"/>
        <w:tabs>
          <w:tab w:leader="none" w:pos="1353"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Administrative Agent shall have received all documents and instruments which Administrative Agent has then requested (including opinions of legal counsel for Restricted Persons and Administrative Agent; corporate documents and records; documents evidencing governmental authorizations, consents, approvals, licenses and exemptions; and certificates of public officials and of officers and representatives of Borrower and other Persons), as to (i) the accuracy and validity of or compliance with all representations, warranties and covenants made by any Restricted Person in this Agreement and the other Loan Documents, (ii) the satisfaction of all conditions contained herein or therein, and (iii) all other matters pertaining hereto and thereto. All such additional documents and instruments shall be satisfactory to Administrative Agent in form and substance.</w:t>
      </w:r>
    </w:p>
    <w:p>
      <w:pPr>
        <w:spacing w:after="0" w:line="178" w:lineRule="exact"/>
        <w:rPr>
          <w:rFonts w:ascii="Arial" w:cs="Arial" w:eastAsia="Arial" w:hAnsi="Arial"/>
          <w:sz w:val="17"/>
          <w:szCs w:val="17"/>
          <w:color w:val="auto"/>
        </w:rPr>
      </w:pPr>
    </w:p>
    <w:p>
      <w:pPr>
        <w:ind w:right="380" w:firstLine="656"/>
        <w:spacing w:after="0" w:line="277" w:lineRule="auto"/>
        <w:tabs>
          <w:tab w:leader="none" w:pos="135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Payment of all commitment, facility, agency and other fees required to be paid to Administrative Agent or any Lender pursuant to any Loan Documents or any commitment agreement heretofore entered into.</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Without limiting the generality of the provisions of Section 9.4, for purposes of determining compliance with the conditions specified in this Section 4.1, each Lender that has signed this Agreement shall be deemed to have consented to, approved or accepted or to be satisfied with, each document or other matter required thereunder to be consented to or approved by or acceptable or satisfactory to a Lender unless Administrative Agent shall have received notice from such Lender prior to the proposed Closing Date specifying its objection thereto, and Administrative Agent hereby agrees to promptly provide Borrower with a copy of any such notice received by Administrative Agent.</w:t>
      </w:r>
    </w:p>
    <w:p>
      <w:pPr>
        <w:spacing w:after="0" w:line="18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Additional Conditions Precedent</w:t>
      </w:r>
      <w:r>
        <w:rPr>
          <w:rFonts w:ascii="Arial" w:cs="Arial" w:eastAsia="Arial" w:hAnsi="Arial"/>
          <w:sz w:val="18"/>
          <w:szCs w:val="18"/>
          <w:color w:val="auto"/>
        </w:rPr>
        <w:t>. No Lender has any obligation to make any Loan (including its Initial Loan), unless the following conditions precedent have been satisfied:</w:t>
      </w:r>
    </w:p>
    <w:p>
      <w:pPr>
        <w:spacing w:after="0" w:line="170" w:lineRule="exact"/>
        <w:rPr>
          <w:sz w:val="20"/>
          <w:szCs w:val="20"/>
          <w:color w:val="auto"/>
        </w:rPr>
      </w:pPr>
    </w:p>
    <w:p>
      <w:pPr>
        <w:ind w:firstLine="656"/>
        <w:spacing w:after="0" w:line="312" w:lineRule="auto"/>
        <w:tabs>
          <w:tab w:leader="none" w:pos="1343"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All representations and warranties made by any Restricted Person in any Loan Document shall be true on and as of the date of such Loan as if such representations and warranties had been made as of the date of such Loan except to the extent that such representation or warranty was made as of a specific date or updated, modified or supplemented as of a subsequent date with the consent of Majority Lenders, then in each such case, such other date.</w:t>
      </w:r>
    </w:p>
    <w:p>
      <w:pPr>
        <w:spacing w:after="0" w:line="146" w:lineRule="exact"/>
        <w:rPr>
          <w:rFonts w:ascii="Arial" w:cs="Arial" w:eastAsia="Arial" w:hAnsi="Arial"/>
          <w:sz w:val="16"/>
          <w:szCs w:val="16"/>
          <w:color w:val="auto"/>
        </w:rPr>
      </w:pPr>
    </w:p>
    <w:p>
      <w:pPr>
        <w:ind w:left="1360" w:hanging="704"/>
        <w:spacing w:after="0"/>
        <w:tabs>
          <w:tab w:leader="none" w:pos="13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 Default shall exist at the date of such Loan or result from such Loan.</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Initial Funding Date – Conditions Precedent</w:t>
      </w:r>
      <w:r>
        <w:rPr>
          <w:rFonts w:ascii="Arial" w:cs="Arial" w:eastAsia="Arial" w:hAnsi="Arial"/>
          <w:sz w:val="18"/>
          <w:szCs w:val="18"/>
          <w:color w:val="auto"/>
        </w:rPr>
        <w:t>. No Lender has any obligation to make its Initial Loan unless the following conditions precedent have been satisfied:</w:t>
      </w:r>
    </w:p>
    <w:p>
      <w:pPr>
        <w:spacing w:after="0" w:line="170" w:lineRule="exact"/>
        <w:rPr>
          <w:sz w:val="20"/>
          <w:szCs w:val="20"/>
          <w:color w:val="auto"/>
        </w:rPr>
      </w:pPr>
    </w:p>
    <w:p>
      <w:pPr>
        <w:ind w:right="260" w:firstLine="656"/>
        <w:spacing w:after="0" w:line="277" w:lineRule="auto"/>
        <w:tabs>
          <w:tab w:leader="none" w:pos="134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Administrative Agent shall have received copies of the PPX Acquisition Documents and any other related documents as Administrative Agent may reasonably request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and a certificate of a Responsible Officer of GP LLC dated the Initial Funding Date certifying as to Borrower’s representations and warranties set forth in Section 4.3(b).</w:t>
      </w:r>
    </w:p>
    <w:p>
      <w:pPr>
        <w:spacing w:after="0" w:line="170" w:lineRule="exact"/>
        <w:rPr>
          <w:sz w:val="20"/>
          <w:szCs w:val="20"/>
          <w:color w:val="auto"/>
        </w:rPr>
      </w:pPr>
    </w:p>
    <w:p>
      <w:pPr>
        <w:ind w:left="1360" w:hanging="704"/>
        <w:spacing w:after="0"/>
        <w:tabs>
          <w:tab w:leader="none" w:pos="13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following representations and warranties of Borrower shall be true on and as of the Initial Funding Date:</w:t>
      </w:r>
    </w:p>
    <w:p>
      <w:pPr>
        <w:spacing w:after="0" w:line="225" w:lineRule="exact"/>
        <w:rPr>
          <w:rFonts w:ascii="Arial" w:cs="Arial" w:eastAsia="Arial" w:hAnsi="Arial"/>
          <w:sz w:val="18"/>
          <w:szCs w:val="18"/>
          <w:color w:val="auto"/>
        </w:rPr>
      </w:pPr>
    </w:p>
    <w:p>
      <w:pPr>
        <w:ind w:left="660" w:right="600" w:firstLine="645"/>
        <w:spacing w:after="0" w:line="277" w:lineRule="auto"/>
        <w:tabs>
          <w:tab w:leader="none" w:pos="1523"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copies of the PPX Acquisition Documents delivered pursuant to Section 4.3(a) are accurate and complete and represent in all material respects the complete understanding and agreement of the parties thereto,</w:t>
      </w:r>
    </w:p>
    <w:p>
      <w:pPr>
        <w:spacing w:after="0" w:line="170" w:lineRule="exact"/>
        <w:rPr>
          <w:rFonts w:ascii="Arial" w:cs="Arial" w:eastAsia="Arial" w:hAnsi="Arial"/>
          <w:sz w:val="18"/>
          <w:szCs w:val="18"/>
          <w:color w:val="auto"/>
        </w:rPr>
      </w:pPr>
    </w:p>
    <w:p>
      <w:pPr>
        <w:ind w:left="660" w:right="320" w:firstLine="645"/>
        <w:spacing w:after="0" w:line="277" w:lineRule="auto"/>
        <w:tabs>
          <w:tab w:leader="none" w:pos="1573" w:val="left"/>
        </w:tabs>
        <w:numPr>
          <w:ilvl w:val="1"/>
          <w:numId w:val="169"/>
        </w:numPr>
        <w:rPr>
          <w:rFonts w:ascii="Arial" w:cs="Arial" w:eastAsia="Arial" w:hAnsi="Arial"/>
          <w:sz w:val="18"/>
          <w:szCs w:val="18"/>
          <w:color w:val="auto"/>
        </w:rPr>
      </w:pPr>
      <w:r>
        <w:rPr>
          <w:rFonts w:ascii="Arial" w:cs="Arial" w:eastAsia="Arial" w:hAnsi="Arial"/>
          <w:sz w:val="18"/>
          <w:szCs w:val="18"/>
          <w:color w:val="auto"/>
        </w:rPr>
        <w:t>Borrower has obtained all material approvals required by the United States Federal Trade Commission, the California Public Utility Commission or any other Governmental Authority,</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623" w:val="left"/>
        </w:tabs>
        <w:numPr>
          <w:ilvl w:val="1"/>
          <w:numId w:val="169"/>
        </w:numPr>
        <w:rPr>
          <w:rFonts w:ascii="Arial" w:cs="Arial" w:eastAsia="Arial" w:hAnsi="Arial"/>
          <w:sz w:val="18"/>
          <w:szCs w:val="18"/>
          <w:color w:val="auto"/>
        </w:rPr>
      </w:pPr>
      <w:r>
        <w:rPr>
          <w:rFonts w:ascii="Arial" w:cs="Arial" w:eastAsia="Arial" w:hAnsi="Arial"/>
          <w:sz w:val="18"/>
          <w:szCs w:val="18"/>
          <w:color w:val="auto"/>
        </w:rPr>
        <w:t>subject only to the making of the Initial Loans and application of the proceeds thereof, all conditions precedent to the consummation of the PPX Acquisition under the PPX Acquisition Documents have been satisfied or waived,</w:t>
      </w:r>
    </w:p>
    <w:p>
      <w:pPr>
        <w:spacing w:after="0" w:line="170" w:lineRule="exact"/>
        <w:rPr>
          <w:rFonts w:ascii="Arial" w:cs="Arial" w:eastAsia="Arial" w:hAnsi="Arial"/>
          <w:sz w:val="18"/>
          <w:szCs w:val="18"/>
          <w:color w:val="auto"/>
        </w:rPr>
      </w:pPr>
    </w:p>
    <w:p>
      <w:pPr>
        <w:ind w:left="660" w:right="120" w:firstLine="645"/>
        <w:spacing w:after="0" w:line="264" w:lineRule="auto"/>
        <w:tabs>
          <w:tab w:leader="none" w:pos="1613" w:val="left"/>
        </w:tabs>
        <w:numPr>
          <w:ilvl w:val="1"/>
          <w:numId w:val="169"/>
        </w:numPr>
        <w:rPr>
          <w:rFonts w:ascii="Arial" w:cs="Arial" w:eastAsia="Arial" w:hAnsi="Arial"/>
          <w:sz w:val="18"/>
          <w:szCs w:val="18"/>
          <w:color w:val="auto"/>
        </w:rPr>
      </w:pPr>
      <w:r>
        <w:rPr>
          <w:rFonts w:ascii="Arial" w:cs="Arial" w:eastAsia="Arial" w:hAnsi="Arial"/>
          <w:sz w:val="18"/>
          <w:szCs w:val="18"/>
          <w:color w:val="auto"/>
        </w:rPr>
        <w:t>substantially contemporaneously with the making of the Initial Loans, the plan of merger included within the PPX Acquisition Documents is to be filed and pursuant thereto the PPX Acquisition is to be consummated in compliance with the terms and conditions thereof in all material respects.</w:t>
      </w:r>
    </w:p>
    <w:p>
      <w:pPr>
        <w:spacing w:after="0" w:line="18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In connection with the foregoing, Borrower agrees that pending application of the proceeds of the Initial Loans by Borrower in connection with the PPX Acquisition, Borrower shall retain such proceeds in a deposit account maintained at either JPMorgan Chase Bank, N.A. or Bank of America, N.A.</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 - Representations and Warranties</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To confirm each Lender’s understanding concerning Restricted Persons and Restricted Persons’ businesses, properties and obligations and to induce each Lender to enter into this Agreement and to extend credit hereunder, Borrower represents and warrants to each Lender that:</w:t>
      </w:r>
    </w:p>
    <w:p>
      <w:pPr>
        <w:spacing w:after="0" w:line="14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No Default</w:t>
      </w:r>
      <w:r>
        <w:rPr>
          <w:rFonts w:ascii="Arial" w:cs="Arial" w:eastAsia="Arial" w:hAnsi="Arial"/>
          <w:sz w:val="18"/>
          <w:szCs w:val="18"/>
          <w:color w:val="auto"/>
        </w:rPr>
        <w:t>. No event has occurred and is continuing which constitutes a Default, except as has been waived in accordance with this Agreement.</w:t>
      </w:r>
    </w:p>
    <w:p>
      <w:pPr>
        <w:sectPr>
          <w:pgSz w:w="11900" w:h="16929" w:orient="portrait"/>
          <w:cols w:equalWidth="0" w:num="1">
            <w:col w:w="11380"/>
          </w:cols>
          <w:pgMar w:left="240" w:top="125" w:right="279" w:bottom="0" w:gutter="0" w:footer="0" w:header="0"/>
        </w:sectPr>
      </w:pPr>
    </w:p>
    <w:bookmarkStart w:id="86" w:name="page87"/>
    <w:bookmarkEnd w:id="86"/>
    <w:p>
      <w:pPr>
        <w:spacing w:after="0" w:line="114"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Organization and Good Standing</w:t>
      </w:r>
      <w:r>
        <w:rPr>
          <w:rFonts w:ascii="Arial" w:cs="Arial" w:eastAsia="Arial" w:hAnsi="Arial"/>
          <w:sz w:val="16"/>
          <w:szCs w:val="16"/>
          <w:color w:val="auto"/>
        </w:rPr>
        <w:t>. Each Significant Restricted Person is duly organized or formed, validly existing and in good standing under the Laws of its jurisdiction of organization or formation, having all requisite corporate or similar powers required to carry on its business and enter into and carry out the transactions contemplated hereby. Each Significant Restricted Person is duly qualified, in good standing, and authorized to do business in all other jurisdictions wherein the character of the properties owned or held by it or the nature of the business transacted by it makes such qualification necessary except where the failure to so qualify would not reasonably be expected to cause a Material Adverse Change.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Authorization</w:t>
      </w:r>
      <w:r>
        <w:rPr>
          <w:rFonts w:ascii="Arial" w:cs="Arial" w:eastAsia="Arial" w:hAnsi="Arial"/>
          <w:sz w:val="18"/>
          <w:szCs w:val="18"/>
          <w:color w:val="auto"/>
        </w:rPr>
        <w:t>. Each Restricted Person has duly taken all action necessary to authorize the execution and delivery by it of the Loan Documents to which it is a party and to authorize the consummation of the transactions contemplated thereby and the performance of its obligations thereunder. Borrower is duly authorized to borrow funds hereunder.</w:t>
      </w:r>
    </w:p>
    <w:p>
      <w:pPr>
        <w:spacing w:after="0" w:line="18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No Conflicts or Consents</w:t>
      </w:r>
      <w:r>
        <w:rPr>
          <w:rFonts w:ascii="Arial" w:cs="Arial" w:eastAsia="Arial" w:hAnsi="Arial"/>
          <w:sz w:val="18"/>
          <w:szCs w:val="18"/>
          <w:color w:val="auto"/>
        </w:rPr>
        <w:t>. The execution and delivery by each Restricted Person of the Loan Documents to which it is a party, the performance by it of its obligations, and the consummation of the transactions contemplated thereby, do not and will not (i) violate any provision of (1) Law applicable to it, (2) its organizational documents or (3) any judgment, order or material license or permit applicable to or binding upon it, (ii) result in the acceleration of any Indebtedness owed by it or (iii) result in or require the creation of any consensual Lien upon any of its material assets or properties except as expressly contemplated in, or permitted by, the Loan Documents. Except as expressly contemplated in or permitted by the Loan Documents, disclosed in the Disclosure Schedule or disclosed pursuant to Section 6.4, no permit, consent, approval, authorization or order of, and no notice to or filing, registration or qualification with, any Governmental Authority is required on the part of any Restricted Person a party thereto pursuant to the provisions of any material Law applicable to it as a condition to its execution, delivery or performance of any Loan Document or (ii) to consummate any transactions contemplated by the Loan Documents.</w:t>
      </w:r>
    </w:p>
    <w:p>
      <w:pPr>
        <w:spacing w:after="0" w:line="197"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Enforceable Obligations</w:t>
      </w:r>
      <w:r>
        <w:rPr>
          <w:rFonts w:ascii="Arial" w:cs="Arial" w:eastAsia="Arial" w:hAnsi="Arial"/>
          <w:sz w:val="18"/>
          <w:szCs w:val="18"/>
          <w:color w:val="auto"/>
        </w:rPr>
        <w:t>. This Agreement is, and the other Loan Documents when duly executed and delivered will be, legal, valid and binding obligations of each Restricted Person which is a party hereto or thereto, enforceable in accordance with their terms except as such enforcement may be limited by bankruptcy, insolvency or similar Laws of general application relating to the enforcement of creditors’ rights and general principles of equity.</w:t>
      </w:r>
    </w:p>
    <w:p>
      <w:pPr>
        <w:spacing w:after="0" w:line="187"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Initial Financial Statements</w:t>
      </w:r>
      <w:r>
        <w:rPr>
          <w:rFonts w:ascii="Arial" w:cs="Arial" w:eastAsia="Arial" w:hAnsi="Arial"/>
          <w:sz w:val="17"/>
          <w:szCs w:val="17"/>
          <w:color w:val="auto"/>
        </w:rPr>
        <w:t>. Borrower has heretofore delivered to each Lender true, correct and complete copies of the Initial Financial Statements. The Initial Financial Statements fairly present Borrower’s Consolidated financial position at the date thereof and the Consolidated results of Borrower’s operations for the periods thereof, and in the case of the annual Initial Financial Statements, Consolidated cash flows for the period thereof. Except as disclosed pursuant to Section 6.4, since the date of the annual Initial Financial Statements, no Material Adverse Change has occurred. All Initial Financial Statements described in clause (i) of that defined term were prepared in accordance with GAAP.</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Other Obligations and Restrictions</w:t>
      </w:r>
      <w:r>
        <w:rPr>
          <w:rFonts w:ascii="Arial" w:cs="Arial" w:eastAsia="Arial" w:hAnsi="Arial"/>
          <w:sz w:val="18"/>
          <w:szCs w:val="18"/>
          <w:color w:val="auto"/>
        </w:rPr>
        <w:t>. As of the Closing Date, no Restricted Person has any outstanding payment obligations of any kind (including contingent obligations, tax assessments and unusual forward or long-term commitments) which are, in the aggregate, material to Borrower or material with respect to Borrower’s Consolidated financial condition and not reflected in the Initial Financial Statements, disclosed in the Disclosure Schedule or otherwise permitted under Section 7.1. Except as disclosed in the Disclosure Schedule or pursuant to Section 6.4, no Restricted Person is subject to or restricted by any franchise, contract, deed, charter restriction, or other instrument or restriction which would reasonably be expected to cause a Material Adverse Change.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Full Disclosure</w:t>
      </w:r>
      <w:r>
        <w:rPr>
          <w:rFonts w:ascii="Arial" w:cs="Arial" w:eastAsia="Arial" w:hAnsi="Arial"/>
          <w:sz w:val="16"/>
          <w:szCs w:val="16"/>
          <w:color w:val="auto"/>
        </w:rPr>
        <w:t>. No certificate, statement or other information delivered herewith or heretofore by any Restricted Person to any Lender in connection with the negotiation of this Agreement or in connection with any transaction contemplated hereby contains any untrue statement of a material fact or omits to state any material fact necessary to make the statements contained herein or therein, in light of the circumstances under which they were made, not misleading as of the date made or deemed made (or if such information expressly relates or refers to an earlier date, as of such earlier date). All written information furnished after the date hereof by or on behalf of any Restricted Person to Administrative Agent or any Lender Party in connection with this Agreement and the other Loan Documents and the transactions contemplated hereby and thereby will be true, complete and accurate in every material respect in light of the circumstances in which made or based on reasonable estimates, in each case as of the date on which such information is stated or certified (or if such information expressly relates or refers to an earlier date, as of such earlier date). There is no fact known to any Restricted Person that has not been disclosed to each Lender in writing which would reasonably be expected to cause a Material Adverse Change.</w:t>
      </w:r>
    </w:p>
    <w:p>
      <w:pPr>
        <w:spacing w:after="0" w:line="16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Litigation</w:t>
      </w:r>
      <w:r>
        <w:rPr>
          <w:rFonts w:ascii="Arial" w:cs="Arial" w:eastAsia="Arial" w:hAnsi="Arial"/>
          <w:sz w:val="18"/>
          <w:szCs w:val="18"/>
          <w:color w:val="auto"/>
        </w:rPr>
        <w:t>. Except as disclosed in the Initial Financial Statements, in the Disclosure Schedule or pursuant to Section 6.4: (i) there are no actions, suits or legal, equitable, arbitrative or administrative proceedings pending, or to the knowledge of any Restricted Person overtly threatened, against any Restricted Person before any Governmental Authority having jurisdiction over it which would reasonably be expected to cause a Material Adverse Change, and (ii) there are no outstanding judgments, injunctions, writs, rulings or orders by any such Governmental Authority having jurisdiction over it against any Restricted Person or, to the knowledge of Borrower, any Restricted Person’s stockholders, partners, directors or officers which would reasonably be expected to cause a Material Adverse Change.</w:t>
      </w:r>
    </w:p>
    <w:p>
      <w:pPr>
        <w:spacing w:after="0" w:line="19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ERISA Plans and Liabilities</w:t>
      </w:r>
      <w:r>
        <w:rPr>
          <w:rFonts w:ascii="Arial" w:cs="Arial" w:eastAsia="Arial" w:hAnsi="Arial"/>
          <w:sz w:val="17"/>
          <w:szCs w:val="17"/>
          <w:color w:val="auto"/>
        </w:rPr>
        <w:t>. All currently existing ERISA Plans are listed in the Disclosure Schedule or pursuant to Section 6.4. Except as disclosed in the Initial Financial Statements, in the Disclosure Schedule or pursuant to Section 6.4, no Termination Event has occurred with respect to any ERISA Plan and all ERISA Affiliates are in compliance with ERISA in all material respects, to the extent that the non-compliance therewith would not be reasonably expected to cause a Material Adverse Change. No ERISA Affiliate is required to contribute to, or has any other absolute or contingent liability in respect of, any “multiemployer plan” as defined in Section 4001 of ERISA. Except as set forth in the Disclosure Schedule or disclosed pursuant to Section 6.4: (i) no “accumulated funding deficiency” (as defined in Section 412(a) of the Code) exists with respect to any ERISA Plan, whether or not waived by the Secretary of the Treasury or his delegate, and (ii) the current value of each ERISA Plan’s benefits does not exceed the current value of such ERISA Plan’s assets available for the payment of such benefits by more than $5,000,000.</w:t>
      </w:r>
    </w:p>
    <w:p>
      <w:pPr>
        <w:spacing w:after="0" w:line="17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Compliance with Permits, Consents and Law</w:t>
      </w:r>
      <w:r>
        <w:rPr>
          <w:rFonts w:ascii="Arial" w:cs="Arial" w:eastAsia="Arial" w:hAnsi="Arial"/>
          <w:sz w:val="16"/>
          <w:szCs w:val="16"/>
          <w:color w:val="auto"/>
        </w:rPr>
        <w:t>. Except as set forth in the Disclosure Schedule or pursuant to Section 6.4, each Restricted Person has all permits, licenses and authorizations required in connection with the conduct of its businesses, except to the extent failure to have any such permit, license or authorization would not reasonably be expected to cause a Material Adverse Change. Except as set forth in the Disclosure Schedule or</w:t>
      </w:r>
    </w:p>
    <w:p>
      <w:pPr>
        <w:sectPr>
          <w:pgSz w:w="11900" w:h="16952" w:orient="portrait"/>
          <w:cols w:equalWidth="0" w:num="1">
            <w:col w:w="11420"/>
          </w:cols>
          <w:pgMar w:left="240" w:top="341" w:right="239" w:bottom="0" w:gutter="0" w:footer="0" w:header="0"/>
        </w:sectPr>
      </w:pPr>
    </w:p>
    <w:bookmarkStart w:id="87" w:name="page88"/>
    <w:bookmarkEnd w:id="87"/>
    <w:p>
      <w:pPr>
        <w:ind w:right="180"/>
        <w:spacing w:after="0" w:line="277" w:lineRule="auto"/>
        <w:rPr>
          <w:sz w:val="20"/>
          <w:szCs w:val="20"/>
          <w:color w:val="auto"/>
        </w:rPr>
      </w:pPr>
      <w:r>
        <w:rPr>
          <w:rFonts w:ascii="Arial" w:cs="Arial" w:eastAsia="Arial" w:hAnsi="Arial"/>
          <w:sz w:val="18"/>
          <w:szCs w:val="18"/>
          <w:color w:val="auto"/>
        </w:rPr>
        <w:t>pursuant to Section 6.4, each Restricted Person is in compliance with the terms and conditions of all such permits, licenses and authorizations, and is also in compliance with all other limitations,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restrictions, conditions, standards, prohibitions, requirements, obligations, schedules and timetables contained in any Law, including applicable Environmental Law, or in any regulation, code, plan, order, decree, judgment, injunction, notice or demand letter issued, entered, promulgated or approved thereunder, except to the extent that non-compliance therewith would not reasonably be expected to cause a Material Adverse Change or such term, restriction or otherwise is being contested in good faith or a bona fide dispute exists with respect thereto.</w:t>
      </w:r>
    </w:p>
    <w:p>
      <w:pPr>
        <w:spacing w:after="0" w:line="18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u w:val="single" w:color="auto"/>
          <w:color w:val="auto"/>
        </w:rPr>
        <w:t>Environmental Laws</w:t>
      </w:r>
      <w:r>
        <w:rPr>
          <w:rFonts w:ascii="Arial" w:cs="Arial" w:eastAsia="Arial" w:hAnsi="Arial"/>
          <w:sz w:val="17"/>
          <w:szCs w:val="17"/>
          <w:color w:val="auto"/>
        </w:rPr>
        <w:t>. Except as set forth in the Disclosure Schedule or disclosed pursuant to Section 6.4, (i) Borrower and its Subsidiaries are conducting their businesses in material compliance with all applicable Laws, including Environmental Laws, and have and are in compliance with all licenses and permits required under any such Laws, unless failure to so comply or have such licenses and permits would not reasonably be expected to cause a Material Adverse Change; (ii) none of the operations or properties of Borrower or any of its Subsidiaries is the subject of federal, provincial or local investigation evaluating whether any material remedial action is needed to respond to a release of any Hazardous Materials into the environment or to the improper storage or disposal (including storage or disposal at offsite locations) of any Hazardous Materials, unless such remedial action would not reasonably be expected to cause a Material Adverse Change; and (iii) neither Borrower nor any of its Subsidiaries (and to the actual knowledge of Borrower, no other Person) has filed any notice under any Law indicating that any Restricted Person is responsible for the improper release into the environment, or the improper storage or disposal, of any material amount of any Hazardous Materials or that any Hazardous Materials have been improperly released, or are improperly stored or disposed of, upon any property of any such Person, other than of an alleged improper release, storage or disposal that would not reasonably be expected to cause a Material Adverse Change.</w:t>
      </w:r>
    </w:p>
    <w:p>
      <w:pPr>
        <w:spacing w:after="0" w:line="183"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Borrower’s Subsidiaries</w:t>
      </w:r>
      <w:r>
        <w:rPr>
          <w:rFonts w:ascii="Arial" w:cs="Arial" w:eastAsia="Arial" w:hAnsi="Arial"/>
          <w:sz w:val="17"/>
          <w:szCs w:val="17"/>
          <w:color w:val="auto"/>
        </w:rPr>
        <w:t>. Borrower has no Subsidiary and owns no stock in any other corporation or association except as listed in the Disclosure Schedule or disclosed after the Closing Date to Administrative Agent in writing. No Restricted Person is a member of any general or limited partnership, limited liability company, joint venture or association of any type whatsoever except those listed in the Disclosure Schedule or disclosed after the Closing Date to Administrative Agent in writing. Borrower owns, directly or indirectly, the equity interest in each of its Subsidiaries which is indicated in the Disclosure Schedule except as disclosed after the Closing Date to Administrative Agent.</w:t>
      </w:r>
    </w:p>
    <w:p>
      <w:pPr>
        <w:spacing w:after="0" w:line="173"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Title to Properties</w:t>
      </w:r>
      <w:r>
        <w:rPr>
          <w:rFonts w:ascii="Arial" w:cs="Arial" w:eastAsia="Arial" w:hAnsi="Arial"/>
          <w:sz w:val="18"/>
          <w:szCs w:val="18"/>
          <w:color w:val="auto"/>
        </w:rPr>
        <w:t>. Each Restricted Person has good and defensible title to all of its material properties and assets, free and clear of all Liens (other than Permitted Liens) and of all impediments to the use of such properties and assets in such Restricted Person’s business, other than such impediments that would not reasonably be expected to cause a Material Adverse Change.</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Government Regulation</w:t>
      </w:r>
      <w:r>
        <w:rPr>
          <w:rFonts w:ascii="Arial" w:cs="Arial" w:eastAsia="Arial" w:hAnsi="Arial"/>
          <w:sz w:val="18"/>
          <w:szCs w:val="18"/>
          <w:color w:val="auto"/>
        </w:rPr>
        <w:t>. Neither Borrower nor any other Restricted Person owing Obligations is subject to regulation under the Investment Company Act of 1940 (as amended) or any other Law which regulates the incurring by such Person of Indebtedness, including Laws relating to common contract carriers or the sale of electricity, gas, steam, water or other public utility services. Neither Borrower nor any other Restricted Person is subject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regulation under the Federal Power Act which would violate, result in a default of, or prohibit the effectiveness or the performance of any of the provisions of the Loan Documents.</w:t>
      </w:r>
    </w:p>
    <w:p>
      <w:pPr>
        <w:spacing w:after="0" w:line="170"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Insider</w:t>
      </w:r>
      <w:r>
        <w:rPr>
          <w:rFonts w:ascii="Arial" w:cs="Arial" w:eastAsia="Arial" w:hAnsi="Arial"/>
          <w:sz w:val="18"/>
          <w:szCs w:val="18"/>
          <w:color w:val="auto"/>
        </w:rPr>
        <w:t>. No Restricted Person, nor any Person having “control” (as that term is defined in 12 U.S.C. § 375b(9) or in regulations promulgated pursuant thereto) of any Restricted Person, is a “director” or an “executive officer” or “principal shareholder” (as those terms are defined in 12 U.S.C. § 375b(8) or (9) or in regulations promulgated pursuant thereto) of any Lender, of a bank holding company of which any Lender is a Subsidiary or of any Subsidiary of a bank holding company of which any Lender is a Subsidiary.</w:t>
      </w:r>
    </w:p>
    <w:p>
      <w:pPr>
        <w:spacing w:after="0" w:line="18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Section 5.17. </w:t>
      </w:r>
      <w:r>
        <w:rPr>
          <w:rFonts w:ascii="Arial" w:cs="Arial" w:eastAsia="Arial" w:hAnsi="Arial"/>
          <w:sz w:val="17"/>
          <w:szCs w:val="17"/>
          <w:u w:val="single" w:color="auto"/>
          <w:color w:val="auto"/>
        </w:rPr>
        <w:t>Solvency</w:t>
      </w:r>
      <w:r>
        <w:rPr>
          <w:rFonts w:ascii="Arial" w:cs="Arial" w:eastAsia="Arial" w:hAnsi="Arial"/>
          <w:sz w:val="17"/>
          <w:szCs w:val="17"/>
          <w:color w:val="auto"/>
        </w:rPr>
        <w:t>. Upon giving effect to the issuance of the Notes, the execution of the Loan Documents by Borrower and each Guarantor and the consummation of the transactions contemplated hereby, (i) Borrower and each Guarantor will be solvent (as such term is used in applicable bankruptcy, liquidation, receivership, insolvency or similar Laws), and the sum of Borrower’s and each Guarantor’s absolute and contingent liabilities, including the Obligations or guarantees thereof, shall not exceed the fair market value of such Restricted Person’s assets, and (ii) Borrower’s and each Guarantor’s capital should be adequate for the businesses in which such Restricted Person is engaged and intends to be engaged. Neither Borrower nor any other Restricted Person has incurred (whether under the Loan Documents or otherwise), nor does any Restricted Person intend to incur or reasonably foreseeably believes that it will incur, debts which will be beyond its ability to pay as such debts mature.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 - Affirmative Covenants</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To conform with the terms and conditions under which each Lender is willing to have credit outstanding to Borrower, and to induce each Lender to enter into this Agreement and extend credit hereunder, Borrower covenants and agrees that until the full and final payment of the Obligations and the termination of this Agreement, unless Majority Lenders, or all Lenders as required under Section 10.1, have previously agreed otherwise:</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Payment and Performance</w:t>
      </w:r>
      <w:r>
        <w:rPr>
          <w:rFonts w:ascii="Arial" w:cs="Arial" w:eastAsia="Arial" w:hAnsi="Arial"/>
          <w:sz w:val="18"/>
          <w:szCs w:val="18"/>
          <w:color w:val="auto"/>
        </w:rPr>
        <w:t>. Each Restricted Person will pay all amounts due from it pursuant to the provisions of the Loan Documents to which it is a party in accordance with the terms thereof and will observe, perform and comply with every covenant, term and condition imposed on it pursuant to the provisions of such Loan Documents.</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Books, Financial Statements and Reports</w:t>
      </w:r>
      <w:r>
        <w:rPr>
          <w:rFonts w:ascii="Arial" w:cs="Arial" w:eastAsia="Arial" w:hAnsi="Arial"/>
          <w:sz w:val="18"/>
          <w:szCs w:val="18"/>
          <w:color w:val="auto"/>
        </w:rPr>
        <w:t>. Each Restricted Person will at all times maintain full and accurate books of account and records. Borrower will maintain and will cause its Subsidiaries to maintain a standard system of accounting, will maintain its Fiscal Year, and will furnish the following statements and reports to each Lender at Borrower’s expense:</w:t>
      </w:r>
    </w:p>
    <w:p>
      <w:pPr>
        <w:spacing w:after="0" w:line="181" w:lineRule="exact"/>
        <w:rPr>
          <w:sz w:val="20"/>
          <w:szCs w:val="20"/>
          <w:color w:val="auto"/>
        </w:rPr>
      </w:pPr>
    </w:p>
    <w:p>
      <w:pPr>
        <w:ind w:right="40" w:firstLine="656"/>
        <w:spacing w:after="0" w:line="308" w:lineRule="auto"/>
        <w:tabs>
          <w:tab w:leader="none" w:pos="1343" w:val="left"/>
        </w:tabs>
        <w:numPr>
          <w:ilvl w:val="0"/>
          <w:numId w:val="170"/>
        </w:numPr>
        <w:rPr>
          <w:rFonts w:ascii="Arial" w:cs="Arial" w:eastAsia="Arial" w:hAnsi="Arial"/>
          <w:sz w:val="17"/>
          <w:szCs w:val="17"/>
          <w:color w:val="auto"/>
        </w:rPr>
      </w:pPr>
      <w:r>
        <w:rPr>
          <w:rFonts w:ascii="Arial" w:cs="Arial" w:eastAsia="Arial" w:hAnsi="Arial"/>
          <w:sz w:val="17"/>
          <w:szCs w:val="17"/>
          <w:color w:val="auto"/>
        </w:rPr>
        <w:t>Promptly upon the filing thereof, and in any event within ninety (90) days after the end of each Fiscal Year, a copy of Borrower’s Form 10-K, which report shall include Borrower’s complete Consolidated financial statements together with all notes thereto, prepared in reasonable detail in</w:t>
      </w:r>
    </w:p>
    <w:p>
      <w:pPr>
        <w:sectPr>
          <w:pgSz w:w="11900" w:h="16838" w:orient="portrait"/>
          <w:cols w:equalWidth="0" w:num="1">
            <w:col w:w="11420"/>
          </w:cols>
          <w:pgMar w:left="240" w:top="125" w:right="239" w:bottom="0" w:gutter="0" w:footer="0" w:header="0"/>
        </w:sectPr>
      </w:pPr>
    </w:p>
    <w:bookmarkStart w:id="88" w:name="page89"/>
    <w:bookmarkEnd w:id="88"/>
    <w:p>
      <w:pPr>
        <w:spacing w:after="0" w:line="12"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accordance with GAAP, together with an opinion, without material qualification, based on an audit using generally accepted auditing standards, by PricewaterhouseCoopers LLP, or other independent certified public accountants selected 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 Partner, stating that such Consolidated financial statements have been so prepared. These financial statements shall contain a Consolidated balance sheet as of the end of such Fiscal Year and Consolidated statements of earnings for such Fiscal Year. Such Consolidated financial statements shall set forth in comparative form the corresponding figures for the preceding Fiscal Year.</w:t>
      </w:r>
    </w:p>
    <w:p>
      <w:pPr>
        <w:spacing w:after="0" w:line="181" w:lineRule="exact"/>
        <w:rPr>
          <w:sz w:val="20"/>
          <w:szCs w:val="20"/>
          <w:color w:val="auto"/>
        </w:rPr>
      </w:pPr>
    </w:p>
    <w:p>
      <w:pPr>
        <w:ind w:right="20" w:firstLine="656"/>
        <w:spacing w:after="0" w:line="270" w:lineRule="auto"/>
        <w:tabs>
          <w:tab w:leader="none" w:pos="1353" w:val="left"/>
        </w:tabs>
        <w:numPr>
          <w:ilvl w:val="0"/>
          <w:numId w:val="171"/>
        </w:numPr>
        <w:rPr>
          <w:rFonts w:ascii="Arial" w:cs="Arial" w:eastAsia="Arial" w:hAnsi="Arial"/>
          <w:sz w:val="17"/>
          <w:szCs w:val="17"/>
          <w:color w:val="auto"/>
        </w:rPr>
      </w:pPr>
      <w:r>
        <w:rPr>
          <w:rFonts w:ascii="Arial" w:cs="Arial" w:eastAsia="Arial" w:hAnsi="Arial"/>
          <w:sz w:val="17"/>
          <w:szCs w:val="17"/>
          <w:color w:val="auto"/>
        </w:rPr>
        <w:t>Promptly upon the filing thereof, and in any event within sixty (60) days after the end of each of the first three Fiscal Quarters of each Fiscal Year, a copy of Borrower’s Form 10-Q, which report shall include Borrower’s unaudited Consolidated balance sheet as of the end of such Fiscal Quarter and Consolidated statements of Borrower’s earnings and cash flows for such Fiscal Quarter and for the period from the beginning of the then current Fiscal Year to the end of such Fiscal Quarter. In addition Borrower will, together with each such set of financial statements and each set of financial statements furnished under subsection (a) of this section, furnish a certificate in the form of Exhibit D signed by the chief financial officer, principal accounting officer or treasurer of General Partner stating that such financial statements are accurate and complete in all material respects (subject to normal year-end adjustments), stating that he has reviewed the Loan Documents, containing calculations showing compliance (or non-compliance) at the end of such Fiscal Quarter with the requirements of Section 7.8, stating that, to the best of his knowledge, no Default exists at the end of such Fiscal Quarter or at the time of such certificate or specifying the nature and period of existence of any such Default, and identifying any Subsidiary designated as an Unrestricted Subsidiary since the date of the most-recently delivered prior certificate under this Section 6.2(b).</w:t>
      </w:r>
    </w:p>
    <w:p>
      <w:pPr>
        <w:spacing w:after="0" w:line="177" w:lineRule="exact"/>
        <w:rPr>
          <w:rFonts w:ascii="Arial" w:cs="Arial" w:eastAsia="Arial" w:hAnsi="Arial"/>
          <w:sz w:val="17"/>
          <w:szCs w:val="17"/>
          <w:color w:val="auto"/>
        </w:rPr>
      </w:pPr>
    </w:p>
    <w:p>
      <w:pPr>
        <w:ind w:right="500" w:firstLine="656"/>
        <w:spacing w:after="0" w:line="277" w:lineRule="auto"/>
        <w:tabs>
          <w:tab w:leader="none" w:pos="134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Promptly upon their becoming available, copies of all Form 8-K’s filed by Borrower with any securities exchange, the Securities and Exchange Commission or any similar governmental authority.</w:t>
      </w:r>
    </w:p>
    <w:p>
      <w:pPr>
        <w:spacing w:after="0" w:line="170" w:lineRule="exact"/>
        <w:rPr>
          <w:rFonts w:ascii="Arial" w:cs="Arial" w:eastAsia="Arial" w:hAnsi="Arial"/>
          <w:sz w:val="18"/>
          <w:szCs w:val="18"/>
          <w:color w:val="auto"/>
        </w:rPr>
      </w:pPr>
    </w:p>
    <w:p>
      <w:pPr>
        <w:ind w:right="260" w:firstLine="656"/>
        <w:spacing w:after="0" w:line="264" w:lineRule="auto"/>
        <w:tabs>
          <w:tab w:leader="none" w:pos="135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Promptly upon their becoming available, copies of all financial statements, reports, notices and proxy statements sent by Borrower to its unit holders and all registration statements filed by Borrower with any securities exchange, the Securities and Exchange Commission or any similar governmental authority.</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Prompt notice of any publicly announced change in PAA’s Debt Rating by either Standard &amp; Poor’s or Moody’s.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Documents required to be delivered pursuant to Section 6.2(a), (b), (c) or (d), (to the extent any such documents are included in materials otherwise filed with the Securities and Exchange Commission) may be delivered electronically and if so delivered, shall be deemed to have been delivered on the date on which Borrower posts such documents, or provides a link thereto, on Borrower’s website on the Internet at the website address listed on Schedule 10.3, and notifies Administrative Agent of such posting or link.</w:t>
      </w:r>
    </w:p>
    <w:p>
      <w:pPr>
        <w:spacing w:after="0" w:line="187"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Other Information and Inspections</w:t>
      </w:r>
      <w:r>
        <w:rPr>
          <w:rFonts w:ascii="Arial" w:cs="Arial" w:eastAsia="Arial" w:hAnsi="Arial"/>
          <w:sz w:val="18"/>
          <w:szCs w:val="18"/>
          <w:color w:val="auto"/>
        </w:rPr>
        <w:t>. In each case subject to the last sentence of this Section 6.3, each Restricted Person will furnish to Administrative Agent any information which Administrative Agent or any Lender may from time to time reasonably request concerning any covenant, provision or condition of the Loan Documents or any matter in connection with any Restricted Person’s businesses and operations. In each case subject to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last sentence of this Section 6.3, each Restricted Person will permit representatives appointed by Administrative Agent (including independent accountants, auditors, agents, attorneys, appraisers and any other Persons), upon reasonable prior notice, to visit and inspect during normal business hours any of such Restricted Person’s property, including its books of account, other books and records, and any facilities or other business assets, and to make extra copies therefrom and photocopies and photographs thereof, and to write down and record any information such representatives obtain, and each Restricted Person shall permit Administrative Agent or its representatives to investigate and verify the accuracy of the information furnished to Administrative Agent or any Lender in connection with the Loan Documents and to discuss all such matters with its officers, employees and, upon reasonable prior notice to Borrower, its representatives. Each of the foregoing inspections and examinations shall be made subject to compliance with applicable safety standards and the same conditions applicable to any Restricted Person in respect of property of that Restricted Person on the premises of Persons other than a Restricted Person or an Affiliate of a Restricted Person, and all information, books and records furnished or requested to be made, all information to be investigated or verified and all discussion conducted with any officer, employee or representative of any Restricted Person shall be subject to any applicable attorney-client privilege exceptions which the Restricted Person determines is reasonably necessary and compliance with conditions to disclosures under non-disclosure agreements between any Restricted Person and Persons other than a Restricted Person or an Affiliate of a Restricted Person and the express undertaking of each Person acting at the direction of or on behalf of any Lender Party to be bound by the confidentiality provisions of Section 10.6 of this Agreement.</w:t>
      </w:r>
    </w:p>
    <w:p>
      <w:pPr>
        <w:spacing w:after="0" w:line="17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Borrower hereby acknowledges that (a) Administrative Agent will make available to the Lenders materials and/or information provided by or on behalf of Borrower hereunder (collectively, “</w:t>
      </w:r>
      <w:r>
        <w:rPr>
          <w:rFonts w:ascii="Arial" w:cs="Arial" w:eastAsia="Arial" w:hAnsi="Arial"/>
          <w:sz w:val="17"/>
          <w:szCs w:val="17"/>
          <w:u w:val="single" w:color="auto"/>
          <w:color w:val="auto"/>
        </w:rPr>
        <w:t>Borrower Materials</w:t>
      </w:r>
      <w:r>
        <w:rPr>
          <w:rFonts w:ascii="Arial" w:cs="Arial" w:eastAsia="Arial" w:hAnsi="Arial"/>
          <w:sz w:val="17"/>
          <w:szCs w:val="17"/>
          <w:color w:val="auto"/>
        </w:rPr>
        <w:t>”) by posting Borrower Materials on IntraLinks or another similar electronic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 Lenders may be “public-side” Lenders (</w:t>
      </w:r>
      <w:r>
        <w:rPr>
          <w:rFonts w:ascii="Arial" w:cs="Arial" w:eastAsia="Arial" w:hAnsi="Arial"/>
          <w:sz w:val="17"/>
          <w:szCs w:val="17"/>
          <w:i w:val="1"/>
          <w:iCs w:val="1"/>
          <w:color w:val="auto"/>
        </w:rPr>
        <w:t>i.e.,</w:t>
      </w:r>
      <w:r>
        <w:rPr>
          <w:rFonts w:ascii="Arial" w:cs="Arial" w:eastAsia="Arial" w:hAnsi="Arial"/>
          <w:sz w:val="17"/>
          <w:szCs w:val="17"/>
          <w:color w:val="auto"/>
        </w:rPr>
        <w:t xml:space="preserve"> Lenders that do not wish to receive material non-public information with respect to Borrower or its securities)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If Borrower clearly, conspicuously and prominently marks the front page of any Borrower Materials furnished by it with the term “PUBLIC”, then (x) Borrower shall be deemed to have authorized Administrative Agent and the Lenders to treat such Borrower Materials as either publicly available information or not material information (although it may be sensitive and proprietary) with respect to Borrower or its securities for purposes of United States Federal and state securities laws; (y) all Borrower Materials so marked “PUBLIC” are permitted to be made available through a portion of the Platform designated “Public Investor;” and (z) Administrative Agent shall be entitled to treat any Borrower Materials that are not marked “PUBLIC” as being suitable only for posting on a portion of the Platform not designated “Public Investor.”</w:t>
      </w:r>
    </w:p>
    <w:p>
      <w:pPr>
        <w:spacing w:after="0" w:line="18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Notice of Material Events</w:t>
      </w:r>
      <w:r>
        <w:rPr>
          <w:rFonts w:ascii="Arial" w:cs="Arial" w:eastAsia="Arial" w:hAnsi="Arial"/>
          <w:sz w:val="18"/>
          <w:szCs w:val="18"/>
          <w:color w:val="auto"/>
        </w:rPr>
        <w:t>. Borrower will notify each Lender Party, not later than five (5) Business Days after any executive officer of Borrower has knowledge thereof, stating that such notice is being given pursuant to this Agreement, of:</w:t>
      </w:r>
    </w:p>
    <w:p>
      <w:pPr>
        <w:spacing w:after="0" w:line="170" w:lineRule="exact"/>
        <w:rPr>
          <w:sz w:val="20"/>
          <w:szCs w:val="20"/>
          <w:color w:val="auto"/>
        </w:rPr>
      </w:pPr>
    </w:p>
    <w:p>
      <w:pPr>
        <w:ind w:right="100" w:firstLine="656"/>
        <w:spacing w:after="0" w:line="308" w:lineRule="auto"/>
        <w:tabs>
          <w:tab w:leader="none" w:pos="1343"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(i) occurrence of any Material Adverse Change or (ii) occurrence of any event or condition that is covered by any of Section 5.6 (next-to-last sentence), 5.7 (last sentence), 5.9, 5.10, 5.11 or 5.12 which would reasonable be expected to cause a Material Adverse Change,</w:t>
      </w:r>
    </w:p>
    <w:p>
      <w:pPr>
        <w:sectPr>
          <w:pgSz w:w="11900" w:h="16851" w:orient="portrait"/>
          <w:cols w:equalWidth="0" w:num="1">
            <w:col w:w="11420"/>
          </w:cols>
          <w:pgMar w:left="240" w:top="125" w:right="239" w:bottom="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51" w:orient="portrait"/>
          <w:cols w:equalWidth="0" w:num="1">
            <w:col w:w="11420"/>
          </w:cols>
          <w:pgMar w:left="240" w:top="125" w:right="239" w:bottom="0" w:gutter="0" w:footer="0" w:header="0"/>
          <w:type w:val="continuous"/>
        </w:sectPr>
      </w:pPr>
    </w:p>
    <w:bookmarkStart w:id="89" w:name="page90"/>
    <w:bookmarkEnd w:id="89"/>
    <w:p>
      <w:pPr>
        <w:ind w:left="1360" w:hanging="704"/>
        <w:spacing w:after="0"/>
        <w:tabs>
          <w:tab w:leader="none" w:pos="13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occurrence of any Default,</w:t>
      </w:r>
    </w:p>
    <w:p>
      <w:pPr>
        <w:spacing w:after="0" w:line="225" w:lineRule="exact"/>
        <w:rPr>
          <w:rFonts w:ascii="Arial" w:cs="Arial" w:eastAsia="Arial" w:hAnsi="Arial"/>
          <w:sz w:val="18"/>
          <w:szCs w:val="18"/>
          <w:color w:val="auto"/>
        </w:rPr>
      </w:pPr>
    </w:p>
    <w:p>
      <w:pPr>
        <w:jc w:val="both"/>
        <w:ind w:right="220" w:firstLine="656"/>
        <w:spacing w:after="0" w:line="264" w:lineRule="auto"/>
        <w:tabs>
          <w:tab w:leader="none" w:pos="134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acceleration of the maturity of any Indebtedness owed by any Restricted Person or of any default by any Restricted Person under any indenture, mortgage, agreement, contract or other instrument to which any of them is a party or by which any of them or any of their properties is bound, if such acceleration or default would reasonably be expected to cause a Material Adverse Change,</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occurrence of any Termination Event,</w:t>
      </w:r>
    </w:p>
    <w:p>
      <w:pPr>
        <w:spacing w:after="0" w:line="225" w:lineRule="exact"/>
        <w:rPr>
          <w:rFonts w:ascii="Arial" w:cs="Arial" w:eastAsia="Arial" w:hAnsi="Arial"/>
          <w:sz w:val="18"/>
          <w:szCs w:val="18"/>
          <w:color w:val="auto"/>
        </w:rPr>
      </w:pPr>
    </w:p>
    <w:p>
      <w:pPr>
        <w:ind w:right="160" w:firstLine="656"/>
        <w:spacing w:after="0" w:line="264" w:lineRule="auto"/>
        <w:tabs>
          <w:tab w:leader="none" w:pos="134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claim under any Environmental Law adverse to a Restricted Person or of potential liability with respect to such claim, or any other adverse claim asserted against any Restricted Person or with respect to any Restricted Person’s properties taken as a whole, in each case, which claim would reasonably be expected to cause a Material Adverse Change, and</w:t>
      </w:r>
    </w:p>
    <w:p>
      <w:pPr>
        <w:spacing w:after="0" w:line="181" w:lineRule="exact"/>
        <w:rPr>
          <w:rFonts w:ascii="Arial" w:cs="Arial" w:eastAsia="Arial" w:hAnsi="Arial"/>
          <w:sz w:val="18"/>
          <w:szCs w:val="18"/>
          <w:color w:val="auto"/>
        </w:rPr>
      </w:pPr>
    </w:p>
    <w:p>
      <w:pPr>
        <w:ind w:right="300" w:firstLine="656"/>
        <w:spacing w:after="0" w:line="277" w:lineRule="auto"/>
        <w:tabs>
          <w:tab w:leader="none" w:pos="136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filing of any suit or proceeding, or the assertion in writing of a claim against any Restricted Person or with respect to any Restricted Person’s properties, which would reasonably be expected to cause a Material Adverse Change.</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Upon the occurrence of any of the foregoing the applicable Restricted Person will take all necessary or appropriate steps to remedy promptly, if applicable, any such Material Adverse Change, Default, acceleration, default or Termination Event, to protect against any such adverse claim, to defend any such claim, suit or proceeding, and to resolve all controversies on account of any of the foregoing.</w:t>
      </w:r>
    </w:p>
    <w:p>
      <w:pPr>
        <w:spacing w:after="0" w:line="18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Maintenance of Existence, Qualifications and Assets</w:t>
      </w:r>
      <w:r>
        <w:rPr>
          <w:rFonts w:ascii="Arial" w:cs="Arial" w:eastAsia="Arial" w:hAnsi="Arial"/>
          <w:sz w:val="18"/>
          <w:szCs w:val="18"/>
          <w:color w:val="auto"/>
        </w:rPr>
        <w:t>. Each Significant Restricted Person (i) will maintain and preserve its existence and its rights (including permits, licenses and other authorizations required under Environmental Laws) and franchises in full force and effect, (ii) will qualify to do business in all states or jurisdictions where required by applicable Law, and (iii) keep all of its material assets that are useful in and necessary to its business in good working order and condition (ordinary wear and tear and obsoleteness excepted) except, in each case (a) where the failure so to maintain, preserve, qualify or keep would not be reasonably expected to cause a Material Adverse Change, (b) as permitted in Section 7.3 or as a result of statutory conversions or (c) as a result of a release permitted pursuant to Section 6.9. Borrower will notify Administrative Agent in writing of any changes in its or any other Significant Restricted Person’s name or the location of its or any other Significant Restricted Person’s chief executive office or principal place of business.</w:t>
      </w:r>
    </w:p>
    <w:p>
      <w:pPr>
        <w:spacing w:after="0" w:line="19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u w:val="single" w:color="auto"/>
          <w:color w:val="auto"/>
        </w:rPr>
        <w:t>Payment of Taxes, etc</w:t>
      </w:r>
      <w:r>
        <w:rPr>
          <w:rFonts w:ascii="Arial" w:cs="Arial" w:eastAsia="Arial" w:hAnsi="Arial"/>
          <w:sz w:val="16"/>
          <w:szCs w:val="16"/>
          <w:color w:val="auto"/>
        </w:rPr>
        <w:t>. Each Significant Restricted Person will (a) timely file all required tax returns (including any extensions),</w:t>
      </w:r>
    </w:p>
    <w:p>
      <w:pPr>
        <w:spacing w:after="0" w:line="23" w:lineRule="exact"/>
        <w:rPr>
          <w:sz w:val="20"/>
          <w:szCs w:val="20"/>
          <w:color w:val="auto"/>
        </w:rPr>
      </w:pPr>
    </w:p>
    <w:p>
      <w:pPr>
        <w:ind w:left="260" w:hanging="252"/>
        <w:spacing w:after="0"/>
        <w:tabs>
          <w:tab w:leader="none" w:pos="2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timely pay all taxes, assessments, and other governmental charges or levies imposed upon it or upon its income, profits or property, and (c) maintain</w:t>
      </w:r>
    </w:p>
    <w:p>
      <w:pPr>
        <w:spacing w:after="0" w:line="32" w:lineRule="exact"/>
        <w:rPr>
          <w:rFonts w:ascii="Arial" w:cs="Arial" w:eastAsia="Arial" w:hAnsi="Arial"/>
          <w:sz w:val="16"/>
          <w:szCs w:val="16"/>
          <w:color w:val="auto"/>
        </w:rPr>
      </w:pPr>
    </w:p>
    <w:p>
      <w:pPr>
        <w:jc w:val="both"/>
        <w:ind w:right="220"/>
        <w:spacing w:after="0" w:line="255" w:lineRule="auto"/>
        <w:rPr>
          <w:rFonts w:ascii="Arial" w:cs="Arial" w:eastAsia="Arial" w:hAnsi="Arial"/>
          <w:sz w:val="16"/>
          <w:szCs w:val="16"/>
          <w:color w:val="auto"/>
        </w:rPr>
      </w:pPr>
      <w:r>
        <w:rPr>
          <w:rFonts w:ascii="Arial" w:cs="Arial" w:eastAsia="Arial" w:hAnsi="Arial"/>
          <w:sz w:val="18"/>
          <w:szCs w:val="18"/>
          <w:color w:val="auto"/>
        </w:rPr>
        <w:t>appropriate accruals and reserves for all of the foregoing as required by GAAP, except to the extent that (y) it is in good faith contesting the validity thereof by appropriate proceedings, if necessary, and has set aside on its books adequate reserves therefor which are required by GAAP or (z) such non-filing, non-payment or non-maintenance would not reasonably be expected to cause a Material Adverse Change.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Insurance</w:t>
      </w:r>
      <w:r>
        <w:rPr>
          <w:rFonts w:ascii="Arial" w:cs="Arial" w:eastAsia="Arial" w:hAnsi="Arial"/>
          <w:sz w:val="18"/>
          <w:szCs w:val="18"/>
          <w:color w:val="auto"/>
        </w:rPr>
        <w:t>. In accordance with industry standards, each Significant Restricted Person will keep insured (by responsible and reputable insurance companies or associations) or self-insured, at the option of Borrower or such Significant Restricted Person, in such amounts and against such risks as are usually insured by Persons engaged in the same or similar businesses and owning similar properties. The insurance coverages and amounts will be reasonably determined by Borrower, based on coverages carried by prudent owners of similar property, and with respect to each Restricted Person, may be maintained by Borrower.</w:t>
      </w:r>
    </w:p>
    <w:p>
      <w:pPr>
        <w:spacing w:after="0" w:line="18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 xml:space="preserve">Section 6.8. </w:t>
      </w:r>
      <w:r>
        <w:rPr>
          <w:rFonts w:ascii="Arial" w:cs="Arial" w:eastAsia="Arial" w:hAnsi="Arial"/>
          <w:sz w:val="17"/>
          <w:szCs w:val="17"/>
          <w:u w:val="single" w:color="auto"/>
          <w:color w:val="auto"/>
        </w:rPr>
        <w:t>Compliance with Agreements and Law</w:t>
      </w:r>
      <w:r>
        <w:rPr>
          <w:rFonts w:ascii="Arial" w:cs="Arial" w:eastAsia="Arial" w:hAnsi="Arial"/>
          <w:sz w:val="17"/>
          <w:szCs w:val="17"/>
          <w:color w:val="auto"/>
        </w:rPr>
        <w:t>. Each Significant Restricted Person will perform all material obligations it is required to perform under the terms of each indenture, mortgage, deed of trust, security agreement, lease, franchise and other material agreement, contract or other instrument (including all contractual obligations and agreements with respect to environmental remediation or other environmental matters) to which it is a party or by which it or any of its properties is bound to the extent that non-performance therewith would not reasonably be expected to cause a Material Adverse Change. Each Restricted Person will conduct its business and affairs in compliance, in all material respects, with all Laws (including Environmental Laws) applicable thereto to the extent non-compliance therewith would not reasonably be expected to cause a Material Adverse Change or such requirement of Law is being contested in good faith or a bona fide dispute exists with respect thereto.</w:t>
      </w:r>
    </w:p>
    <w:p>
      <w:pPr>
        <w:spacing w:after="0" w:line="178"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Section 6.9. </w:t>
      </w:r>
      <w:r>
        <w:rPr>
          <w:rFonts w:ascii="Arial" w:cs="Arial" w:eastAsia="Arial" w:hAnsi="Arial"/>
          <w:sz w:val="17"/>
          <w:szCs w:val="17"/>
          <w:u w:val="single" w:color="auto"/>
          <w:color w:val="auto"/>
        </w:rPr>
        <w:t>Guaranties of Subsidiaries</w:t>
      </w:r>
      <w:r>
        <w:rPr>
          <w:rFonts w:ascii="Arial" w:cs="Arial" w:eastAsia="Arial" w:hAnsi="Arial"/>
          <w:sz w:val="17"/>
          <w:szCs w:val="17"/>
          <w:color w:val="auto"/>
        </w:rPr>
        <w:t>. Each Significant Restricted Person that has outstanding Indebtedness (other than guarantees hereunder), other than a Significant Restricted Person with assets that are regulated by the California Public Utility Commission (the “</w:t>
      </w:r>
      <w:r>
        <w:rPr>
          <w:rFonts w:ascii="Arial" w:cs="Arial" w:eastAsia="Arial" w:hAnsi="Arial"/>
          <w:sz w:val="17"/>
          <w:szCs w:val="17"/>
          <w:u w:val="single" w:color="auto"/>
          <w:color w:val="auto"/>
        </w:rPr>
        <w:t>CPUC</w:t>
      </w:r>
      <w:r>
        <w:rPr>
          <w:rFonts w:ascii="Arial" w:cs="Arial" w:eastAsia="Arial" w:hAnsi="Arial"/>
          <w:sz w:val="17"/>
          <w:szCs w:val="17"/>
          <w:color w:val="auto"/>
        </w:rPr>
        <w:t xml:space="preserve">”) or other similar regulatory body and such Significant Restricted Person is restricted by the CPUC or such body from providing any guaranties of Indebtedness, shall execute and deliver to Administrative Agent an absolute and unconditional guaranty of the timely repayment of the Obligations (in each case for which such Person is not a borrower, account party or similar primary and direct obligor), which guaranty shall be reasonably satisfactory to Administrative Agent in form and substance;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with respect to any such Person that is not a Wholly Owned Subsidiary of Borrower, for which consent or approval of third parties is required for the delivery of such guaranty, such Person shall not be required to deliver such guaranty, but shall use its commercially reasonable best efforts, as determined by Administrative Agent, to deliver such guaranty. Notwithstanding any provision contained herein to the contrary, in no event shall any Unrestricted Subsidiary be required to execute and deliver any guaranty for, or in respect of, the Obligations, or any part thereof. Borrower will cause each of its Subsidiaries required to deliver a guaranty pursuant to this Section 6.9 to deliver to Administrative Agent, simultaneously with its delivery of such a guaranty, written evidence satisfactory to Administrative Agent that such Subsidiary has taken all corporate, limited liability company or partnership action necessary to duly approve and authorize its execution, delivery and performance of such guaranty. Borrower may at any time request the release of one or more Guarantors from their guaranty of the Obligations, and each such Guarantor shall be so released upon such request, </w:t>
      </w:r>
      <w:r>
        <w:rPr>
          <w:rFonts w:ascii="Arial" w:cs="Arial" w:eastAsia="Arial" w:hAnsi="Arial"/>
          <w:sz w:val="17"/>
          <w:szCs w:val="17"/>
          <w:u w:val="single" w:color="auto"/>
          <w:color w:val="auto"/>
        </w:rPr>
        <w:t>provided</w:t>
      </w:r>
      <w:r>
        <w:rPr>
          <w:rFonts w:ascii="Arial" w:cs="Arial" w:eastAsia="Arial" w:hAnsi="Arial"/>
          <w:sz w:val="17"/>
          <w:szCs w:val="17"/>
          <w:color w:val="auto"/>
        </w:rPr>
        <w:t>, no Default exists immediately prior thereto or immediately after giving effect thereto, and either (a) such Guarantor has no outstanding Indebtedness or guaranties of Indebtedness (other than guaranties hereunder) or (b) the request is in contemplation of the sale or disposition of such Subsidiary (including all or substantially all of its assets). Administrative Agent is authorized to execute and deliver to Borrower evidence of any such release, as reasonably requested by, and at the expense of, Borrower.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33" w:right="239" w:bottom="1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t>ARTICLE VII. - Negative Covenants</w:t>
      </w:r>
    </w:p>
    <w:p>
      <w:pPr>
        <w:spacing w:after="0" w:line="225"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To conform with the terms and conditions under which each Lender is willing to have credit outstanding to Borrower and to induce each Lender to enter into this Agreement and make the Loans, Borrower covenants and agrees that until the full and final payment of the Obligations and the termination of this Agreement, unless Majority Lenders, or all Lenders as required under Section 10.1, have previously agreed otherwise:</w:t>
      </w:r>
    </w:p>
    <w:p>
      <w:pPr>
        <w:spacing w:after="0" w:line="16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Subsidiary Indebtedness</w:t>
      </w:r>
      <w:r>
        <w:rPr>
          <w:rFonts w:ascii="Arial" w:cs="Arial" w:eastAsia="Arial" w:hAnsi="Arial"/>
          <w:sz w:val="16"/>
          <w:szCs w:val="16"/>
          <w:color w:val="auto"/>
        </w:rPr>
        <w:t>. No Subsidiary of Borrower will incur any Indebtedness other than:</w:t>
      </w:r>
    </w:p>
    <w:p>
      <w:pPr>
        <w:spacing w:after="0" w:line="225" w:lineRule="exact"/>
        <w:rPr>
          <w:sz w:val="20"/>
          <w:szCs w:val="20"/>
          <w:color w:val="auto"/>
        </w:rPr>
      </w:pPr>
    </w:p>
    <w:p>
      <w:pPr>
        <w:ind w:left="1360" w:hanging="704"/>
        <w:spacing w:after="0"/>
        <w:tabs>
          <w:tab w:leader="none" w:pos="13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Obligations;</w:t>
      </w:r>
    </w:p>
    <w:p>
      <w:pPr>
        <w:spacing w:after="0" w:line="225" w:lineRule="exact"/>
        <w:rPr>
          <w:rFonts w:ascii="Arial" w:cs="Arial" w:eastAsia="Arial" w:hAnsi="Arial"/>
          <w:sz w:val="18"/>
          <w:szCs w:val="18"/>
          <w:color w:val="auto"/>
        </w:rPr>
      </w:pPr>
    </w:p>
    <w:p>
      <w:pPr>
        <w:ind w:right="140" w:firstLine="656"/>
        <w:spacing w:after="0" w:line="264" w:lineRule="auto"/>
        <w:tabs>
          <w:tab w:leader="none" w:pos="135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Guaranties by Guarantors of, and the incurrence of obligations by Guarantors as a co-obligor on (as distinguished from, and in addition to incurring such obligation as, a guarantor of), Indebtedness (i) arising under the US/Canada Credit Agreement, or (ii) of Borrower or any other Restricted Person, the incurrence of which did not result in a Default or an Event of Default;</w:t>
      </w:r>
    </w:p>
    <w:p>
      <w:pPr>
        <w:spacing w:after="0" w:line="181" w:lineRule="exact"/>
        <w:rPr>
          <w:rFonts w:ascii="Arial" w:cs="Arial" w:eastAsia="Arial" w:hAnsi="Arial"/>
          <w:sz w:val="18"/>
          <w:szCs w:val="18"/>
          <w:color w:val="auto"/>
        </w:rPr>
      </w:pPr>
    </w:p>
    <w:p>
      <w:pPr>
        <w:ind w:right="20" w:firstLine="656"/>
        <w:spacing w:after="0" w:line="277" w:lineRule="auto"/>
        <w:tabs>
          <w:tab w:leader="none" w:pos="134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Indebtedness of (i) PMC (Nova Scotia) Company and Plains Marketing Canada, L.P. pursuant to the US/Canada Credit Agreement, and (ii) Plains Marketing pursuant to the Contango Credit Agreement;</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Indebtedness of any Restricted Person owing to another Restricted Person;</w:t>
      </w:r>
    </w:p>
    <w:p>
      <w:pPr>
        <w:spacing w:after="0" w:line="225" w:lineRule="exact"/>
        <w:rPr>
          <w:rFonts w:ascii="Arial" w:cs="Arial" w:eastAsia="Arial" w:hAnsi="Arial"/>
          <w:sz w:val="18"/>
          <w:szCs w:val="18"/>
          <w:color w:val="auto"/>
        </w:rPr>
      </w:pPr>
    </w:p>
    <w:p>
      <w:pPr>
        <w:ind w:right="20" w:firstLine="656"/>
        <w:spacing w:after="0" w:line="342" w:lineRule="auto"/>
        <w:tabs>
          <w:tab w:leader="none" w:pos="1343"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Indebtedness of any Subsidiary described in clause (b) of the definition of “Indebtedness” that is determinable but not yet earned; </w:t>
      </w:r>
      <w:r>
        <w:rPr>
          <w:rFonts w:ascii="Arial" w:cs="Arial" w:eastAsia="Arial" w:hAnsi="Arial"/>
          <w:sz w:val="16"/>
          <w:szCs w:val="16"/>
          <w:u w:val="single" w:color="auto"/>
          <w:color w:val="auto"/>
        </w:rPr>
        <w:t>provided</w:t>
      </w:r>
      <w:r>
        <w:rPr>
          <w:rFonts w:ascii="Arial" w:cs="Arial" w:eastAsia="Arial" w:hAnsi="Arial"/>
          <w:sz w:val="16"/>
          <w:szCs w:val="16"/>
          <w:color w:val="auto"/>
        </w:rPr>
        <w:t>, Borrower reasonably contemplates that such Indebtedness will be repaid from the proceeds of one or more advances made by Borrower to such Subsidiary;</w:t>
      </w:r>
    </w:p>
    <w:p>
      <w:pPr>
        <w:spacing w:after="0" w:line="123" w:lineRule="exact"/>
        <w:rPr>
          <w:rFonts w:ascii="Arial" w:cs="Arial" w:eastAsia="Arial" w:hAnsi="Arial"/>
          <w:sz w:val="16"/>
          <w:szCs w:val="16"/>
          <w:color w:val="auto"/>
        </w:rPr>
      </w:pPr>
    </w:p>
    <w:p>
      <w:pPr>
        <w:ind w:right="120" w:firstLine="656"/>
        <w:spacing w:after="0" w:line="302" w:lineRule="auto"/>
        <w:tabs>
          <w:tab w:leader="none" w:pos="1368"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Indebtedness of a Subsidiary acquired (including acquisition by merger, consolidation or amalgamation) after the date hereof by a Restricted Person, which Indebtedness was incurred by such Subsidiary before the time of such acquisition, merger, consolidation or amalgamation, and was not created in contemplation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contemporaneously with such acquisition, merger, consolidation or amalgamation, and so long as no adverse tax and/or regulatory consequences are caused thereby, such Subsidiary shall be a Guarantor subject to the provisions of Section 6.9; and</w:t>
      </w:r>
    </w:p>
    <w:p>
      <w:pPr>
        <w:spacing w:after="0" w:line="154" w:lineRule="exact"/>
        <w:rPr>
          <w:rFonts w:ascii="Arial" w:cs="Arial" w:eastAsia="Arial" w:hAnsi="Arial"/>
          <w:sz w:val="16"/>
          <w:szCs w:val="16"/>
          <w:color w:val="auto"/>
        </w:rPr>
      </w:pPr>
    </w:p>
    <w:p>
      <w:pPr>
        <w:ind w:right="240" w:firstLine="656"/>
        <w:spacing w:after="0" w:line="342" w:lineRule="auto"/>
        <w:tabs>
          <w:tab w:leader="none" w:pos="1353"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Indebtedness not otherwise described in the foregoing clauses (a) through (f) owing by any one or more Guarantors in an aggregate principal amount not to exceed at any time outstanding the greater of (A) $100,000,000 and (B) fifteen percent (15%) of Consolidated Tangible Net Worth.</w:t>
      </w:r>
    </w:p>
    <w:p>
      <w:pPr>
        <w:spacing w:after="0" w:line="1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Limitation on Liens</w:t>
      </w:r>
      <w:r>
        <w:rPr>
          <w:rFonts w:ascii="Arial" w:cs="Arial" w:eastAsia="Arial" w:hAnsi="Arial"/>
          <w:sz w:val="18"/>
          <w:szCs w:val="18"/>
          <w:color w:val="auto"/>
        </w:rPr>
        <w:t>. No Restricted Person will create, assume or permit to exist any Lien upon any Principal Property or upon the stock, membership interests, partnership interests or other equity ownership interests of any Subsidiary of Borrower (other than Unrestricted Subsidiaries), except the following (“</w:t>
      </w:r>
      <w:r>
        <w:rPr>
          <w:rFonts w:ascii="Arial" w:cs="Arial" w:eastAsia="Arial" w:hAnsi="Arial"/>
          <w:sz w:val="18"/>
          <w:szCs w:val="18"/>
          <w:u w:val="single" w:color="auto"/>
          <w:color w:val="auto"/>
        </w:rPr>
        <w:t>Permitted Liens</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0" w:firstLine="656"/>
        <w:spacing w:after="0" w:line="277" w:lineRule="auto"/>
        <w:tabs>
          <w:tab w:leader="none" w:pos="134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Liens securing (i) on a pari passu basis, both (x) the Obligations and (y) the Liabilities of any Restricted Person arising under the US/Canada Credit Agreement, and (ii) if required, any related interest hedge rate agreements;</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225" w:lineRule="exact"/>
        <w:rPr>
          <w:rFonts w:ascii="Arial" w:cs="Arial" w:eastAsia="Arial" w:hAnsi="Arial"/>
          <w:sz w:val="18"/>
          <w:szCs w:val="18"/>
          <w:color w:val="auto"/>
        </w:rPr>
      </w:pPr>
    </w:p>
    <w:p>
      <w:pPr>
        <w:ind w:right="40" w:firstLine="656"/>
        <w:spacing w:after="0" w:line="264" w:lineRule="auto"/>
        <w:tabs>
          <w:tab w:leader="none" w:pos="134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Liens imposed by any governmental authority for taxes, assessments or charges not yet due or the validity of which is being contested in good faith and by appropriate proceedings, if necessary, for which adequate reserves are maintained on the books of any Restricted Person in accordance with GAAP;</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pledges or deposits of cash or securities under worker’s compensation, unemployment insurance or other social security legislation;</w:t>
      </w:r>
    </w:p>
    <w:p>
      <w:pPr>
        <w:spacing w:after="0" w:line="236" w:lineRule="exact"/>
        <w:rPr>
          <w:rFonts w:ascii="Arial" w:cs="Arial" w:eastAsia="Arial" w:hAnsi="Arial"/>
          <w:sz w:val="17"/>
          <w:szCs w:val="17"/>
          <w:color w:val="auto"/>
        </w:rPr>
      </w:pPr>
    </w:p>
    <w:p>
      <w:pPr>
        <w:jc w:val="both"/>
        <w:ind w:right="80" w:firstLine="656"/>
        <w:spacing w:after="0" w:line="279" w:lineRule="auto"/>
        <w:tabs>
          <w:tab w:leader="none" w:pos="1343" w:val="left"/>
        </w:tabs>
        <w:numPr>
          <w:ilvl w:val="0"/>
          <w:numId w:val="176"/>
        </w:numPr>
        <w:rPr>
          <w:rFonts w:ascii="Arial" w:cs="Arial" w:eastAsia="Arial" w:hAnsi="Arial"/>
          <w:sz w:val="17"/>
          <w:szCs w:val="17"/>
          <w:color w:val="auto"/>
        </w:rPr>
      </w:pPr>
      <w:r>
        <w:rPr>
          <w:rFonts w:ascii="Arial" w:cs="Arial" w:eastAsia="Arial" w:hAnsi="Arial"/>
          <w:sz w:val="17"/>
          <w:szCs w:val="17"/>
          <w:color w:val="auto"/>
        </w:rPr>
        <w:t>carriers’, warehousemen’s, mechanics’, materialmen’s, repairmen’s, landlord’s, or other like Liens (including without limitation, Liens on property of any Restricted Person in the possession of storage facilities, pipelines or barges) arising in the ordinary course of business for amounts which are not more than 60 days past due or the validity of which is being contested in good faith and, if necessary, by appropriate proceedings, and for which adequate reserves are maintained on the books of any Restricted Person in accordance with GAAP;</w:t>
      </w:r>
    </w:p>
    <w:p>
      <w:pPr>
        <w:spacing w:after="0" w:line="171" w:lineRule="exact"/>
        <w:rPr>
          <w:rFonts w:ascii="Arial" w:cs="Arial" w:eastAsia="Arial" w:hAnsi="Arial"/>
          <w:sz w:val="17"/>
          <w:szCs w:val="17"/>
          <w:color w:val="auto"/>
        </w:rPr>
      </w:pPr>
    </w:p>
    <w:p>
      <w:pPr>
        <w:ind w:right="380" w:firstLine="656"/>
        <w:spacing w:after="0" w:line="342" w:lineRule="auto"/>
        <w:tabs>
          <w:tab w:leader="none" w:pos="136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Liens on cash and Cash Equivalents under or with respect to accounts with brokers or counterparties with respect to hedging contracts consisting of cash, commodities or futures contracts, options, securities, instruments, and other like assets securing only hedging contracts;</w:t>
      </w:r>
    </w:p>
    <w:p>
      <w:pPr>
        <w:spacing w:after="0" w:line="123" w:lineRule="exact"/>
        <w:rPr>
          <w:rFonts w:ascii="Arial" w:cs="Arial" w:eastAsia="Arial" w:hAnsi="Arial"/>
          <w:sz w:val="16"/>
          <w:szCs w:val="16"/>
          <w:color w:val="auto"/>
        </w:rPr>
      </w:pPr>
    </w:p>
    <w:p>
      <w:pPr>
        <w:ind w:right="740" w:firstLine="656"/>
        <w:spacing w:after="0" w:line="342" w:lineRule="auto"/>
        <w:tabs>
          <w:tab w:leader="none" w:pos="1353" w:val="left"/>
        </w:tabs>
        <w:numPr>
          <w:ilvl w:val="0"/>
          <w:numId w:val="176"/>
        </w:numPr>
        <w:rPr>
          <w:rFonts w:ascii="Arial" w:cs="Arial" w:eastAsia="Arial" w:hAnsi="Arial"/>
          <w:sz w:val="16"/>
          <w:szCs w:val="16"/>
          <w:color w:val="auto"/>
        </w:rPr>
      </w:pPr>
      <w:r>
        <w:rPr>
          <w:rFonts w:ascii="Arial" w:cs="Arial" w:eastAsia="Arial" w:hAnsi="Arial"/>
          <w:sz w:val="16"/>
          <w:szCs w:val="16"/>
          <w:color w:val="auto"/>
        </w:rPr>
        <w:t>deposits of cash or securities to secure the performance of bids, trade contracts (other than for borrowed money), leases, statutory obligations, surety and appeal bonds, performance bonds and other obligations of a like nature incurred in the ordinary course of business;</w:t>
      </w:r>
    </w:p>
    <w:p>
      <w:pPr>
        <w:spacing w:after="0" w:line="123" w:lineRule="exact"/>
        <w:rPr>
          <w:rFonts w:ascii="Arial" w:cs="Arial" w:eastAsia="Arial" w:hAnsi="Arial"/>
          <w:sz w:val="16"/>
          <w:szCs w:val="16"/>
          <w:color w:val="auto"/>
        </w:rPr>
      </w:pPr>
    </w:p>
    <w:p>
      <w:pPr>
        <w:ind w:right="260" w:firstLine="656"/>
        <w:spacing w:after="0" w:line="259" w:lineRule="auto"/>
        <w:tabs>
          <w:tab w:leader="none" w:pos="135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incurred in the ordinary course of business and encumbrances consisting of zoning restrictions, easements, licenses, restrictions on the use of real property or minor imperfections in title thereto which, in the aggregate, are not material in amount, and which do not in any case materially detract from the value of the property subject thereto or interfere with the ordinary conduct of the business of any Restricted Person;</w:t>
      </w:r>
    </w:p>
    <w:p>
      <w:pPr>
        <w:spacing w:after="0" w:line="186" w:lineRule="exact"/>
        <w:rPr>
          <w:rFonts w:ascii="Arial" w:cs="Arial" w:eastAsia="Arial" w:hAnsi="Arial"/>
          <w:sz w:val="18"/>
          <w:szCs w:val="18"/>
          <w:color w:val="auto"/>
        </w:rPr>
      </w:pPr>
    </w:p>
    <w:p>
      <w:pPr>
        <w:ind w:left="1360" w:hanging="704"/>
        <w:spacing w:after="0"/>
        <w:tabs>
          <w:tab w:leader="none" w:pos="13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Liens in respect of operating leases;</w:t>
      </w:r>
    </w:p>
    <w:p>
      <w:pPr>
        <w:spacing w:after="0" w:line="225" w:lineRule="exact"/>
        <w:rPr>
          <w:rFonts w:ascii="Arial" w:cs="Arial" w:eastAsia="Arial" w:hAnsi="Arial"/>
          <w:sz w:val="18"/>
          <w:szCs w:val="18"/>
          <w:color w:val="auto"/>
        </w:rPr>
      </w:pPr>
    </w:p>
    <w:p>
      <w:pPr>
        <w:ind w:firstLine="656"/>
        <w:spacing w:after="0" w:line="297" w:lineRule="auto"/>
        <w:tabs>
          <w:tab w:leader="none" w:pos="135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Liens upon any property or assets directly or indirectly acquired after the date hereof by a Restricted Person, each of which either (i) existed on such property or asset before the time of its acquisition and was not created in anticipation thereof, or (ii) was created solely for the purpose of securing Indebtedness representing, or incurred to finance, refinance or refund, the cost (including the cost of construction) of such property or asset; provided that no such Lien shall extend to or cover any property or asset of a Restricted Person other than the property or asset so acquired (or constructed); and any extension, renewal, refinancing, refunding or replacement (or successive extensions, renewals, refinancings, refundings or replacements), 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91" w:name="page92"/>
    <w:bookmarkEnd w:id="91"/>
    <w:p>
      <w:pPr>
        <w:spacing w:after="0"/>
        <w:rPr>
          <w:sz w:val="20"/>
          <w:szCs w:val="20"/>
          <w:color w:val="auto"/>
        </w:rPr>
      </w:pPr>
      <w:r>
        <w:rPr>
          <w:rFonts w:ascii="Arial" w:cs="Arial" w:eastAsia="Arial" w:hAnsi="Arial"/>
          <w:sz w:val="17"/>
          <w:szCs w:val="17"/>
          <w:color w:val="auto"/>
        </w:rPr>
        <w:t>whole or part, of the foregoing, provided, however, that such Liens shall not cover or secure any additional Indebtedness, obligations, property or asset;</w:t>
      </w:r>
    </w:p>
    <w:p>
      <w:pPr>
        <w:spacing w:after="0" w:line="237" w:lineRule="exact"/>
        <w:rPr>
          <w:sz w:val="20"/>
          <w:szCs w:val="20"/>
          <w:color w:val="auto"/>
        </w:rPr>
      </w:pPr>
    </w:p>
    <w:p>
      <w:pPr>
        <w:ind w:right="260" w:firstLine="656"/>
        <w:spacing w:after="0" w:line="264" w:lineRule="auto"/>
        <w:tabs>
          <w:tab w:leader="none" w:pos="135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rights reserved to or vested in any governmental authority by the terms of any right, power, franchise, grant, license or permit, or by any provision of law, to revoke or terminate any such right, power, franchise, grant, license or permit or to condemn or acquire by eminent domain or similar process;</w:t>
      </w:r>
    </w:p>
    <w:p>
      <w:pPr>
        <w:spacing w:after="0" w:line="181" w:lineRule="exact"/>
        <w:rPr>
          <w:rFonts w:ascii="Arial" w:cs="Arial" w:eastAsia="Arial" w:hAnsi="Arial"/>
          <w:sz w:val="18"/>
          <w:szCs w:val="18"/>
          <w:color w:val="auto"/>
        </w:rPr>
      </w:pPr>
    </w:p>
    <w:p>
      <w:pPr>
        <w:ind w:right="20" w:firstLine="656"/>
        <w:spacing w:after="0" w:line="342" w:lineRule="auto"/>
        <w:tabs>
          <w:tab w:leader="none" w:pos="1358" w:val="left"/>
        </w:tabs>
        <w:numPr>
          <w:ilvl w:val="0"/>
          <w:numId w:val="177"/>
        </w:numPr>
        <w:rPr>
          <w:rFonts w:ascii="Arial" w:cs="Arial" w:eastAsia="Arial" w:hAnsi="Arial"/>
          <w:sz w:val="16"/>
          <w:szCs w:val="16"/>
          <w:color w:val="auto"/>
        </w:rPr>
      </w:pPr>
      <w:r>
        <w:rPr>
          <w:rFonts w:ascii="Arial" w:cs="Arial" w:eastAsia="Arial" w:hAnsi="Arial"/>
          <w:sz w:val="16"/>
          <w:szCs w:val="16"/>
          <w:color w:val="auto"/>
        </w:rPr>
        <w:t>rights reserved to or vested by Law in any governmental authority to in any manner, control or regulate in any manner any of the properties of any Restricted Person or the use thereof or the rights and interests of any Restricted Person therein, in any manner under any and all Laws;</w:t>
      </w:r>
    </w:p>
    <w:p>
      <w:pPr>
        <w:spacing w:after="0" w:line="123" w:lineRule="exact"/>
        <w:rPr>
          <w:rFonts w:ascii="Arial" w:cs="Arial" w:eastAsia="Arial" w:hAnsi="Arial"/>
          <w:sz w:val="16"/>
          <w:szCs w:val="16"/>
          <w:color w:val="auto"/>
        </w:rPr>
      </w:pPr>
    </w:p>
    <w:p>
      <w:pPr>
        <w:ind w:right="380" w:firstLine="656"/>
        <w:spacing w:after="0" w:line="342" w:lineRule="auto"/>
        <w:tabs>
          <w:tab w:leader="none" w:pos="1358" w:val="left"/>
        </w:tabs>
        <w:numPr>
          <w:ilvl w:val="0"/>
          <w:numId w:val="177"/>
        </w:numPr>
        <w:rPr>
          <w:rFonts w:ascii="Arial" w:cs="Arial" w:eastAsia="Arial" w:hAnsi="Arial"/>
          <w:sz w:val="16"/>
          <w:szCs w:val="16"/>
          <w:color w:val="auto"/>
        </w:rPr>
      </w:pPr>
      <w:r>
        <w:rPr>
          <w:rFonts w:ascii="Arial" w:cs="Arial" w:eastAsia="Arial" w:hAnsi="Arial"/>
          <w:sz w:val="16"/>
          <w:szCs w:val="16"/>
          <w:color w:val="auto"/>
        </w:rPr>
        <w:t>rights reserved to the grantors of any properties of any Restricted Person, and the restrictions, conditions, restrictive covenants and limitations, in respect thereto, pursuant to the terms, conditions and provisions of any rights-of-way agreements, contracts or other agreements therewith;</w:t>
      </w:r>
    </w:p>
    <w:p>
      <w:pPr>
        <w:spacing w:after="0" w:line="123" w:lineRule="exact"/>
        <w:rPr>
          <w:rFonts w:ascii="Arial" w:cs="Arial" w:eastAsia="Arial" w:hAnsi="Arial"/>
          <w:sz w:val="16"/>
          <w:szCs w:val="16"/>
          <w:color w:val="auto"/>
        </w:rPr>
      </w:pPr>
    </w:p>
    <w:p>
      <w:pPr>
        <w:ind w:left="1360" w:hanging="704"/>
        <w:spacing w:after="0"/>
        <w:tabs>
          <w:tab w:leader="none" w:pos="13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inchoate Liens in respect of pending litigation or with respect to a judgment which has not resulted in an Event of Default under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8.1;</w:t>
      </w:r>
    </w:p>
    <w:p>
      <w:pPr>
        <w:spacing w:after="0" w:line="211" w:lineRule="exact"/>
        <w:rPr>
          <w:sz w:val="20"/>
          <w:szCs w:val="20"/>
          <w:color w:val="auto"/>
        </w:rPr>
      </w:pPr>
    </w:p>
    <w:p>
      <w:pPr>
        <w:ind w:right="580" w:firstLine="656"/>
        <w:spacing w:after="0" w:line="277" w:lineRule="auto"/>
        <w:tabs>
          <w:tab w:leader="none" w:pos="135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securing obligations in an aggregate principal amount not to exceed at any time outstanding 10% of Borrower’s Consolidated Tangible Net Worth; and</w:t>
      </w:r>
    </w:p>
    <w:p>
      <w:pPr>
        <w:spacing w:after="0" w:line="170" w:lineRule="exact"/>
        <w:rPr>
          <w:rFonts w:ascii="Arial" w:cs="Arial" w:eastAsia="Arial" w:hAnsi="Arial"/>
          <w:sz w:val="18"/>
          <w:szCs w:val="18"/>
          <w:color w:val="auto"/>
        </w:rPr>
      </w:pPr>
    </w:p>
    <w:p>
      <w:pPr>
        <w:jc w:val="both"/>
        <w:ind w:right="20" w:firstLine="656"/>
        <w:spacing w:after="0" w:line="264" w:lineRule="auto"/>
        <w:tabs>
          <w:tab w:leader="none" w:pos="135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related to the extension, renewal, refinancing, refunding or replacement (or successive extensions, renewals, refinancings, refundings or replacements), in whole or in part, of clauses (a), (b) and (o) of this Section 7.2; provided, however, that such Liens shall not cover or secure any additional Indebtedness.</w:t>
      </w:r>
    </w:p>
    <w:p>
      <w:pPr>
        <w:spacing w:after="0" w:line="18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Limitation on Mergers</w:t>
      </w:r>
      <w:r>
        <w:rPr>
          <w:rFonts w:ascii="Arial" w:cs="Arial" w:eastAsia="Arial" w:hAnsi="Arial"/>
          <w:sz w:val="16"/>
          <w:szCs w:val="16"/>
          <w:color w:val="auto"/>
        </w:rPr>
        <w:t xml:space="preserve">. Except as expressly provided in this section, no Significant Restricted Person (other than (i) a Guarantor for whom a release has been requested pursuant to an event described in clause (b) of Section 6.9 and otherwise is so released, or (ii) such other Significant Restricted Person, other than Borrower, that is the subject of any such event described in such clause (b) of Section 6.9) will (a) merge or consolidate or amalgamate with any Person, or liquidate, wind up or dissolve or (b) sell, transfer, lease, exchange or otherwise dispose of, in one transaction or a series of related transactions, all or substantially all of its business or property, whether now owned or hereafter acquired, to any Person; </w:t>
      </w:r>
      <w:r>
        <w:rPr>
          <w:rFonts w:ascii="Arial" w:cs="Arial" w:eastAsia="Arial" w:hAnsi="Arial"/>
          <w:sz w:val="16"/>
          <w:szCs w:val="16"/>
          <w:u w:val="single" w:color="auto"/>
          <w:color w:val="auto"/>
        </w:rPr>
        <w:t>provided</w:t>
      </w:r>
      <w:r>
        <w:rPr>
          <w:rFonts w:ascii="Arial" w:cs="Arial" w:eastAsia="Arial" w:hAnsi="Arial"/>
          <w:sz w:val="16"/>
          <w:szCs w:val="16"/>
          <w:color w:val="auto"/>
        </w:rPr>
        <w:t>, any such Significant Restricted Person, other than Borrower, may (A) merge into or consolidate or amalgamate with, and such business and property may be disposed of to:</w:t>
      </w:r>
    </w:p>
    <w:p>
      <w:pPr>
        <w:spacing w:after="0" w:line="165" w:lineRule="exact"/>
        <w:rPr>
          <w:sz w:val="20"/>
          <w:szCs w:val="20"/>
          <w:color w:val="auto"/>
        </w:rPr>
      </w:pPr>
    </w:p>
    <w:p>
      <w:pPr>
        <w:ind w:right="360" w:firstLine="656"/>
        <w:spacing w:after="0" w:line="277" w:lineRule="auto"/>
        <w:tabs>
          <w:tab w:leader="none" w:pos="135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any other Subsidiary of Borrower; </w:t>
      </w:r>
      <w:r>
        <w:rPr>
          <w:rFonts w:ascii="Arial" w:cs="Arial" w:eastAsia="Arial" w:hAnsi="Arial"/>
          <w:sz w:val="18"/>
          <w:szCs w:val="18"/>
          <w:u w:val="single" w:color="auto"/>
          <w:color w:val="auto"/>
        </w:rPr>
        <w:t>provided</w:t>
      </w:r>
      <w:r>
        <w:rPr>
          <w:rFonts w:ascii="Arial" w:cs="Arial" w:eastAsia="Arial" w:hAnsi="Arial"/>
          <w:sz w:val="18"/>
          <w:szCs w:val="18"/>
          <w:color w:val="auto"/>
        </w:rPr>
        <w:t>, if such Significant Restricted Person or such Subsidiary is a Guarantor, a Guarantor is the surviving or transferee (as applicable) business entity,</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Borrower, so long as Borrower is the surviving or transferee (as applicable) business entity and after giving effect thereto, no Default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exists, 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656"/>
        <w:spacing w:after="0" w:line="279" w:lineRule="auto"/>
        <w:tabs>
          <w:tab w:leader="none" w:pos="1368" w:val="left"/>
        </w:tabs>
        <w:numPr>
          <w:ilvl w:val="1"/>
          <w:numId w:val="180"/>
        </w:numPr>
        <w:rPr>
          <w:rFonts w:ascii="Arial" w:cs="Arial" w:eastAsia="Arial" w:hAnsi="Arial"/>
          <w:sz w:val="17"/>
          <w:szCs w:val="17"/>
          <w:color w:val="auto"/>
        </w:rPr>
      </w:pPr>
      <w:r>
        <w:rPr>
          <w:rFonts w:ascii="Arial" w:cs="Arial" w:eastAsia="Arial" w:hAnsi="Arial"/>
          <w:sz w:val="17"/>
          <w:szCs w:val="17"/>
          <w:color w:val="auto"/>
        </w:rPr>
        <w:t xml:space="preserve">any other Person pursuant or incidental to, or in connection with, any contemporaneous or substantially contemporaneous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clause (iii) such merging, amalgamating, consolidating or transferor Significant Restricted Person is not Borrower, Guarantor or a Wholly Owned Subsidiary of Borrower, other than a Wholly Owned Subsidiary that was formed, acquired or created solely for purposes of such acquisition or otherwise conducted no operations and owned no assets, other than of an inconsequential amount and</w:t>
      </w:r>
    </w:p>
    <w:p>
      <w:pPr>
        <w:spacing w:after="0" w:line="171" w:lineRule="exact"/>
        <w:rPr>
          <w:rFonts w:ascii="Arial" w:cs="Arial" w:eastAsia="Arial" w:hAnsi="Arial"/>
          <w:sz w:val="17"/>
          <w:szCs w:val="17"/>
          <w:color w:val="auto"/>
        </w:rPr>
      </w:pPr>
    </w:p>
    <w:p>
      <w:pPr>
        <w:ind w:left="300" w:hanging="292"/>
        <w:spacing w:after="0"/>
        <w:tabs>
          <w:tab w:leader="none" w:pos="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dissolve, liquidate or wind up if such dissolution, liquidation and winding up results from dispositions not prohibited by this Agreement.</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u w:val="single" w:color="auto"/>
          <w:color w:val="auto"/>
        </w:rPr>
        <w:t>Limitation on New Businesses</w:t>
      </w:r>
      <w:r>
        <w:rPr>
          <w:rFonts w:ascii="Arial" w:cs="Arial" w:eastAsia="Arial" w:hAnsi="Arial"/>
          <w:sz w:val="17"/>
          <w:szCs w:val="17"/>
          <w:color w:val="auto"/>
        </w:rPr>
        <w:t>. No Restricted Person will materially or substantially engage directly or indirectly in any business or conduct any operations other than (i) marketing, gathering, transporting (by barge, pipeline, ship, truck or other modes of hydrocarbon transportation), terminalling, storing, producing, acquiring, developing, exploring for, exploiting, producing, processing, dehydrating and otherwise handling hydrocarbons, including, without limitation, constructing pipeline, platform, dehydration, processing and other energy-related facilities, (ii) any other business that generates gross income that constitutes “qualifying income” under Section 7704(d) of the Internal Revenue Code of 1986, as amended, or (iii) activities or services reasonably related or ancillary thereto, including entering into hedging obligations to support those businesses.</w:t>
      </w:r>
    </w:p>
    <w:p>
      <w:pPr>
        <w:spacing w:after="0" w:line="17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No Restricted Person will engage in any material transaction with any of its Affiliates except as</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follows: (a) transactions among Borrower and its Subsidiaries or between Subsidiaries of Borrower; (b) if and to the extent any of them constitute transactions with Affiliates, transactions governed by the Amended and Restated Omnibus Agreement between Plains Resources Inc., Borrower, Plains Marketing, GP LLC, Plains Marketing GP, Inc. and Plains Pipeline (and successors of each) dated July 23, 2004, as amended and in effect; the Administrative Services Agreement between GP LLC and Vulcan Energy Company dated October 14, 2005, as amended and in effect; the Amended and Restated Limited Liability Company Agreement of PAA/Vulcan Natural Gas Storage, LLC, dated as of September 16, 2005, and amended by the First Amendment thereto dated as of May 9, 2006, as further amended and in effect; the Natural Gas Supply Agreement between Borrower and PAA/Vulcan Natural Gas Storage, LLC dated as of May 9, 2006, as amended and in effect; or the Amended and Restated Crude Oil Marketing Agreement among Plains Resources Inc., Calumet Florida, LLC and Plains Marketing dated as of July 23, 2004, as amended; (c) any employment, equity award, equity option or equity appreciation agreement or plan entered into by Borrower or any of its Subsidiaries in the ordinary course of business of Borrower or such Subsidiary; (d) transactions effected in accordance with the terms of agreements as in effect on the Closing Date; (e) customary compensation, indemnification and other benefits made available to officers, directors or employees of Borrower, any of its Subsidiaries or GP LLC, including reimbursement or advancement of out-of-pocket expenses and provisions of officers’ and directors’ liability insurance; (f) transactions as contemplated by Borrower’s agreement of limited partnership; and (g) transactions on terms which are no less favorable to such Restricted Person than those which would have been obtainable at the time in arm’s-length transactions with Persons other than such Affiliates.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505" w:gutter="0" w:footer="0" w:header="0"/>
        </w:sectPr>
      </w:pPr>
    </w:p>
    <w:bookmarkStart w:id="92" w:name="page93"/>
    <w:bookmarkEnd w:id="92"/>
    <w:p>
      <w:pPr>
        <w:spacing w:after="0" w:line="7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Limitation on Distributions</w:t>
      </w:r>
      <w:r>
        <w:rPr>
          <w:rFonts w:ascii="Arial" w:cs="Arial" w:eastAsia="Arial" w:hAnsi="Arial"/>
          <w:sz w:val="18"/>
          <w:szCs w:val="18"/>
          <w:color w:val="auto"/>
        </w:rPr>
        <w:t>. Borrower shall not declare or pay any Distribution so long as any Default or Event of Default has occurred and is continuing or would result therefrom.</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Section 7.7. </w:t>
      </w:r>
      <w:r>
        <w:rPr>
          <w:rFonts w:ascii="Arial" w:cs="Arial" w:eastAsia="Arial" w:hAnsi="Arial"/>
          <w:sz w:val="17"/>
          <w:szCs w:val="17"/>
          <w:u w:val="single" w:color="auto"/>
          <w:color w:val="auto"/>
        </w:rPr>
        <w:t>Restricted Contracts</w:t>
      </w:r>
      <w:r>
        <w:rPr>
          <w:rFonts w:ascii="Arial" w:cs="Arial" w:eastAsia="Arial" w:hAnsi="Arial"/>
          <w:sz w:val="17"/>
          <w:szCs w:val="17"/>
          <w:color w:val="auto"/>
        </w:rPr>
        <w:t>. Except as expressly provided for in the Loan Documents, the US/Canada Credit Agreement and as described in the Disclosure Schedule or pursuant to a Restriction Exception, the substance of which, in detail satisfactory to Administrative Agent, is promptly reported to Administrative Agent, no Restricted Person will, directly or indirectly, enter into, create, or otherwise allow to exist any contract or other consensual restriction on the ability of any Subsidiary of Borrower, including but not limited to PMC (Nova Scotia) Company, Plains Marketing Canada, L.P. and any Subsidiary of such Persons to: (a) pay dividends or make other distributions to Borrower, (b) redeem equity interests held in it by Borrower, (c) repay loans and other indebtedness owing by it to Borrower, or (d) transfer any of its assets to Borrower.</w:t>
      </w:r>
    </w:p>
    <w:p>
      <w:pPr>
        <w:spacing w:after="0" w:line="17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Debt Coverage Ratio</w:t>
      </w:r>
      <w:r>
        <w:rPr>
          <w:rFonts w:ascii="Arial" w:cs="Arial" w:eastAsia="Arial" w:hAnsi="Arial"/>
          <w:sz w:val="18"/>
          <w:szCs w:val="18"/>
          <w:color w:val="auto"/>
        </w:rPr>
        <w:t>. At the end of any Fiscal Quarter, the Debt Coverage Ratio will not be greater than the amount set forth below for the applicable time set forth below:</w:t>
      </w:r>
    </w:p>
    <w:p>
      <w:pPr>
        <w:spacing w:after="0" w:line="170"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(i)</w:t>
            </w:r>
          </w:p>
        </w:tc>
        <w:tc>
          <w:tcPr>
            <w:tcW w:w="3140" w:type="dxa"/>
            <w:vAlign w:val="bottom"/>
          </w:tcPr>
          <w:p>
            <w:pPr>
              <w:ind w:left="260"/>
              <w:spacing w:after="0"/>
              <w:rPr>
                <w:sz w:val="20"/>
                <w:szCs w:val="20"/>
                <w:color w:val="auto"/>
              </w:rPr>
            </w:pPr>
            <w:r>
              <w:rPr>
                <w:rFonts w:ascii="Arial" w:cs="Arial" w:eastAsia="Arial" w:hAnsi="Arial"/>
                <w:sz w:val="18"/>
                <w:szCs w:val="18"/>
                <w:color w:val="auto"/>
              </w:rPr>
              <w:t>During an Acquisition Period:</w:t>
            </w:r>
          </w:p>
        </w:tc>
        <w:tc>
          <w:tcPr>
            <w:tcW w:w="1280" w:type="dxa"/>
            <w:vAlign w:val="bottom"/>
          </w:tcPr>
          <w:p>
            <w:pPr>
              <w:ind w:left="500"/>
              <w:spacing w:after="0"/>
              <w:rPr>
                <w:sz w:val="20"/>
                <w:szCs w:val="20"/>
                <w:color w:val="auto"/>
              </w:rPr>
            </w:pPr>
            <w:r>
              <w:rPr>
                <w:rFonts w:ascii="Arial" w:cs="Arial" w:eastAsia="Arial" w:hAnsi="Arial"/>
                <w:sz w:val="18"/>
                <w:szCs w:val="18"/>
                <w:color w:val="auto"/>
                <w:w w:val="89"/>
              </w:rPr>
              <w:t>5.25 to 1.0</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(ii)</w:t>
            </w:r>
          </w:p>
        </w:tc>
        <w:tc>
          <w:tcPr>
            <w:tcW w:w="3140" w:type="dxa"/>
            <w:vAlign w:val="bottom"/>
          </w:tcPr>
          <w:p>
            <w:pPr>
              <w:ind w:left="260"/>
              <w:spacing w:after="0"/>
              <w:rPr>
                <w:sz w:val="20"/>
                <w:szCs w:val="20"/>
                <w:color w:val="auto"/>
              </w:rPr>
            </w:pPr>
            <w:r>
              <w:rPr>
                <w:rFonts w:ascii="Arial" w:cs="Arial" w:eastAsia="Arial" w:hAnsi="Arial"/>
                <w:sz w:val="18"/>
                <w:szCs w:val="18"/>
                <w:color w:val="auto"/>
              </w:rPr>
              <w:t>Other than an Acquisition Period:</w:t>
            </w:r>
          </w:p>
        </w:tc>
        <w:tc>
          <w:tcPr>
            <w:tcW w:w="1280" w:type="dxa"/>
            <w:vAlign w:val="bottom"/>
          </w:tcPr>
          <w:p>
            <w:pPr>
              <w:ind w:left="440"/>
              <w:spacing w:after="0"/>
              <w:rPr>
                <w:sz w:val="20"/>
                <w:szCs w:val="20"/>
                <w:color w:val="auto"/>
              </w:rPr>
            </w:pPr>
            <w:r>
              <w:rPr>
                <w:rFonts w:ascii="Arial" w:cs="Arial" w:eastAsia="Arial" w:hAnsi="Arial"/>
                <w:sz w:val="18"/>
                <w:szCs w:val="18"/>
                <w:color w:val="auto"/>
                <w:w w:val="96"/>
              </w:rPr>
              <w:t>4.75 to 1.0</w:t>
            </w:r>
          </w:p>
        </w:tc>
      </w:tr>
    </w:tbl>
    <w:p>
      <w:pPr>
        <w:spacing w:after="0" w:line="20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As used herein, “</w:t>
      </w:r>
      <w:r>
        <w:rPr>
          <w:rFonts w:ascii="Arial" w:cs="Arial" w:eastAsia="Arial" w:hAnsi="Arial"/>
          <w:sz w:val="17"/>
          <w:szCs w:val="17"/>
          <w:u w:val="single" w:color="auto"/>
          <w:color w:val="auto"/>
        </w:rPr>
        <w:t>Debt Coverage Ratio</w:t>
      </w:r>
      <w:r>
        <w:rPr>
          <w:rFonts w:ascii="Arial" w:cs="Arial" w:eastAsia="Arial" w:hAnsi="Arial"/>
          <w:sz w:val="17"/>
          <w:szCs w:val="17"/>
          <w:color w:val="auto"/>
        </w:rPr>
        <w:t xml:space="preserve">” means the ratio of (a) Consolidated Funded Indebtedness to (b) Consolidated EBITDA, for the four Fiscal Quarter period (or other period specified below) most recently ended prior to the date of determination for which financial statements contemplated by Section 6.2(a) or (b) are available to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for purposes of this Section 7.8, if, since the beginning of the four Fiscal Quarter period ending on the date for which Consolidated EBITDA is determined, any Restricted Person shall have made any asset disposition or acquisition, shall have consolidated or merged with or into any Person (other than another Restricted Person), or shall have made any disposition or acquisition of a Restricted Person or disposition or acquisition of any partial ownership interest in any other Person, Consolidated EBITDA shall be calculated giving pro forma effect thereto as if the disposition, acquisition, consolidation or merger had occurred on the first day of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with respect to any Person not constituting a Subsidiary of Borrower, such pro forma calculation of Consolidated EBITDA, with respect to any such Person, shall be limited to not more than 75% of (i) such Restricted Person’s ownership interest in such Person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(ii) the difference of such Person’s (A) Consolidated EBITDA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Interest Expense and capital expenditures. Such pro forma calculations shall be determined (i) in good faith by the chief financial officer of Borrower, and (ii) without giving effect to any anticipated or proposed change in operations, revenues, expenses or other items included in the computation of Consolidated EBITDA, except cost reductions specifically identified at the time of disposition, acquisition, consolidation or merger that are attributable to personnel reductions, non-recurring maintenance and environmental costs and allocated corporate overhead; </w:t>
      </w:r>
      <w:r>
        <w:rPr>
          <w:rFonts w:ascii="Arial" w:cs="Arial" w:eastAsia="Arial" w:hAnsi="Arial"/>
          <w:sz w:val="17"/>
          <w:szCs w:val="17"/>
          <w:u w:val="single" w:color="auto"/>
          <w:color w:val="auto"/>
        </w:rPr>
        <w:t>provided further</w:t>
      </w:r>
      <w:r>
        <w:rPr>
          <w:rFonts w:ascii="Arial" w:cs="Arial" w:eastAsia="Arial" w:hAnsi="Arial"/>
          <w:sz w:val="17"/>
          <w:szCs w:val="17"/>
          <w:color w:val="auto"/>
        </w:rPr>
        <w:t>, Consolidated EBITDA may include, at Borrower’s option, any Material Project EBITDA Adjustments as provided below.</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Material Project EBITDA Adjustments</w:t>
      </w:r>
      <w:r>
        <w:rPr>
          <w:rFonts w:ascii="Arial" w:cs="Arial" w:eastAsia="Arial" w:hAnsi="Arial"/>
          <w:sz w:val="18"/>
          <w:szCs w:val="18"/>
          <w:color w:val="auto"/>
        </w:rPr>
        <w:t>” means, with respect to the construction or expansion of any capital project of Borrower or any of its Consolidated Subsidiaries (excluding Unrestricted Subsidiaries), the aggregate capital cost of which (inclusive of capital costs expended prior to the acquisition thereof) is reasonably expected by Borrower to exceed, or exceeds, $50,000,000 (a “</w:t>
      </w:r>
      <w:r>
        <w:rPr>
          <w:rFonts w:ascii="Arial" w:cs="Arial" w:eastAsia="Arial" w:hAnsi="Arial"/>
          <w:sz w:val="18"/>
          <w:szCs w:val="18"/>
          <w:u w:val="single" w:color="auto"/>
          <w:color w:val="auto"/>
        </w:rPr>
        <w:t>Material Project</w:t>
      </w:r>
      <w:r>
        <w:rPr>
          <w:rFonts w:ascii="Arial" w:cs="Arial" w:eastAsia="Arial" w:hAnsi="Arial"/>
          <w:sz w:val="18"/>
          <w:szCs w:val="18"/>
          <w:color w:val="auto"/>
        </w:rPr>
        <w:t>”):</w:t>
      </w:r>
    </w:p>
    <w:p>
      <w:pPr>
        <w:spacing w:after="0" w:line="181" w:lineRule="exact"/>
        <w:rPr>
          <w:sz w:val="20"/>
          <w:szCs w:val="20"/>
          <w:color w:val="auto"/>
        </w:rPr>
      </w:pPr>
    </w:p>
    <w:p>
      <w:pPr>
        <w:ind w:left="660" w:right="40" w:firstLine="645"/>
        <w:spacing w:after="0" w:line="268" w:lineRule="auto"/>
        <w:tabs>
          <w:tab w:leader="none" w:pos="1603" w:val="left"/>
        </w:tabs>
        <w:numPr>
          <w:ilvl w:val="0"/>
          <w:numId w:val="182"/>
        </w:numPr>
        <w:rPr>
          <w:rFonts w:ascii="Arial" w:cs="Arial" w:eastAsia="Arial" w:hAnsi="Arial"/>
          <w:sz w:val="17"/>
          <w:szCs w:val="17"/>
          <w:color w:val="auto"/>
        </w:rPr>
      </w:pPr>
      <w:r>
        <w:rPr>
          <w:rFonts w:ascii="Arial" w:cs="Arial" w:eastAsia="Arial" w:hAnsi="Arial"/>
          <w:sz w:val="17"/>
          <w:szCs w:val="17"/>
          <w:color w:val="auto"/>
        </w:rPr>
        <w:t>prior to the date on which a Material Project has achieved commercial operation (the “</w:t>
      </w:r>
      <w:r>
        <w:rPr>
          <w:rFonts w:ascii="Arial" w:cs="Arial" w:eastAsia="Arial" w:hAnsi="Arial"/>
          <w:sz w:val="17"/>
          <w:szCs w:val="17"/>
          <w:u w:val="single" w:color="auto"/>
          <w:color w:val="auto"/>
        </w:rPr>
        <w:t>Commercial Operation Date</w:t>
      </w:r>
      <w:r>
        <w:rPr>
          <w:rFonts w:ascii="Arial" w:cs="Arial" w:eastAsia="Arial" w:hAnsi="Arial"/>
          <w:sz w:val="17"/>
          <w:szCs w:val="17"/>
          <w:color w:val="auto"/>
        </w:rPr>
        <w:t xml:space="preserve">”) (but including the fiscal quarter in which such Commercial Operation Date occurs), a percentage (based on the then-current completion percentage of such Material Project) of an amount to be approved by Administrative Agent as the projected Consolidated EBITDA attributable to such Material Project for the first 12-month period following the scheduled Commercial Operation Date of such Material Project (such amount to be determined based on customer contracts or tariff-based customers relating to such Material Project, the creditworthiness of the other parties to such contracts or such tariff-based customers, and projected revenues from such contracts, tariffs, capital costs and expenses, scheduled Commercial Operation Date, oil and gas reserve and production estimates, commodity price assumptions and other factors deemed appropriate by Administrative Agent), which may, at Borrower’s option, be added to actual Consolidated EBITDA for the fiscal quarter in which construction or expansion of such Material Project commences and for each fiscal quarter thereafter until the Commercial Operation Date of such Material Project (including the fiscal quarter in which such Commercial Operation Date occurs, but net of any actual Consolidated EBITDA attributable to such Material Project following such Commercial Operation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actual Commercial Operation Date does not occur by the scheduled Commercial Operation Date, then the foregoing amount shall be reduced, for quarters ending after the scheduled Commercial Operation Date to (but excluding) the first full quarter after its Commercial Operation Date, by the following percentage amounts depending on the period of delay (based on the period of actual delay or then-estimated delay, whichever is longer): (i) 90 days or less, 0%, (ii) longer than 90 days, but not more than 180 days, 25%</w:t>
      </w:r>
      <w:r>
        <w:rPr>
          <w:rFonts w:ascii="Arial" w:cs="Arial" w:eastAsia="Arial" w:hAnsi="Arial"/>
          <w:sz w:val="17"/>
          <w:szCs w:val="17"/>
          <w:b w:val="1"/>
          <w:bCs w:val="1"/>
          <w:color w:val="auto"/>
        </w:rPr>
        <w:t>,</w:t>
      </w:r>
      <w:r>
        <w:rPr>
          <w:rFonts w:ascii="Arial" w:cs="Arial" w:eastAsia="Arial" w:hAnsi="Arial"/>
          <w:sz w:val="17"/>
          <w:szCs w:val="17"/>
          <w:color w:val="auto"/>
        </w:rPr>
        <w:t xml:space="preserve"> (iii) longer than 180 days but not more than 270 days, 50%, (iv) longer than 270 days but not more than 365 days, 75%, and (v) longer than 365 days, 100%; and</w:t>
      </w:r>
    </w:p>
    <w:p>
      <w:pPr>
        <w:spacing w:after="0" w:line="180" w:lineRule="exact"/>
        <w:rPr>
          <w:rFonts w:ascii="Arial" w:cs="Arial" w:eastAsia="Arial" w:hAnsi="Arial"/>
          <w:sz w:val="17"/>
          <w:szCs w:val="17"/>
          <w:color w:val="auto"/>
        </w:rPr>
      </w:pPr>
    </w:p>
    <w:p>
      <w:pPr>
        <w:jc w:val="both"/>
        <w:ind w:left="660" w:firstLine="645"/>
        <w:spacing w:after="0" w:line="259" w:lineRule="auto"/>
        <w:tabs>
          <w:tab w:leader="none" w:pos="1593"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beginning with the first full fiscal quarter following the Commercial Operation Date of a Material Project and for the two immediately succeeding fiscal quarters, an amount equal to the projected Consolidated EBITDA attributable to such Material Project for the balance of the four full fiscal quarter period following such Commercial Operation Date, which may, at Borrower’s option, be added to actual Consolidated EBITDA for such fiscal quarters.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w:t>
      </w:r>
    </w:p>
    <w:p>
      <w:pPr>
        <w:spacing w:after="0" w:line="225" w:lineRule="exact"/>
        <w:rPr>
          <w:sz w:val="20"/>
          <w:szCs w:val="20"/>
          <w:color w:val="auto"/>
        </w:rPr>
      </w:pPr>
    </w:p>
    <w:p>
      <w:pPr>
        <w:ind w:left="1520" w:hanging="215"/>
        <w:spacing w:after="0"/>
        <w:tabs>
          <w:tab w:leader="none" w:pos="15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no such Material Project EBITDA Adjustment shall be allowed with respect to any Material Project unless:</w:t>
      </w:r>
    </w:p>
    <w:p>
      <w:pPr>
        <w:spacing w:after="0" w:line="225" w:lineRule="exact"/>
        <w:rPr>
          <w:rFonts w:ascii="Arial" w:cs="Arial" w:eastAsia="Arial" w:hAnsi="Arial"/>
          <w:sz w:val="18"/>
          <w:szCs w:val="18"/>
          <w:color w:val="auto"/>
        </w:rPr>
      </w:pPr>
    </w:p>
    <w:p>
      <w:pPr>
        <w:ind w:left="1300" w:right="180" w:firstLine="653"/>
        <w:spacing w:after="0" w:line="277" w:lineRule="auto"/>
        <w:tabs>
          <w:tab w:leader="none" w:pos="2193"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at least 30 days prior to the last day of the Fiscal Quarter for which Borrower desires to commence inclusion of such Material Project EBITDA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80"/>
        <w:spacing w:after="0" w:line="264" w:lineRule="auto"/>
        <w:rPr>
          <w:sz w:val="20"/>
          <w:szCs w:val="20"/>
          <w:color w:val="auto"/>
        </w:rPr>
      </w:pPr>
      <w:r>
        <w:rPr>
          <w:rFonts w:ascii="Arial" w:cs="Arial" w:eastAsia="Arial" w:hAnsi="Arial"/>
          <w:sz w:val="18"/>
          <w:szCs w:val="18"/>
          <w:color w:val="auto"/>
        </w:rPr>
        <w:t>Adjustment in Consolidated EBITDA with respect to a Material Project for purposes of determining compliance with this Section 7.8 (the “</w:t>
      </w:r>
      <w:r>
        <w:rPr>
          <w:rFonts w:ascii="Arial" w:cs="Arial" w:eastAsia="Arial" w:hAnsi="Arial"/>
          <w:sz w:val="18"/>
          <w:szCs w:val="18"/>
          <w:u w:val="single" w:color="auto"/>
          <w:color w:val="auto"/>
        </w:rPr>
        <w:t>Initial Quarter</w:t>
      </w:r>
      <w:r>
        <w:rPr>
          <w:rFonts w:ascii="Arial" w:cs="Arial" w:eastAsia="Arial" w:hAnsi="Arial"/>
          <w:sz w:val="18"/>
          <w:szCs w:val="18"/>
          <w:color w:val="auto"/>
        </w:rPr>
        <w:t>”), Borrower shall have delivered to Administrative Agent written pro forma projections of Consolidated EBITDA attributable to such Material Project and</w:t>
      </w:r>
    </w:p>
    <w:p>
      <w:pPr>
        <w:sectPr>
          <w:pgSz w:w="11900" w:h="16918" w:orient="portrait"/>
          <w:cols w:equalWidth="0" w:num="1">
            <w:col w:w="11420"/>
          </w:cols>
          <w:pgMar w:left="240" w:top="125" w:right="239" w:bottom="0" w:gutter="0" w:footer="0" w:header="0"/>
        </w:sectPr>
      </w:pPr>
    </w:p>
    <w:bookmarkStart w:id="93" w:name="page94"/>
    <w:bookmarkEnd w:id="93"/>
    <w:p>
      <w:pPr>
        <w:jc w:val="both"/>
        <w:ind w:left="1300" w:right="360" w:firstLine="653"/>
        <w:spacing w:after="0" w:line="264" w:lineRule="auto"/>
        <w:tabs>
          <w:tab w:leader="none" w:pos="2203" w:val="left"/>
        </w:tabs>
        <w:numPr>
          <w:ilvl w:val="1"/>
          <w:numId w:val="184"/>
        </w:numPr>
        <w:rPr>
          <w:rFonts w:ascii="Arial" w:cs="Arial" w:eastAsia="Arial" w:hAnsi="Arial"/>
          <w:sz w:val="18"/>
          <w:szCs w:val="18"/>
          <w:color w:val="auto"/>
        </w:rPr>
      </w:pPr>
      <w:r>
        <w:rPr>
          <w:rFonts w:ascii="Arial" w:cs="Arial" w:eastAsia="Arial" w:hAnsi="Arial"/>
          <w:sz w:val="18"/>
          <w:szCs w:val="18"/>
          <w:color w:val="auto"/>
        </w:rPr>
        <w:t>prior to the last day of the Initial Quarter, Administrative Agent shall have approved (such approval not to be unreasonably withheld) such projections and shall have received such other information and documentation as Administrative Agent may reasonably request, all in form and substance satisfactory to Administrative Agent, and</w:t>
      </w:r>
    </w:p>
    <w:p>
      <w:pPr>
        <w:spacing w:after="0" w:line="181" w:lineRule="exact"/>
        <w:rPr>
          <w:rFonts w:ascii="Arial" w:cs="Arial" w:eastAsia="Arial" w:hAnsi="Arial"/>
          <w:sz w:val="18"/>
          <w:szCs w:val="18"/>
          <w:color w:val="auto"/>
        </w:rPr>
      </w:pPr>
    </w:p>
    <w:p>
      <w:pPr>
        <w:ind w:left="660" w:right="600" w:firstLine="645"/>
        <w:spacing w:after="0" w:line="264" w:lineRule="auto"/>
        <w:tabs>
          <w:tab w:leader="none" w:pos="157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aggregate amount of all Material Project EBITDA Adjustments during any period shall be limited to 15% of the total actual Consolidated EBITDA for such period (which total actual Consolidated EBITDA shall be determined without including any Material Project EBITDA Adjustments).</w:t>
      </w:r>
    </w:p>
    <w:p>
      <w:pPr>
        <w:spacing w:after="0" w:line="18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7.9.</w:t>
      </w:r>
      <w:r>
        <w:rPr>
          <w:sz w:val="20"/>
          <w:szCs w:val="20"/>
          <w:color w:val="auto"/>
        </w:rPr>
        <w:tab/>
      </w:r>
      <w:r>
        <w:rPr>
          <w:rFonts w:ascii="Arial" w:cs="Arial" w:eastAsia="Arial" w:hAnsi="Arial"/>
          <w:sz w:val="16"/>
          <w:szCs w:val="16"/>
          <w:u w:val="single" w:color="auto"/>
          <w:color w:val="auto"/>
        </w:rPr>
        <w:t>Intentionally Deleted</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Unrestricted Subsidiaries</w:t>
      </w:r>
      <w:r>
        <w:rPr>
          <w:rFonts w:ascii="Arial" w:cs="Arial" w:eastAsia="Arial" w:hAnsi="Arial"/>
          <w:sz w:val="18"/>
          <w:szCs w:val="18"/>
          <w:color w:val="auto"/>
        </w:rPr>
        <w:t>. So long as no Default or Event of Default has occurred and is continuing, and after giving effect to such designation, no Default or Event of Default would result therefrom, Borrower or any Wholly Owned Subsidiary of Borrower may designate one or more Subsidiaries that are not Guarantors as unrestricted Subsidiaries (each such Subsidiary, and each of its Subsidiaries, an “Unrestricted Subsidiary”), which Unrestricted Subsidiaries shall be subject to the following:</w:t>
      </w:r>
    </w:p>
    <w:p>
      <w:pPr>
        <w:spacing w:after="0" w:line="187" w:lineRule="exact"/>
        <w:rPr>
          <w:sz w:val="20"/>
          <w:szCs w:val="20"/>
          <w:color w:val="auto"/>
        </w:rPr>
      </w:pPr>
    </w:p>
    <w:p>
      <w:pPr>
        <w:ind w:right="80" w:firstLine="656"/>
        <w:spacing w:after="0" w:line="259" w:lineRule="auto"/>
        <w:tabs>
          <w:tab w:leader="none" w:pos="134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 Unrestricted Subsidiary shall be deemed to be a “Restricted Person” or a “Subsidiary” of Borrower for purposes of this Agreement or any other Loan Document, and no Unrestricted Subsidiary shall be subject to or included within the scope of any provision herein or in any other Loan Document, including without limitation any representation, warranty, covenant or Event of Default herein or in any other Loan Document, except as set forth in this Section 7.10.</w:t>
      </w:r>
    </w:p>
    <w:p>
      <w:pPr>
        <w:spacing w:after="0" w:line="186" w:lineRule="exact"/>
        <w:rPr>
          <w:rFonts w:ascii="Arial" w:cs="Arial" w:eastAsia="Arial" w:hAnsi="Arial"/>
          <w:sz w:val="18"/>
          <w:szCs w:val="18"/>
          <w:color w:val="auto"/>
        </w:rPr>
      </w:pPr>
    </w:p>
    <w:p>
      <w:pPr>
        <w:ind w:right="80" w:firstLine="656"/>
        <w:spacing w:after="0" w:line="255" w:lineRule="auto"/>
        <w:tabs>
          <w:tab w:leader="none" w:pos="135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No Restricted Person shall guarantee or otherwise become liable in respect of any Indebtedness of, grant any Lien on any of its property to secure any Indebtedness of or other obligation of, or provide any other form of credit support to, any Unrestricted Subsidiary, and no Restricted Person shall enter into any contract or agreement with any Unrestricted Subsidiary, except on terms no less favorable to such Restricted Person, as applicable, than could be obtained in a comparable arm’s length transaction with a non-Affiliate of such Restricted Person; </w:t>
      </w:r>
      <w:r>
        <w:rPr>
          <w:rFonts w:ascii="Arial" w:cs="Arial" w:eastAsia="Arial" w:hAnsi="Arial"/>
          <w:sz w:val="18"/>
          <w:szCs w:val="18"/>
          <w:u w:val="single" w:color="auto"/>
          <w:color w:val="auto"/>
        </w:rPr>
        <w:t>provided</w:t>
      </w:r>
      <w:r>
        <w:rPr>
          <w:rFonts w:ascii="Arial" w:cs="Arial" w:eastAsia="Arial" w:hAnsi="Arial"/>
          <w:sz w:val="18"/>
          <w:szCs w:val="18"/>
          <w:color w:val="auto"/>
        </w:rPr>
        <w:t>, Restricted Persons may guarantee trade accounts payable of Unrestricted Subsidiaries that arise in the ordinary course of business in an amount not to exceed five percent (5%) of Consolidated Tangible Net Worth.</w:t>
      </w:r>
    </w:p>
    <w:p>
      <w:pPr>
        <w:spacing w:after="0" w:line="193" w:lineRule="exact"/>
        <w:rPr>
          <w:rFonts w:ascii="Arial" w:cs="Arial" w:eastAsia="Arial" w:hAnsi="Arial"/>
          <w:sz w:val="18"/>
          <w:szCs w:val="18"/>
          <w:color w:val="auto"/>
        </w:rPr>
      </w:pPr>
    </w:p>
    <w:p>
      <w:pPr>
        <w:ind w:right="820" w:firstLine="656"/>
        <w:spacing w:after="0" w:line="277" w:lineRule="auto"/>
        <w:tabs>
          <w:tab w:leader="none" w:pos="134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Borrower shall at all times maintain, as between Restricted Persons and Unrestricted Subsidiaries, the separate existence of each Unrestricted Subsidiary.</w:t>
      </w:r>
    </w:p>
    <w:p>
      <w:pPr>
        <w:spacing w:after="0" w:line="170" w:lineRule="exact"/>
        <w:rPr>
          <w:rFonts w:ascii="Arial" w:cs="Arial" w:eastAsia="Arial" w:hAnsi="Arial"/>
          <w:sz w:val="18"/>
          <w:szCs w:val="18"/>
          <w:color w:val="auto"/>
        </w:rPr>
      </w:pPr>
    </w:p>
    <w:p>
      <w:pPr>
        <w:ind w:firstLine="656"/>
        <w:spacing w:after="0" w:line="277" w:lineRule="auto"/>
        <w:tabs>
          <w:tab w:leader="none" w:pos="135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Restricted Persons shall notify each Lender Party, not later than five (5) Business Days after any executive officer of Restricted Persons has knowledge of, any claim, including any claim under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Environmental Law, or any notice of potential liability under any Environmental Law, asserted against any Unrestricted Subsidiary or with respect to any Unrestricted Subsidiary’s properties that would reasonably be expected to result in a Material Adverse Change, stating that such notice is being given pursuant to this Section 7.10.</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Borrower may designate any Unrestricted Subsidiary to become a Restricted Person if a Default or Event of Default is not continuing, such designation would not result in a Default or an Event of Default, and immediately thereafter such Subsidiary has no outstanding Indebtedness. Immediately thereafter, Borrower shall promptly notify Administrative Agent of such designation and provide to it an officer’s certificate that such designation was made in compliance with this Section 7.10.</w:t>
      </w:r>
    </w:p>
    <w:p>
      <w:pPr>
        <w:spacing w:after="0" w:line="18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Section 7.11 </w:t>
      </w:r>
      <w:r>
        <w:rPr>
          <w:rFonts w:ascii="Arial" w:cs="Arial" w:eastAsia="Arial" w:hAnsi="Arial"/>
          <w:sz w:val="17"/>
          <w:szCs w:val="17"/>
          <w:u w:val="single" w:color="auto"/>
          <w:color w:val="auto"/>
        </w:rPr>
        <w:t>No Negative Pledges</w:t>
      </w:r>
      <w:r>
        <w:rPr>
          <w:rFonts w:ascii="Arial" w:cs="Arial" w:eastAsia="Arial" w:hAnsi="Arial"/>
          <w:sz w:val="17"/>
          <w:szCs w:val="17"/>
          <w:color w:val="auto"/>
        </w:rPr>
        <w:t>. Except as described in the Disclosure Schedule or pursuant to a Restriction Exception, the substance of which, in detail satisfactory to Administrative Agent, is promptly reported to Administrative Agent, no Restricted Person will, directly or indirectly, enter into, create, or consent to be bound to any contract or other consensual restriction that restricts the ability of any Restricted Person to create or maintain Liens on its assets in favor of Administrative Agent and Lenders to secure, in whole or part, the Obligations.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 - Events of Default and Remedies</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Each of the following events constitutes an Event of Default under this Agreement:</w:t>
      </w:r>
    </w:p>
    <w:p>
      <w:pPr>
        <w:spacing w:after="0" w:line="225" w:lineRule="exact"/>
        <w:rPr>
          <w:sz w:val="20"/>
          <w:szCs w:val="20"/>
          <w:color w:val="auto"/>
        </w:rPr>
      </w:pPr>
    </w:p>
    <w:p>
      <w:pPr>
        <w:ind w:right="180" w:firstLine="656"/>
        <w:spacing w:after="0" w:line="277" w:lineRule="auto"/>
        <w:tabs>
          <w:tab w:leader="none" w:pos="134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Borrower fails to pay the principal component of any Loan made to it when due and payable, whether at a date for the payment of a fixed installment or as a contingent or other payment becomes due and payable or as a result of acceleration or otherwise,</w:t>
      </w:r>
    </w:p>
    <w:p>
      <w:pPr>
        <w:spacing w:after="0" w:line="170" w:lineRule="exact"/>
        <w:rPr>
          <w:rFonts w:ascii="Arial" w:cs="Arial" w:eastAsia="Arial" w:hAnsi="Arial"/>
          <w:sz w:val="18"/>
          <w:szCs w:val="18"/>
          <w:color w:val="auto"/>
        </w:rPr>
      </w:pPr>
    </w:p>
    <w:p>
      <w:pPr>
        <w:ind w:right="100" w:firstLine="656"/>
        <w:spacing w:after="0" w:line="264" w:lineRule="auto"/>
        <w:tabs>
          <w:tab w:leader="none" w:pos="135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Restricted Person fails to pay any Obligation for which it is contractually liable (other than the Obligations in subsection (a) above) when due and payable, whether at a date for the payment of a fixed installment or as a contingent or other payment becomes due and payable or as a result of acceleration or otherwise, within three Business Days after the same becomes due;</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Any Restricted Person fails to duly observe, perform or comply with any covenant, agreement or provision of Section 6.4 or Article VII;</w:t>
      </w:r>
    </w:p>
    <w:p>
      <w:pPr>
        <w:spacing w:after="0" w:line="236" w:lineRule="exact"/>
        <w:rPr>
          <w:rFonts w:ascii="Arial" w:cs="Arial" w:eastAsia="Arial" w:hAnsi="Arial"/>
          <w:sz w:val="17"/>
          <w:szCs w:val="17"/>
          <w:color w:val="auto"/>
        </w:rPr>
      </w:pPr>
    </w:p>
    <w:p>
      <w:pPr>
        <w:ind w:right="60" w:firstLine="656"/>
        <w:spacing w:after="0" w:line="264" w:lineRule="auto"/>
        <w:tabs>
          <w:tab w:leader="none" w:pos="135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Restricted Person fails (other than as referred to in subsections (a), (b) or (c) above) to duly observe, perform or comply with any of its obligations under any covenant, agreement, condition or provision of any Loan Document to which it is a party, and such failure remains unremedied for a period of thirty (30) days after notice of such failure is given by Administrative Agent to Borrower;</w:t>
      </w:r>
    </w:p>
    <w:p>
      <w:pPr>
        <w:spacing w:after="0" w:line="181" w:lineRule="exact"/>
        <w:rPr>
          <w:rFonts w:ascii="Arial" w:cs="Arial" w:eastAsia="Arial" w:hAnsi="Arial"/>
          <w:sz w:val="18"/>
          <w:szCs w:val="18"/>
          <w:color w:val="auto"/>
        </w:rPr>
      </w:pPr>
    </w:p>
    <w:p>
      <w:pPr>
        <w:ind w:firstLine="656"/>
        <w:spacing w:after="0" w:line="312" w:lineRule="auto"/>
        <w:tabs>
          <w:tab w:leader="none" w:pos="1343"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representation or warranty previously, presently or hereafter made in writing by or on behalf of any Restricted Person in connection with any Loan Document shall prove to have been false or incorrect in any material respect on any date on or as of which made, or any Loan Document at any time ceases to be valid, binding and enforceable as warranted in Section 5.5 for any reason other than its release or subordination by Administrative Agent;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00" w:gutter="0" w:footer="0" w:header="0"/>
        </w:sectPr>
      </w:pPr>
    </w:p>
    <w:bookmarkStart w:id="94" w:name="page95"/>
    <w:bookmarkEnd w:id="94"/>
    <w:p>
      <w:pPr>
        <w:ind w:right="40" w:firstLine="656"/>
        <w:spacing w:after="0" w:line="289" w:lineRule="auto"/>
        <w:tabs>
          <w:tab w:leader="none" w:pos="1368"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Any Restricted Person shall default in the payment when due of any principal of or interest on any of its other Indebtedness, or any net hedging obligations, in excess of the Dollar Equivalent of $25,000,000 in the aggregate (other than such Indebtedness or hedging obligations the validity of which is being contested in good faith, by appropriate proceedings (if necessary) and for which adequate reserves with respect thereto are maintained on the books of such Restricted Person as required by GAAP), or any event specified in any note, agreement, indenture or other document evidencing or relating to any such Indebtedness or hedging obligations shall occur for a period beyond the applicable grace, cure extension, forbearance or other similar period, if the effect of such event is to cause, or (with the giving of any notice or the lapse of time or both) to permit the holder or holders of such Indebtedness or hedging obligations (or a trustee or agent on behalf of such holder or holders) to cause, as applicable, such Indebtedness to become due, or to be prepaid in full (whether by redemption, purchase, offer to purchase or otherwise), prior to its stated maturity, or an early termination event or similar event to occur and such Restricted Person’s related net hedging obligations in excess of the Dollar Equivalent of $25,000,000 to become due and payable;</w:t>
      </w:r>
    </w:p>
    <w:p>
      <w:pPr>
        <w:spacing w:after="0" w:line="166" w:lineRule="exact"/>
        <w:rPr>
          <w:rFonts w:ascii="Arial" w:cs="Arial" w:eastAsia="Arial" w:hAnsi="Arial"/>
          <w:sz w:val="16"/>
          <w:szCs w:val="16"/>
          <w:color w:val="auto"/>
        </w:rPr>
      </w:pPr>
    </w:p>
    <w:p>
      <w:pPr>
        <w:ind w:right="20" w:firstLine="656"/>
        <w:spacing w:after="0" w:line="257" w:lineRule="auto"/>
        <w:tabs>
          <w:tab w:leader="none" w:pos="135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Either (i) any “accumulated funding deficiency” (as defined in Section 412(a) of the Code) in excess of $5,000,000 exists with respect to any ERISA Plan, whether or not waived by the Secretary of the Treasury or his delegate, or (ii) any Termination Event occurs with respect to any ERISA Plan and the then current value of such ERISA Plan’s benefit liabilities exceeds the then current value of such ERISA Plan’s assets available for the payment of such benefit liabilities by more than $5,000,000 (or in the case of a Termination Event involving the withdrawal of a substantial employer, the withdrawing employer’s proportionate share of such excess exceeds such amount);</w:t>
      </w:r>
    </w:p>
    <w:p>
      <w:pPr>
        <w:spacing w:after="0" w:line="188" w:lineRule="exact"/>
        <w:rPr>
          <w:rFonts w:ascii="Arial" w:cs="Arial" w:eastAsia="Arial" w:hAnsi="Arial"/>
          <w:sz w:val="18"/>
          <w:szCs w:val="18"/>
          <w:color w:val="auto"/>
        </w:rPr>
      </w:pPr>
    </w:p>
    <w:p>
      <w:pPr>
        <w:ind w:left="1360" w:hanging="704"/>
        <w:spacing w:after="0"/>
        <w:tabs>
          <w:tab w:leader="none" w:pos="13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GP LLC, General Partner, or any Significant Restricted Person:</w:t>
      </w:r>
    </w:p>
    <w:p>
      <w:pPr>
        <w:spacing w:after="0" w:line="225" w:lineRule="exact"/>
        <w:rPr>
          <w:rFonts w:ascii="Arial" w:cs="Arial" w:eastAsia="Arial" w:hAnsi="Arial"/>
          <w:sz w:val="18"/>
          <w:szCs w:val="18"/>
          <w:color w:val="auto"/>
        </w:rPr>
      </w:pPr>
    </w:p>
    <w:p>
      <w:pPr>
        <w:ind w:right="340" w:firstLine="1305"/>
        <w:spacing w:after="0" w:line="257" w:lineRule="auto"/>
        <w:tabs>
          <w:tab w:leader="none" w:pos="2006" w:val="left"/>
        </w:tabs>
        <w:numPr>
          <w:ilvl w:val="1"/>
          <w:numId w:val="188"/>
        </w:numPr>
        <w:rPr>
          <w:rFonts w:ascii="Arial" w:cs="Arial" w:eastAsia="Arial" w:hAnsi="Arial"/>
          <w:sz w:val="18"/>
          <w:szCs w:val="18"/>
          <w:color w:val="auto"/>
        </w:rPr>
      </w:pPr>
      <w:r>
        <w:rPr>
          <w:rFonts w:ascii="Arial" w:cs="Arial" w:eastAsia="Arial" w:hAnsi="Arial"/>
          <w:sz w:val="18"/>
          <w:szCs w:val="18"/>
          <w:color w:val="auto"/>
        </w:rPr>
        <w:t>has entered against it a judgment, decree or order for relief by a Governmental Authority of competent jurisdiction having jurisdiction over it in an involuntary proceeding commenced under any applicable bankruptcy, insolvency or other similar Law of any jurisdiction now or hereafter in effect, including the federal Bankruptcy Code, the Bankruptcy and Insolvency Act (Canada) or the Companies’ Creditors Arrangement Act (Canada), as from time to time amended, or has any such proceeding commenced against it, in each case, which remains undismissed for a period of sixty days; or</w:t>
      </w:r>
    </w:p>
    <w:p>
      <w:pPr>
        <w:spacing w:after="0" w:line="188" w:lineRule="exact"/>
        <w:rPr>
          <w:rFonts w:ascii="Arial" w:cs="Arial" w:eastAsia="Arial" w:hAnsi="Arial"/>
          <w:sz w:val="18"/>
          <w:szCs w:val="18"/>
          <w:color w:val="auto"/>
        </w:rPr>
      </w:pPr>
    </w:p>
    <w:p>
      <w:pPr>
        <w:ind w:right="60" w:firstLine="1305"/>
        <w:spacing w:after="0" w:line="257" w:lineRule="auto"/>
        <w:tabs>
          <w:tab w:leader="none" w:pos="2011" w:val="left"/>
        </w:tabs>
        <w:numPr>
          <w:ilvl w:val="1"/>
          <w:numId w:val="188"/>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similar Law now or hereafter in effect, including the federal Bankruptcy Code, the Bankruptcy and Insolvency Act (Canada) or the Companies’ Creditors Arrangement Act (Canada), as from time to time amended; or applies for or consents to the entry of an order for relief in an involuntary case under any such Law; or makes a general assignment for the benefit of creditors; or is generally unable to pay (or admits in writing its inability to so pay) its debts as such debts become due; or takes corporate or other action to authorize any of the foregoing; or</w:t>
      </w:r>
    </w:p>
    <w:p>
      <w:pPr>
        <w:spacing w:after="0" w:line="188" w:lineRule="exact"/>
        <w:rPr>
          <w:rFonts w:ascii="Arial" w:cs="Arial" w:eastAsia="Arial" w:hAnsi="Arial"/>
          <w:sz w:val="18"/>
          <w:szCs w:val="18"/>
          <w:color w:val="auto"/>
        </w:rPr>
      </w:pPr>
    </w:p>
    <w:p>
      <w:pPr>
        <w:ind w:right="20" w:firstLine="1305"/>
        <w:spacing w:after="0" w:line="264" w:lineRule="auto"/>
        <w:tabs>
          <w:tab w:leader="none" w:pos="2016" w:val="left"/>
        </w:tabs>
        <w:numPr>
          <w:ilvl w:val="1"/>
          <w:numId w:val="188"/>
        </w:numPr>
        <w:rPr>
          <w:rFonts w:ascii="Arial" w:cs="Arial" w:eastAsia="Arial" w:hAnsi="Arial"/>
          <w:sz w:val="18"/>
          <w:szCs w:val="18"/>
          <w:color w:val="auto"/>
        </w:rPr>
      </w:pPr>
      <w:r>
        <w:rPr>
          <w:rFonts w:ascii="Arial" w:cs="Arial" w:eastAsia="Arial" w:hAnsi="Arial"/>
          <w:sz w:val="18"/>
          <w:szCs w:val="18"/>
          <w:color w:val="auto"/>
        </w:rPr>
        <w:t>has entered against it the appointment of or taking possession by a receiver, liquidator, assignee, custodian, trustee, sequestrator or similar official of all or a substantial part of its assets in a proceeding brought against or initiated by it, and such appointment or taking possession is neither made ineffective nor discharged within sixty days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after the making thereof, or such appointment or taking possession is at any time consented to, requested by, or acquiesced to by it; or</w:t>
      </w:r>
    </w:p>
    <w:p>
      <w:pPr>
        <w:spacing w:after="0" w:line="225" w:lineRule="exact"/>
        <w:rPr>
          <w:sz w:val="20"/>
          <w:szCs w:val="20"/>
          <w:color w:val="auto"/>
        </w:rPr>
      </w:pPr>
    </w:p>
    <w:p>
      <w:pPr>
        <w:ind w:left="2020" w:hanging="715"/>
        <w:spacing w:after="0"/>
        <w:tabs>
          <w:tab w:leader="none" w:pos="20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Significant Restricted Person:</w:t>
      </w:r>
    </w:p>
    <w:p>
      <w:pPr>
        <w:spacing w:after="0" w:line="225" w:lineRule="exact"/>
        <w:rPr>
          <w:rFonts w:ascii="Arial" w:cs="Arial" w:eastAsia="Arial" w:hAnsi="Arial"/>
          <w:sz w:val="18"/>
          <w:szCs w:val="18"/>
          <w:color w:val="auto"/>
        </w:rPr>
      </w:pPr>
    </w:p>
    <w:p>
      <w:pPr>
        <w:ind w:right="140" w:firstLine="1953"/>
        <w:spacing w:after="0" w:line="279" w:lineRule="auto"/>
        <w:tabs>
          <w:tab w:leader="none" w:pos="2655" w:val="left"/>
        </w:tabs>
        <w:numPr>
          <w:ilvl w:val="1"/>
          <w:numId w:val="189"/>
        </w:numPr>
        <w:rPr>
          <w:rFonts w:ascii="Arial" w:cs="Arial" w:eastAsia="Arial" w:hAnsi="Arial"/>
          <w:sz w:val="17"/>
          <w:szCs w:val="17"/>
          <w:color w:val="auto"/>
        </w:rPr>
      </w:pPr>
      <w:r>
        <w:rPr>
          <w:rFonts w:ascii="Arial" w:cs="Arial" w:eastAsia="Arial" w:hAnsi="Arial"/>
          <w:sz w:val="17"/>
          <w:szCs w:val="17"/>
          <w:color w:val="auto"/>
        </w:rPr>
        <w:t>has entered against it a final judgment for the payment of money in excess of the Dollar Equivalent of $25,000,000 (in each case not covered by insurance satisfactory to Administrative Agent in its discretion), unless the same is stayed or discharged within thirty days after the date of entry thereof (or longer period for which a stay of enforcement is allowed by applicable Law) or an appeal or appropriate proceeding for review thereof is taken within such period and a stay of execution pending such appeal is obtained; or</w:t>
      </w:r>
    </w:p>
    <w:p>
      <w:pPr>
        <w:spacing w:after="0" w:line="171" w:lineRule="exact"/>
        <w:rPr>
          <w:rFonts w:ascii="Arial" w:cs="Arial" w:eastAsia="Arial" w:hAnsi="Arial"/>
          <w:sz w:val="17"/>
          <w:szCs w:val="17"/>
          <w:color w:val="auto"/>
        </w:rPr>
      </w:pPr>
    </w:p>
    <w:p>
      <w:pPr>
        <w:ind w:firstLine="1953"/>
        <w:spacing w:after="0" w:line="259" w:lineRule="auto"/>
        <w:tabs>
          <w:tab w:leader="none" w:pos="266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suffers a writ or warrant of attachment or any similar process to be issued by any Governmental Authority having jurisdiction over it against all or any substantial part of its assets, and such writ or warrant of attachment or any similar process is not stayed or released within sixty days after the entry or levy thereof (or longer period for which a stay of enforcement is allowed by applicable Law) or after any stay is vacated or set aside;</w:t>
      </w:r>
    </w:p>
    <w:p>
      <w:pPr>
        <w:spacing w:after="0" w:line="187" w:lineRule="exact"/>
        <w:rPr>
          <w:sz w:val="20"/>
          <w:szCs w:val="20"/>
          <w:color w:val="auto"/>
        </w:rPr>
      </w:pPr>
    </w:p>
    <w:p>
      <w:pPr>
        <w:ind w:left="2020" w:hanging="715"/>
        <w:spacing w:after="0"/>
        <w:tabs>
          <w:tab w:leader="none" w:pos="20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Change in Control occurs.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Upon the occurrence of an Event of Default described in subsection (h)(i), (h)(ii) or (h)(iii) of this section with respect to Borrower, all of the Obligations shall thereupon be immediately due and payable, without demand, presentment, notice of demand or of dishonor and nonpayment, protest, notice of protest, notice of intention to accelerate, declaration or notice of acceleration, or any other notice or declaration of any kind, all of which are hereby expressly waived by Borrower and each Restricted Person who at any time ratifies or approves this Agreement. Upon any such acceleration, any obligation of any Lender to make any further Loans shall be permanently terminated. During the continuance of any other Event of Default, Administrative Agent at any time and from time to time may (and upon written instructions from Majority Lenders, Administrative Agent shall), without notice to Borrower or any other Restricted Person, do either or both of the following: (1) terminate or suspend any obligation of Lenders to make Loans hereunder, and (2) declare any or all of the Obligations immediately due and payable, and all such Obligations shall thereupon be immediately due and payable, without demand, presentment, notice of demand or of dishonor and nonpayment, protest, notice of protest, notice of intention to accelerate, declaration or notice of acceleration, or any other notice or declaration of any kind, all of which are hereby expressly waived by Borrower and each Restricted Person who at any time ratifies or approves this Agreement.</w:t>
      </w:r>
    </w:p>
    <w:p>
      <w:pPr>
        <w:spacing w:after="0" w:line="18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Remedies</w:t>
      </w:r>
      <w:r>
        <w:rPr>
          <w:rFonts w:ascii="Arial" w:cs="Arial" w:eastAsia="Arial" w:hAnsi="Arial"/>
          <w:sz w:val="18"/>
          <w:szCs w:val="18"/>
          <w:color w:val="auto"/>
        </w:rPr>
        <w:t>. If any Default shall occur and be continuing, each Lender Party may protect and enforce its rights under the Loan Documents by any appropriate proceedings, including proceedings for specific performance of any covenant or agreement contained in any Loan Document, and each Lender Party may enforce the payment of any Obligations due it or enforce any other legal or equitable right which it may have. All rights, remedies and powers conferred upon Lender Parties under the Loan Documents shall be deemed cumulative and not exclusive of any other rights, remedies or powers available under the Loan Documents or at Law or in equity.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0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color w:val="auto"/>
        </w:rPr>
        <w:t>ARTICLE IX. – Administrative Agent</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Appointment and Authority</w:t>
      </w:r>
      <w:r>
        <w:rPr>
          <w:rFonts w:ascii="Arial" w:cs="Arial" w:eastAsia="Arial" w:hAnsi="Arial"/>
          <w:sz w:val="17"/>
          <w:szCs w:val="17"/>
          <w:color w:val="auto"/>
        </w:rPr>
        <w:t>. Each of the Lenders hereby irrevocably appoints JPMorgan Chase Bank, N.A. to act on its behalf as Administrative Agent hereunder and under the other Loan Documents and authorizes Administrative Agent to take such actions on its behalf and to exercise such powers as are delegated to Administrative Agent by the terms hereof or thereof, together with such actions and powers as are reasonably incidental thereto. The provisions of this Article are solely for the benefit of Administrative Agent and the Lenders, and neither Borrower nor any other Lender Party shall have rights as a third party beneficiary of any of such provisions (other than the right to reasonably approve a successor Administrative Agent under Section 9.6 or with respect to application of payments among Lenders as provided in Section 9.11).</w:t>
      </w:r>
    </w:p>
    <w:p>
      <w:pPr>
        <w:spacing w:after="0" w:line="17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Rights as a Lender</w:t>
      </w:r>
      <w:r>
        <w:rPr>
          <w:rFonts w:ascii="Arial" w:cs="Arial" w:eastAsia="Arial" w:hAnsi="Arial"/>
          <w:sz w:val="18"/>
          <w:szCs w:val="18"/>
          <w:color w:val="auto"/>
        </w:rPr>
        <w:t>. The Person serving as Administrative Agent hereunder shall have the same rights and powers in its capacity as a Lender as any other Lender and may exercise the same as though it were not Administrative Agent and the term “Lender” or “Lenders” shall, unless otherwise expressly indicated or unless the context otherwise requires, include the Person serving as Administrative Agent hereunder in its individual capacity. Such Person and its Affiliates may accept deposits from, lend money to, act as the financial advisor or in any other advisory capacity for and generally engage in any kind of business with Borrower or any Subsidiary or other Affiliate thereof as if such Person were not Administrative Agent hereunder and without any duty to account therefor to the Lenders.</w:t>
      </w:r>
    </w:p>
    <w:p>
      <w:pPr>
        <w:spacing w:after="0" w:line="19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Administrative Agent shall have no duties or obligations except those expressly set forth herein and in the other Loan Documents. Without limiting the generality of the foregoing, Administrative Agent:</w:t>
      </w:r>
    </w:p>
    <w:p>
      <w:pPr>
        <w:spacing w:after="0" w:line="170" w:lineRule="exact"/>
        <w:rPr>
          <w:sz w:val="20"/>
          <w:szCs w:val="20"/>
          <w:color w:val="auto"/>
        </w:rPr>
      </w:pPr>
    </w:p>
    <w:p>
      <w:pPr>
        <w:ind w:left="1360" w:hanging="704"/>
        <w:spacing w:after="0"/>
        <w:tabs>
          <w:tab w:leader="none" w:pos="13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225" w:lineRule="exact"/>
        <w:rPr>
          <w:rFonts w:ascii="Arial" w:cs="Arial" w:eastAsia="Arial" w:hAnsi="Arial"/>
          <w:sz w:val="18"/>
          <w:szCs w:val="18"/>
          <w:color w:val="auto"/>
        </w:rPr>
      </w:pPr>
    </w:p>
    <w:p>
      <w:pPr>
        <w:ind w:right="60" w:firstLine="656"/>
        <w:spacing w:after="0" w:line="257" w:lineRule="auto"/>
        <w:tabs>
          <w:tab w:leader="none" w:pos="135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shall have no duty to take any discretionary action or exercise any discretionary powers, except discretionary rights and powers expressly contemplated hereby or by the other Loan Documents that Administrative Agent is required to exercise as directed in writing by the Majority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Administrative Agent shall not be required to take any action that, in its opinion or the opinion of its counsel, may expose Administrative Agent to liability or that is contrary to any Loan Document or applicable law; and</w:t>
      </w:r>
    </w:p>
    <w:p>
      <w:pPr>
        <w:spacing w:after="0" w:line="188" w:lineRule="exact"/>
        <w:rPr>
          <w:rFonts w:ascii="Arial" w:cs="Arial" w:eastAsia="Arial" w:hAnsi="Arial"/>
          <w:sz w:val="18"/>
          <w:szCs w:val="18"/>
          <w:color w:val="auto"/>
        </w:rPr>
      </w:pPr>
    </w:p>
    <w:p>
      <w:pPr>
        <w:ind w:right="440" w:firstLine="656"/>
        <w:spacing w:after="0" w:line="264" w:lineRule="auto"/>
        <w:tabs>
          <w:tab w:leader="none" w:pos="134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shall not, except as expressly set forth herein and in the other Loan Documents, have any duty to disclose, nor shall it be liable for the failure to disclose, any information relating to </w:t>
      </w:r>
      <w:r>
        <w:rPr>
          <w:rFonts w:ascii="Arial" w:cs="Arial" w:eastAsia="Arial" w:hAnsi="Arial"/>
          <w:sz w:val="18"/>
          <w:szCs w:val="18"/>
          <w:u w:val="single" w:color="auto"/>
          <w:color w:val="auto"/>
        </w:rPr>
        <w:t>any of</w:t>
      </w:r>
      <w:r>
        <w:rPr>
          <w:rFonts w:ascii="Arial" w:cs="Arial" w:eastAsia="Arial" w:hAnsi="Arial"/>
          <w:sz w:val="18"/>
          <w:szCs w:val="18"/>
          <w:color w:val="auto"/>
        </w:rPr>
        <w:t xml:space="preserve"> Borrower or any of its Affiliates that is communicated to or obtained by the Person serving as Administrative Agent or any of its Affiliates in any capacity.</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Administrative Agent shall not be liable for any action taken or not taken by it (i) with the consent or at the request of the Majority Lenders (or such other number or percentage of the Lenders as shall be necessary, or as the relevant shall believe in good faith shall be necessary, under the circumstances as provided in Sections 10.1 and 8.2) or (ii) in the absence of its own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gross negligence or willful misconduct. Administrative Agent shall not be deemed to have knowledge of any Default unless and until notice describing such Default is given to Administrative Agent by Borrower or a Lender.</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Administrative Agent shall not be responsible for nor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herein, other than to confirm receipt of items expressly required to be delivered to Administrative Agent.</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Section 9.4. </w:t>
      </w:r>
      <w:r>
        <w:rPr>
          <w:rFonts w:ascii="Arial" w:cs="Arial" w:eastAsia="Arial" w:hAnsi="Arial"/>
          <w:sz w:val="17"/>
          <w:szCs w:val="17"/>
          <w:u w:val="single" w:color="auto"/>
          <w:color w:val="auto"/>
        </w:rPr>
        <w:t>Reliance by Administrative Agent</w:t>
      </w:r>
      <w:r>
        <w:rPr>
          <w:rFonts w:ascii="Arial" w:cs="Arial" w:eastAsia="Arial" w:hAnsi="Arial"/>
          <w:sz w:val="17"/>
          <w:szCs w:val="17"/>
          <w:color w:val="auto"/>
        </w:rPr>
        <w:t>.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Administrative Agent may presume that such condition is satisfactory to such Lender unless Administrative Agent shall have received notice to the contrary from such Lender prior to the making of such Loan. Administrative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spacing w:after="0" w:line="18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Section 9.5.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Administrative Agent may perform any and all of its duties and exercise its rights and powers hereunder or under any other Loan Document by or through any one or more sub-agents appointed by Administrative Agent. Administrative Agent and any such sub-agent may perform any and all of its duties and exercise its rights and powers by or through their respective Related Parties. The exculpatory provisions of this Article shall apply to any such sub-agent and to the Related Parties of Administrative Agent and any such sub-agent, and shall apply to their respective activities in connection with the syndication of the credit facilities provided for herein as well as activities as Administrative Agent.</w:t>
      </w:r>
    </w:p>
    <w:p>
      <w:pPr>
        <w:spacing w:after="0" w:line="173"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 xml:space="preserve">Section 9.6. </w:t>
      </w:r>
      <w:r>
        <w:rPr>
          <w:rFonts w:ascii="Arial" w:cs="Arial" w:eastAsia="Arial" w:hAnsi="Arial"/>
          <w:sz w:val="16"/>
          <w:szCs w:val="16"/>
          <w:u w:val="single" w:color="auto"/>
          <w:color w:val="auto"/>
        </w:rPr>
        <w:t>Resignation of Administrative Agent</w:t>
      </w:r>
      <w:r>
        <w:rPr>
          <w:rFonts w:ascii="Arial" w:cs="Arial" w:eastAsia="Arial" w:hAnsi="Arial"/>
          <w:sz w:val="16"/>
          <w:szCs w:val="16"/>
          <w:color w:val="auto"/>
        </w:rPr>
        <w:t>. Administrative Agent may at any time give notice of its resignation to the Lenders and Borrower, which notice shall set forth the proposed date of resignation. Upon receipt of any such notice of resignation, the Majority Lenders shall have the right to appoint a successor (subject to the approval of Borrower, unless a Default has occurred and is continuing, which approval will not be unreasonably withheld), which shall be a bank with an office in the United States, or an Affiliate of any such bank with an office in the United States. If no such successor shall have been so appointed by the Majority Lenders and shall have accepted such appointment within 30 days after the retiring Agent gives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316" w:gutter="0" w:footer="0" w:header="0"/>
        </w:sectPr>
      </w:pPr>
    </w:p>
    <w:bookmarkStart w:id="96" w:name="page97"/>
    <w:bookmarkEnd w:id="96"/>
    <w:p>
      <w:pPr>
        <w:spacing w:after="0" w:line="13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notice of its resignation, then the retiring Administrative Agent may on behalf of the Lenders, appoint a successor Administrative Agent meeting the qualifications set forth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Administrative Agent shall notify Borrower and the Lenders that no qualifying Person has accepted such appointment, then such resignation shall nonetheless become effective in accordance with such notice and (1) the retiring Administrative Agent shall be discharged from its duties and obligations hereunder and under the other Loan Documents and (2) all payments, communications and determinations provided to be made by, to or through Administrative Agent shall instead be made by or to each Lender directly, until such time as the Majority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Borrower to a successor Administrative Agent shall be the same as those payable to its predecessor unless otherwise agreed between Borrower and such successor. After the retiring Administrative Agent’s resignation hereunder and under the other Loan Documents, the provisions of this Article and Section 10.4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8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Section 9.7. </w:t>
      </w:r>
      <w:r>
        <w:rPr>
          <w:rFonts w:ascii="Arial" w:cs="Arial" w:eastAsia="Arial" w:hAnsi="Arial"/>
          <w:sz w:val="17"/>
          <w:szCs w:val="17"/>
          <w:u w:val="single" w:color="auto"/>
          <w:color w:val="auto"/>
        </w:rPr>
        <w:t>Non-Reliance on Administrative Agent and Other Lenders</w:t>
      </w:r>
      <w:r>
        <w:rPr>
          <w:rFonts w:ascii="Arial" w:cs="Arial" w:eastAsia="Arial" w:hAnsi="Arial"/>
          <w:sz w:val="17"/>
          <w:szCs w:val="17"/>
          <w:color w:val="auto"/>
        </w:rPr>
        <w:t>. Each Lender acknowledges that it has, independently and without reliance upon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No Other Duties, Etc</w:t>
      </w:r>
      <w:r>
        <w:rPr>
          <w:rFonts w:ascii="Arial" w:cs="Arial" w:eastAsia="Arial" w:hAnsi="Arial"/>
          <w:sz w:val="18"/>
          <w:szCs w:val="18"/>
          <w:color w:val="auto"/>
        </w:rPr>
        <w:t>. Anything herein to the contrary notwithstanding, neither Administrative Agent, Co-Syndication Agents nor the Co-Documentation Agents listed on the cover page hereof shall have any powers, duties or responsibilities under this Agreement or any of the other Loan Documents, except in its capacity, as applicable, as Administrative Agent or a Lender hereunder.</w:t>
      </w:r>
    </w:p>
    <w:p>
      <w:pPr>
        <w:spacing w:after="0" w:line="181"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u w:val="single" w:color="auto"/>
          <w:color w:val="auto"/>
        </w:rPr>
        <w:t>Guaranty Matters</w:t>
      </w:r>
      <w:r>
        <w:rPr>
          <w:rFonts w:ascii="Arial" w:cs="Arial" w:eastAsia="Arial" w:hAnsi="Arial"/>
          <w:sz w:val="18"/>
          <w:szCs w:val="18"/>
          <w:color w:val="auto"/>
        </w:rPr>
        <w:t>. The Lenders irrevocably authorize Administrative Agent, at its option and in its discretion, to release any Guarantor from its obligations under the Guaranty if such Person ceases to be a Subsidiary as a result of a transaction permitted hereunder or as otherwise expressly provided in any Loan Document.</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Upon request by Administrative Agent at any time, the Majority Lenders will confirm in writing Administrative Agent’s authority to release any Guarantor from its obligations under the Guaranty pursuant to this Section 9.9.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9.10.</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 Each Lender agrees to indemnify Administrative Agent (to the extent not reimbursed by Borrower within ten</w:t>
      </w:r>
    </w:p>
    <w:p>
      <w:pPr>
        <w:spacing w:after="0" w:line="23" w:lineRule="exact"/>
        <w:rPr>
          <w:sz w:val="20"/>
          <w:szCs w:val="20"/>
          <w:color w:val="auto"/>
        </w:rPr>
      </w:pPr>
    </w:p>
    <w:p>
      <w:pPr>
        <w:ind w:firstLine="8"/>
        <w:spacing w:after="0" w:line="288" w:lineRule="auto"/>
        <w:tabs>
          <w:tab w:leader="none" w:pos="34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days after demand) from and against such Lender’s Percentage Share of any and all liabilities, obligations, claims, losses, damages, penalties, fines, actions, judgments, suits, settlements, costs, expenses or disbursements (including reasonable fees of attorneys, accountants, experts and advisors) of any kind or nature whatsoever (in this section collectively called “liabilities and costs”) which to any extent (in whole or in part) may be imposed on, incurred by, or asserted against Administrative Agent growing out of, resulting from or in any other way associated with the Loan Documents and the transactions and events (including the enforcement thereof) at any time associated therewith or contemplated therein and Borrower’s use of loan proceeds (whether arising in contract or in tort or otherwise and including any violation or noncompliance with any Environmental Laws by any Person or any liabilities or duties of any Person with respect to Hazardous Materials found in or released into the environment).</w:t>
      </w:r>
    </w:p>
    <w:p>
      <w:pPr>
        <w:spacing w:after="0" w:line="16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color w:val="auto"/>
        </w:rPr>
        <w:t xml:space="preserve">THE FOREGOING INDEMNIFICATION SHALL APPLY WHETHER OR NOT SUCH LIABILITIES AND COSTS ARE IN ANY WAY OR TO ANY EXTENT OWED, IN WHOLE OR IN PART, UNDER ANY CLAIM OR THEORY OF STRICT LIABILITY OR CAUSED, IN WHOLE OR IN PART, BY ANY NEGLIGENT ACT OR OMISSION OF ANY KIND BY ADMINISTRATIVE AGENT, </w:t>
      </w:r>
      <w:r>
        <w:rPr>
          <w:rFonts w:ascii="Arial" w:cs="Arial" w:eastAsia="Arial" w:hAnsi="Arial"/>
          <w:sz w:val="17"/>
          <w:szCs w:val="17"/>
          <w:color w:val="auto"/>
        </w:rPr>
        <w:t>provided only that no Lender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obligated under this section to indemnify Administrative Agent for that portion, if any, of any liabilities and costs which is proximately caused by Administrative Agent’s own individual gross negligence or willful misconduct, as determined in a final judgment. Cumulative of the foregoing, each Lender agrees to reimburse Administrative Agent promptly upon demand for such Lender’s Percentage Share of any costs and expenses to be paid to Administrative Agent by Borrower under Section 10.4(a) to the extent that Administrative Agent is not timely reimbursed for such expenses by such Persons as provided in such section. As used in this section the term “Administrative Agent” shall refer not only to the Persons designated as such in Section 1.1 but also to each director, officer, agent, attorney, employee, representative and Affiliate of such Person.</w:t>
      </w:r>
    </w:p>
    <w:p>
      <w:pPr>
        <w:spacing w:after="0" w:line="17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Section 9.11. </w:t>
      </w:r>
      <w:r>
        <w:rPr>
          <w:rFonts w:ascii="Arial" w:cs="Arial" w:eastAsia="Arial" w:hAnsi="Arial"/>
          <w:sz w:val="16"/>
          <w:szCs w:val="16"/>
          <w:u w:val="single" w:color="auto"/>
          <w:color w:val="auto"/>
        </w:rPr>
        <w:t>Sharing of Set-Offs and Other Payments</w:t>
      </w:r>
      <w:r>
        <w:rPr>
          <w:rFonts w:ascii="Arial" w:cs="Arial" w:eastAsia="Arial" w:hAnsi="Arial"/>
          <w:sz w:val="16"/>
          <w:szCs w:val="16"/>
          <w:color w:val="auto"/>
        </w:rPr>
        <w:t>. Each Lender Party agrees that if it shall, whether through the exercise of rights of banker’s lien, set off, or counterclaim against Borrower or otherwise, obtain payment of a portion of the aggregate Obligations owed to it which, taking into account all distributions made by Administrative Agent under Section 3.1, causes such Lender Party to have received more than it would have received had such payment been received by Administrative Agent and distributed pursuant to Section 3.1, then (a) it shall be deemed to have simultaneously purchased and shall be obligated to purchase interests in the Obligations as necessary to cause all Lender Parties to share all payments as provided for in Section 3.1, and</w:t>
      </w:r>
    </w:p>
    <w:p>
      <w:pPr>
        <w:spacing w:after="0" w:line="2" w:lineRule="exact"/>
        <w:rPr>
          <w:sz w:val="20"/>
          <w:szCs w:val="20"/>
          <w:color w:val="auto"/>
        </w:rPr>
      </w:pPr>
    </w:p>
    <w:p>
      <w:pPr>
        <w:ind w:firstLine="8"/>
        <w:spacing w:after="0" w:line="252" w:lineRule="auto"/>
        <w:tabs>
          <w:tab w:leader="none" w:pos="25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such other adjustments shall be made from time to time as shall be equitable to ensure that Administrative Agent and all Lender Parties share all payments of Obligations as provided in Section 3.1; provided, however, and for the avoidance of doubt, that nothing herein contained shall in any way affect the right of any Lender Party to obtain payment (whether by exercise of rights of banker’s lien, set-off or counterclaim or otherwise) of indebtedness other than the Obligations. Borrower expressly consents to the foregoing arrangements, subject to Section 10.11. If all or any part of any funds transferred pursuant to this section is thereafter recovered from the seller under this section which received the same, the purchase provided for in this section shall be deemed to have been rescinded to the extent of such recovery, together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with interest, if any, if interest is required pursuant to the order of a Governmental Authority to be paid on account of the possession of such funds prior to such recovery.</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Investments</w:t>
      </w:r>
      <w:r>
        <w:rPr>
          <w:rFonts w:ascii="Arial" w:cs="Arial" w:eastAsia="Arial" w:hAnsi="Arial"/>
          <w:sz w:val="16"/>
          <w:szCs w:val="16"/>
          <w:color w:val="auto"/>
        </w:rPr>
        <w:t>. Whenever Administrative Agent in good faith determines that it is uncertain about how to distribute to Lender Parties any funds which it has received, or whenever Administrative Agent in good faith determines that there is any dispute among Lender Parties about how</w:t>
      </w:r>
    </w:p>
    <w:p>
      <w:pPr>
        <w:sectPr>
          <w:pgSz w:w="11900" w:h="16975" w:orient="portrait"/>
          <w:cols w:equalWidth="0" w:num="1">
            <w:col w:w="11400"/>
          </w:cols>
          <w:pgMar w:left="240" w:top="125" w:right="259" w:bottom="0" w:gutter="0" w:footer="0" w:header="0"/>
        </w:sectPr>
      </w:pPr>
    </w:p>
    <w:bookmarkStart w:id="97" w:name="page98"/>
    <w:bookmarkEnd w:id="97"/>
    <w:p>
      <w:pPr>
        <w:spacing w:after="0" w:line="7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such funds should be distributed, Administrative Agent may choose to defer distribution of the funds which are the subject of such uncertainty or dispute. If Administrative Agent in good faith believes that the uncertainty or dispute will not be promptly resolved, or if Administrative Agent is otherwise required to invest funds pending distribution to Lender Parties, Administrative Agent shall invest such funds pending distribution; all interest on any such Investment shall be distributed upon the distribution of such Investment and in the same proportion and to the same Persons as such Investment. All moneys received by Administrative Agent for distribution to Lender Parties (other than to the Person who is Administrative Agent in its separate capacity as a Lender Party) shall be held by Administrative Agent pending such distribution solely as Administrative Agent for such Lender Parties, and Administrative Agent shall have no equitable title to any portion thereof.</w:t>
      </w:r>
    </w:p>
    <w:p>
      <w:pPr>
        <w:spacing w:after="0" w:line="18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ARTICLE X. – Miscellaneous</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Waivers and Amendments; Acknowledgments.</w:t>
      </w:r>
    </w:p>
    <w:p>
      <w:pPr>
        <w:spacing w:after="0" w:line="225" w:lineRule="exact"/>
        <w:rPr>
          <w:sz w:val="20"/>
          <w:szCs w:val="20"/>
          <w:color w:val="auto"/>
        </w:rPr>
      </w:pPr>
    </w:p>
    <w:p>
      <w:pPr>
        <w:ind w:firstLine="656"/>
        <w:spacing w:after="0" w:line="287" w:lineRule="auto"/>
        <w:tabs>
          <w:tab w:leader="none" w:pos="1343"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Waivers and Amendments</w:t>
      </w:r>
      <w:r>
        <w:rPr>
          <w:rFonts w:ascii="Arial" w:cs="Arial" w:eastAsia="Arial" w:hAnsi="Arial"/>
          <w:sz w:val="16"/>
          <w:szCs w:val="16"/>
          <w:color w:val="auto"/>
        </w:rPr>
        <w:t>. No failure or delay (whether by course of conduct or otherwise) by any Lender in exercising any right, power or remedy which such Lender Party may have under any of the Loan Documents shall operate as a waiver thereof or of any other right, power or remedy, nor shall any single or partial exercise by any Lender Party of any such right, power or remedy preclude any other or further exercise thereof or of any other right, power or remedy. No waiver of any provision of any Loan Document and no consent to any departure therefrom shall ever be effective unless it is in writing and signed as provided below in this section, and then such waiver or consent shall be effective only in the specific instances and for the purposes for which given and to the extent specified in such writing. This Agreement and the other Loan Documents set forth the entire understanding between the parties hereto with respect to the transactions contemplated herein and therein and supersede all prior discussions and understandings with respect to the subject matter hereof and thereof, and no amendment or waiver of any provision of this Agreement or any other Loan Document, and no consent to any departure by Borrower or any other Restricted Person therefrom, shall be effective unless in writing signed by the Majority Lenders and Borrower or the applicable Restricted Person, as the case may be, and acknowledged by Administrative Agent, and each such waiver or consent shall be effective only in the specific instance and for the specific purpose for which given; provided, however, that no such amendment, waiver or consent shall:</w:t>
      </w:r>
    </w:p>
    <w:p>
      <w:pPr>
        <w:spacing w:after="0" w:line="172" w:lineRule="exact"/>
        <w:rPr>
          <w:rFonts w:ascii="Arial" w:cs="Arial" w:eastAsia="Arial" w:hAnsi="Arial"/>
          <w:sz w:val="16"/>
          <w:szCs w:val="16"/>
          <w:color w:val="auto"/>
        </w:rPr>
      </w:pPr>
    </w:p>
    <w:p>
      <w:pPr>
        <w:ind w:right="20" w:firstLine="1305"/>
        <w:spacing w:after="0" w:line="264" w:lineRule="auto"/>
        <w:tabs>
          <w:tab w:leader="none" w:pos="2006" w:val="left"/>
        </w:tabs>
        <w:numPr>
          <w:ilvl w:val="1"/>
          <w:numId w:val="194"/>
        </w:numPr>
        <w:rPr>
          <w:rFonts w:ascii="Arial" w:cs="Arial" w:eastAsia="Arial" w:hAnsi="Arial"/>
          <w:sz w:val="18"/>
          <w:szCs w:val="18"/>
          <w:color w:val="auto"/>
        </w:rPr>
      </w:pPr>
      <w:r>
        <w:rPr>
          <w:rFonts w:ascii="Arial" w:cs="Arial" w:eastAsia="Arial" w:hAnsi="Arial"/>
          <w:sz w:val="18"/>
          <w:szCs w:val="18"/>
          <w:color w:val="auto"/>
        </w:rPr>
        <w:t>waive any condition set forth in Section 4.1 without the written consent of each Lender (provided Administrative Agent may in its discretion withdraw any request it has made under Section 4.1(i) to the extent such request does not pertain to an item expressly covered by any other subsection of Section 4.1);</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305"/>
        <w:spacing w:after="0" w:line="277" w:lineRule="auto"/>
        <w:tabs>
          <w:tab w:leader="none" w:pos="201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extend or increase the Commitment of any Lender (or reinstate any Commitment terminated pursuant to Section 8.1) without the written consent of such Lender;</w:t>
      </w:r>
    </w:p>
    <w:p>
      <w:pPr>
        <w:spacing w:after="0" w:line="170" w:lineRule="exact"/>
        <w:rPr>
          <w:rFonts w:ascii="Arial" w:cs="Arial" w:eastAsia="Arial" w:hAnsi="Arial"/>
          <w:sz w:val="18"/>
          <w:szCs w:val="18"/>
          <w:color w:val="auto"/>
        </w:rPr>
      </w:pPr>
    </w:p>
    <w:p>
      <w:pPr>
        <w:jc w:val="both"/>
        <w:ind w:right="140" w:firstLine="1305"/>
        <w:spacing w:after="0" w:line="264" w:lineRule="auto"/>
        <w:tabs>
          <w:tab w:leader="none" w:pos="201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or mandatory prepayment of principal, interest, fees or other amounts due to the Lenders (or any of them) hereunder or under any other Loan Document without the written consent of each Lender directly affected thereby;</w:t>
      </w:r>
    </w:p>
    <w:p>
      <w:pPr>
        <w:spacing w:after="0" w:line="181" w:lineRule="exact"/>
        <w:rPr>
          <w:rFonts w:ascii="Arial" w:cs="Arial" w:eastAsia="Arial" w:hAnsi="Arial"/>
          <w:sz w:val="18"/>
          <w:szCs w:val="18"/>
          <w:color w:val="auto"/>
        </w:rPr>
      </w:pPr>
    </w:p>
    <w:p>
      <w:pPr>
        <w:ind w:right="100" w:firstLine="1305"/>
        <w:spacing w:after="0" w:line="272" w:lineRule="auto"/>
        <w:tabs>
          <w:tab w:leader="none" w:pos="2006"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reduce the principal of, or the rate of interest specified herein on, any Loan, or (subject to clause (iii) of the proviso at the end of this Section 10.1) any fees or other amounts payable hereunder or under any other Loan Document, or change the manner of computation of any financial ratio (including any change in any applicable defined term) used in determining the Applicable Margin that would result in a reduction of any interest rate on any Loan or any fee payable hereunder without the written consent of each Lender directly affected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and for the avoidance of doubt, that only the consent of the Majority Lenders shall be necessary (A) to amend the definition of “Default Rate” or to waive any obligation of Borrower to pay interest at the Default Rate or (B) to amend any financial covenant hereunder (or any defined term used therein) even if the effect of such amendment would be to reduce the rate of interest on any Loan or to reduce any fee payable hereunder;</w:t>
      </w:r>
    </w:p>
    <w:p>
      <w:pPr>
        <w:spacing w:after="0" w:line="177" w:lineRule="exact"/>
        <w:rPr>
          <w:rFonts w:ascii="Arial" w:cs="Arial" w:eastAsia="Arial" w:hAnsi="Arial"/>
          <w:sz w:val="17"/>
          <w:szCs w:val="17"/>
          <w:color w:val="auto"/>
        </w:rPr>
      </w:pPr>
    </w:p>
    <w:p>
      <w:pPr>
        <w:ind w:right="380" w:firstLine="1305"/>
        <w:spacing w:after="0" w:line="277" w:lineRule="auto"/>
        <w:tabs>
          <w:tab w:leader="none" w:pos="200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change Section 9.11 or Section 8.2 in a manner that would alter the pro rata sharing of payments required thereby without the written consent of each Lender; or</w:t>
      </w:r>
    </w:p>
    <w:p>
      <w:pPr>
        <w:spacing w:after="0" w:line="170" w:lineRule="exact"/>
        <w:rPr>
          <w:rFonts w:ascii="Arial" w:cs="Arial" w:eastAsia="Arial" w:hAnsi="Arial"/>
          <w:sz w:val="18"/>
          <w:szCs w:val="18"/>
          <w:color w:val="auto"/>
        </w:rPr>
      </w:pPr>
    </w:p>
    <w:p>
      <w:pPr>
        <w:ind w:right="120" w:firstLine="1305"/>
        <w:spacing w:after="0" w:line="264" w:lineRule="auto"/>
        <w:tabs>
          <w:tab w:leader="none" w:pos="200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change any provision of this Section or the definition of “Majority Lenders” or any other provision hereof specifying the number or percentage of Lenders required to amend, waive or otherwise modify any rights hereunder or make any determination or grant any consent hereunder, without the written consent of each Lender; or</w:t>
      </w:r>
    </w:p>
    <w:p>
      <w:pPr>
        <w:spacing w:after="0" w:line="181" w:lineRule="exact"/>
        <w:rPr>
          <w:rFonts w:ascii="Arial" w:cs="Arial" w:eastAsia="Arial" w:hAnsi="Arial"/>
          <w:sz w:val="18"/>
          <w:szCs w:val="18"/>
          <w:color w:val="auto"/>
        </w:rPr>
      </w:pPr>
    </w:p>
    <w:p>
      <w:pPr>
        <w:ind w:right="60" w:firstLine="1305"/>
        <w:spacing w:after="0" w:line="264" w:lineRule="auto"/>
        <w:tabs>
          <w:tab w:leader="none" w:pos="201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except as expressly provided herein or in any other Loan Document, release (A) Borrower from its obligation to pay such Lender’s Note, (B) any Guarantor from its guaranty of such payment or (C) any Restricted Person from the negative pledge covenant set forth in Section 7.11 hereof.</w:t>
      </w:r>
    </w:p>
    <w:p>
      <w:pPr>
        <w:spacing w:after="0" w:line="181"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 no amendment, waiver or consent shall, unless in writing and signed by Administrative Agent, in addition to the Lenders required above, affect the rights or duties of Administrative Agent under this Agreement or any other Loan Document; and (ii) any fee letter between Borrower and Administrative Agent may be amended, or rights or privileges thereunder waived, in a writing executed only by the parties thereto. Notwithstanding anything to the contrary herein, no Defaulting Lender shall have any right to approve or disapprove any amendment, waiver or consent hereunder or any other Loan Document, nor shall a Defaulting Lender’s vote or status as a Lender be required in determining majority, unanimity or other condition or effect of any vote, except that the Commitment of such Lender may not be increased or extended without the consent of such Lender.</w:t>
      </w:r>
    </w:p>
    <w:p>
      <w:pPr>
        <w:spacing w:after="0" w:line="165" w:lineRule="exact"/>
        <w:rPr>
          <w:sz w:val="20"/>
          <w:szCs w:val="20"/>
          <w:color w:val="auto"/>
        </w:rPr>
      </w:pPr>
    </w:p>
    <w:p>
      <w:pPr>
        <w:ind w:right="560" w:firstLine="656"/>
        <w:spacing w:after="0" w:line="308" w:lineRule="auto"/>
        <w:tabs>
          <w:tab w:leader="none" w:pos="1353"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Acknowledgments and Admissions</w:t>
      </w:r>
      <w:r>
        <w:rPr>
          <w:rFonts w:ascii="Arial" w:cs="Arial" w:eastAsia="Arial" w:hAnsi="Arial"/>
          <w:sz w:val="17"/>
          <w:szCs w:val="17"/>
          <w:color w:val="auto"/>
        </w:rPr>
        <w:t>. Borrower hereby represents, warrants, acknowledges and admits that (i) it has been advised by counsel in the negotiation, execution and delivery of the Loan Documents to which it is a party, (ii) no Lender Party has any fiduciary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obligation toward Borrower with respect to any Loan Document or the transactions contemplated thereby, (iii) the relationship pursuant to the Loan Documents between Borrower and the other Restricted Persons, on one hand, and each Lender Party, on the other hand, is and shall be solely that of debtor and creditor, respectively, and (iv) no partnership or joint venture exists with respect to the Loan Documents between any Restricted Person and any Lender Party.</w:t>
      </w:r>
    </w:p>
    <w:p>
      <w:pPr>
        <w:sectPr>
          <w:pgSz w:w="11900" w:h="16912" w:orient="portrait"/>
          <w:cols w:equalWidth="0" w:num="1">
            <w:col w:w="11420"/>
          </w:cols>
          <w:pgMar w:left="240" w:top="125" w:right="239" w:bottom="0" w:gutter="0" w:footer="0" w:header="0"/>
        </w:sectPr>
      </w:pPr>
    </w:p>
    <w:bookmarkStart w:id="98" w:name="page99"/>
    <w:bookmarkEnd w:id="98"/>
    <w:p>
      <w:pPr>
        <w:spacing w:after="0" w:line="90" w:lineRule="exact"/>
        <w:rPr>
          <w:sz w:val="20"/>
          <w:szCs w:val="20"/>
          <w:color w:val="auto"/>
        </w:rPr>
      </w:pPr>
    </w:p>
    <w:p>
      <w:pPr>
        <w:ind w:right="80" w:firstLine="656"/>
        <w:spacing w:after="0" w:line="279" w:lineRule="auto"/>
        <w:tabs>
          <w:tab w:leader="none" w:pos="1343"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Representation by Lenders</w:t>
      </w:r>
      <w:r>
        <w:rPr>
          <w:rFonts w:ascii="Arial" w:cs="Arial" w:eastAsia="Arial" w:hAnsi="Arial"/>
          <w:sz w:val="17"/>
          <w:szCs w:val="17"/>
          <w:color w:val="auto"/>
        </w:rPr>
        <w:t>. Each Lender hereby represents that it will acquire its Notes for its own account in the ordinary course of its commercial lending or investing business; however, the disposition of such Lender’s property shall at all times be and remain within its control and, in particular and without limitation, such Lender may sell or otherwise transfer its Note, any participation interest or other interest in its Note, or any of its other rights and obligations under the Loan Documents subject to compliance with Section 10.5 and applicable Law.</w:t>
      </w:r>
    </w:p>
    <w:p>
      <w:pPr>
        <w:spacing w:after="0" w:line="167" w:lineRule="exact"/>
        <w:rPr>
          <w:rFonts w:ascii="Arial" w:cs="Arial" w:eastAsia="Arial" w:hAnsi="Arial"/>
          <w:sz w:val="17"/>
          <w:szCs w:val="17"/>
          <w:color w:val="auto"/>
        </w:rPr>
      </w:pPr>
    </w:p>
    <w:p>
      <w:pPr>
        <w:jc w:val="both"/>
        <w:ind w:right="20" w:firstLine="656"/>
        <w:spacing w:after="0" w:line="266" w:lineRule="auto"/>
        <w:tabs>
          <w:tab w:leader="none" w:pos="1353" w:val="left"/>
        </w:tabs>
        <w:numPr>
          <w:ilvl w:val="0"/>
          <w:numId w:val="197"/>
        </w:numPr>
        <w:rPr>
          <w:rFonts w:ascii="Arial" w:cs="Arial" w:eastAsia="Arial" w:hAnsi="Arial"/>
          <w:sz w:val="18"/>
          <w:szCs w:val="18"/>
          <w:color w:val="auto"/>
        </w:rPr>
      </w:pPr>
      <w:r>
        <w:rPr>
          <w:rFonts w:ascii="Arial" w:cs="Arial" w:eastAsia="Arial" w:hAnsi="Arial"/>
          <w:sz w:val="18"/>
          <w:szCs w:val="18"/>
          <w:b w:val="1"/>
          <w:bCs w:val="1"/>
          <w:u w:val="single" w:color="auto"/>
          <w:color w:val="auto"/>
        </w:rPr>
        <w:t>JOINT ACKNOWLEDGMENT</w:t>
      </w:r>
      <w:r>
        <w:rPr>
          <w:rFonts w:ascii="Arial" w:cs="Arial" w:eastAsia="Arial" w:hAnsi="Arial"/>
          <w:sz w:val="18"/>
          <w:szCs w:val="18"/>
          <w:b w:val="1"/>
          <w:bCs w:val="1"/>
          <w:color w:val="auto"/>
        </w:rPr>
        <w:t>. THIS WRITTEN AGREEMENT AND THE OTHER LOAN DOCUMENTS REPRESENT THE FINAL AGREEMENT BETWEEN THE PARTIES AND MAY NOT BE CONTRADICTED BY EVIDENCE OF PRIOR, CONTEMPORANEOUS, OR SUBSEQUENT ORAL AGREEMENTS OF THE PARTIES.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THERE ARE NO UNWRITTEN ORAL AGREEMENTS BETWEEN THE PARTIES.</w:t>
      </w:r>
    </w:p>
    <w:p>
      <w:pPr>
        <w:spacing w:after="0" w:line="229" w:lineRule="exact"/>
        <w:rPr>
          <w:sz w:val="20"/>
          <w:szCs w:val="20"/>
          <w:color w:val="auto"/>
        </w:rPr>
      </w:pPr>
    </w:p>
    <w:p>
      <w:pPr>
        <w:ind w:right="820" w:firstLine="656"/>
        <w:spacing w:after="0" w:line="277" w:lineRule="auto"/>
        <w:tabs>
          <w:tab w:leader="none" w:pos="1343"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Joint and Several Liability</w:t>
      </w:r>
      <w:r>
        <w:rPr>
          <w:rFonts w:ascii="Arial" w:cs="Arial" w:eastAsia="Arial" w:hAnsi="Arial"/>
          <w:sz w:val="18"/>
          <w:szCs w:val="18"/>
          <w:color w:val="auto"/>
        </w:rPr>
        <w:t>. All Obligations which are incurred by two or more Restricted Persons shall be their joint and several obligations and liabilities of such Restricted Persons.</w:t>
      </w:r>
    </w:p>
    <w:p>
      <w:pPr>
        <w:spacing w:after="0" w:line="170" w:lineRule="exact"/>
        <w:rPr>
          <w:rFonts w:ascii="Arial" w:cs="Arial" w:eastAsia="Arial" w:hAnsi="Arial"/>
          <w:sz w:val="18"/>
          <w:szCs w:val="18"/>
          <w:color w:val="auto"/>
        </w:rPr>
      </w:pPr>
    </w:p>
    <w:p>
      <w:pPr>
        <w:ind w:firstLine="656"/>
        <w:spacing w:after="0" w:line="257" w:lineRule="auto"/>
        <w:tabs>
          <w:tab w:leader="none" w:pos="1368"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No Recourse to Other Persons</w:t>
      </w:r>
      <w:r>
        <w:rPr>
          <w:rFonts w:ascii="Arial" w:cs="Arial" w:eastAsia="Arial" w:hAnsi="Arial"/>
          <w:sz w:val="18"/>
          <w:szCs w:val="18"/>
          <w:color w:val="auto"/>
        </w:rPr>
        <w:t>. No past, present or future director, officer, partner, employee, incorporator, manager, stockholder, unitholder or member of Borrower, General Partner or GP LLC, and no past, present or future director, officer, partner, employee, incorporator, manager, stockholder, unitholder or member of Borrower or any Guarantor who, in each such case, is a natural person, shall have any liability for any Obligations or for any claim based on, in respect of, or by reason of, the Obligations or their creation. Each Lender Party waives and releases all such liability. The waiver and release are part of the consideration for the making of the Notes</w:t>
      </w:r>
    </w:p>
    <w:p>
      <w:pPr>
        <w:spacing w:after="0" w:line="188"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Survival of Representations, Warranties and Agreements; Cumulative Nature</w:t>
      </w:r>
      <w:r>
        <w:rPr>
          <w:rFonts w:ascii="Arial" w:cs="Arial" w:eastAsia="Arial" w:hAnsi="Arial"/>
          <w:sz w:val="17"/>
          <w:szCs w:val="17"/>
          <w:color w:val="auto"/>
        </w:rPr>
        <w:t>. All of Restricted Persons’ various representations, warranties, covenants and agreements in the Loan Documents shall survive the execution and delivery of this Agreement and the other Loan Documents and the performance hereof and thereof, including the making or granting of the Loans and the delivery of the Notes and the other Loan Documents, and shall further survive until all of the Obligations are paid in full to each Lender Party and all of Lender Parties’ obligations to Borrower are terminated. Such representations and warranties have been or will be relied upon by Administrative Agent and each Lender, regardless of any investigation made by Administrative Agent or any Lender or on their behalf and notwithstanding that Administrative Agent or any Lender may have had notice or knowledge of any Default at the time of any credit extension hereunder. The rights, powers, and privileges granted to Lender Parties in the Loan Documents, are cumulative, and, except for expressly specified waivers and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consents, no Loan Document shall be construed in the context of another to diminish, nullify, or otherwise reduce the benefit to any Lender Party of any such right, power or privilege.</w:t>
      </w:r>
    </w:p>
    <w:p>
      <w:pPr>
        <w:spacing w:after="0" w:line="17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Notices; Effectiveness; Electronic Communication</w:t>
      </w:r>
      <w:r>
        <w:rPr>
          <w:rFonts w:ascii="Arial" w:cs="Arial" w:eastAsia="Arial" w:hAnsi="Arial"/>
          <w:sz w:val="16"/>
          <w:szCs w:val="16"/>
          <w:color w:val="auto"/>
        </w:rPr>
        <w:t>.</w:t>
      </w:r>
    </w:p>
    <w:p>
      <w:pPr>
        <w:spacing w:after="0" w:line="225" w:lineRule="exact"/>
        <w:rPr>
          <w:sz w:val="20"/>
          <w:szCs w:val="20"/>
          <w:color w:val="auto"/>
        </w:rPr>
      </w:pPr>
    </w:p>
    <w:p>
      <w:pPr>
        <w:ind w:right="80" w:firstLine="656"/>
        <w:spacing w:after="0" w:line="302" w:lineRule="auto"/>
        <w:tabs>
          <w:tab w:leader="none" w:pos="1343" w:val="left"/>
        </w:tabs>
        <w:numPr>
          <w:ilvl w:val="0"/>
          <w:numId w:val="199"/>
        </w:numPr>
        <w:rPr>
          <w:rFonts w:ascii="Arial" w:cs="Arial" w:eastAsia="Arial" w:hAnsi="Arial"/>
          <w:sz w:val="16"/>
          <w:szCs w:val="16"/>
          <w:color w:val="auto"/>
        </w:rPr>
      </w:pPr>
      <w:r>
        <w:rPr>
          <w:rFonts w:ascii="Arial" w:cs="Arial" w:eastAsia="Arial" w:hAnsi="Arial"/>
          <w:sz w:val="16"/>
          <w:szCs w:val="16"/>
          <w:u w:val="single" w:color="auto"/>
          <w:color w:val="auto"/>
        </w:rPr>
        <w:t>Notices Generally</w:t>
      </w:r>
      <w:r>
        <w:rPr>
          <w:rFonts w:ascii="Arial" w:cs="Arial" w:eastAsia="Arial" w:hAnsi="Arial"/>
          <w:sz w:val="16"/>
          <w:szCs w:val="16"/>
          <w:color w:val="auto"/>
        </w:rPr>
        <w:t>. Except in the case of notices and other communications expressly permitted to be given by telephone or otherwise (and except as provided in subsection (b) below), all notices and other communications provided for herein shall be in writing and shall be delivered by hand or overnight courier service, mailed by certified or registered mail or sent by telecopier or other electronic transmission as follows, and all notices and other communications expressly permitted hereunder to be given by telephone shall be made to the applicable telephone number, as follows:</w:t>
      </w:r>
    </w:p>
    <w:p>
      <w:pPr>
        <w:spacing w:after="0" w:line="154" w:lineRule="exact"/>
        <w:rPr>
          <w:rFonts w:ascii="Arial" w:cs="Arial" w:eastAsia="Arial" w:hAnsi="Arial"/>
          <w:sz w:val="16"/>
          <w:szCs w:val="16"/>
          <w:color w:val="auto"/>
        </w:rPr>
      </w:pPr>
    </w:p>
    <w:p>
      <w:pPr>
        <w:ind w:right="120" w:firstLine="1305"/>
        <w:spacing w:after="0" w:line="277" w:lineRule="auto"/>
        <w:tabs>
          <w:tab w:leader="none" w:pos="2006"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if to Borrower or Administrative Agent, to the address, telecopier number, electronic mail address or telephone number specified for such Person on Schedule 10.3; and</w:t>
      </w:r>
    </w:p>
    <w:p>
      <w:pPr>
        <w:spacing w:after="0" w:line="170" w:lineRule="exact"/>
        <w:rPr>
          <w:rFonts w:ascii="Arial" w:cs="Arial" w:eastAsia="Arial" w:hAnsi="Arial"/>
          <w:sz w:val="18"/>
          <w:szCs w:val="18"/>
          <w:color w:val="auto"/>
        </w:rPr>
      </w:pPr>
    </w:p>
    <w:p>
      <w:pPr>
        <w:ind w:right="80" w:firstLine="1305"/>
        <w:spacing w:after="0" w:line="264" w:lineRule="auto"/>
        <w:tabs>
          <w:tab w:leader="none" w:pos="2011"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if to any other Lender, to the address, telecopier number, electronic mail address or telephone number specified in its Administrative Questionnaire if it has been delivered to the party sending such notice or communication; otherwise to such address reasonably believed to be correct by the sending party.</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telecopier shall be deemed to have been given when received (except that, if not given during normal business hours for the recipient, shall be deemed to have been received at the opening of business on the next business day for the recipient), with confirmation of the transmittal of any such telecopied notice evidencing receipt thereof. Notices delivered through electronic communications to the extent provided in subsection (b) below, shall be effective as provided in such subsection (b).</w:t>
      </w:r>
    </w:p>
    <w:p>
      <w:pPr>
        <w:spacing w:after="0" w:line="188" w:lineRule="exact"/>
        <w:rPr>
          <w:sz w:val="20"/>
          <w:szCs w:val="20"/>
          <w:color w:val="auto"/>
        </w:rPr>
      </w:pPr>
    </w:p>
    <w:p>
      <w:pPr>
        <w:ind w:right="160" w:firstLine="656"/>
        <w:spacing w:after="0" w:line="255" w:lineRule="auto"/>
        <w:tabs>
          <w:tab w:leader="none" w:pos="1353"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hereunder may be delivered or furnished by electronic communication (including e-mail and Internet or intranet websites) pursuant to procedures approved by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pursuant to Article II if such Lender has notified Administrative Agent that it is incapable of receiving notices under such Article by electronic communication. Administrative Agent or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9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Unless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its e-mail address as described in the foregoing clause (i) of notification that such notice or communication is available and identifying the website address therefor.</w:t>
      </w:r>
    </w:p>
    <w:p>
      <w:pPr>
        <w:sectPr>
          <w:pgSz w:w="11900" w:h="16929" w:orient="portrait"/>
          <w:cols w:equalWidth="0" w:num="1">
            <w:col w:w="11420"/>
          </w:cols>
          <w:pgMar w:left="240" w:top="341" w:right="239" w:bottom="0" w:gutter="0" w:footer="0" w:header="0"/>
        </w:sectPr>
      </w:pPr>
    </w:p>
    <w:bookmarkStart w:id="99" w:name="page100"/>
    <w:bookmarkEnd w:id="99"/>
    <w:p>
      <w:pPr>
        <w:spacing w:after="0" w:line="137" w:lineRule="exact"/>
        <w:rPr>
          <w:sz w:val="20"/>
          <w:szCs w:val="20"/>
          <w:color w:val="auto"/>
        </w:rPr>
      </w:pPr>
    </w:p>
    <w:p>
      <w:pPr>
        <w:ind w:right="260" w:firstLine="656"/>
        <w:spacing w:after="0" w:line="312" w:lineRule="auto"/>
        <w:tabs>
          <w:tab w:leader="none" w:pos="1343"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Borrower and Administrative Agent may change its address, telecopier, e-mail address or telephone number for notices and other communications hereunder by notice to the other parties hereto. Each other Lender may change its address, telecopier, e-mail address or telephone number for notices and other communications hereunder by notice to Borrower and Administrative Agent.</w:t>
      </w:r>
    </w:p>
    <w:p>
      <w:pPr>
        <w:spacing w:after="0" w:line="146" w:lineRule="exact"/>
        <w:rPr>
          <w:rFonts w:ascii="Arial" w:cs="Arial" w:eastAsia="Arial" w:hAnsi="Arial"/>
          <w:sz w:val="16"/>
          <w:szCs w:val="16"/>
          <w:color w:val="auto"/>
        </w:rPr>
      </w:pPr>
    </w:p>
    <w:p>
      <w:pPr>
        <w:ind w:firstLine="656"/>
        <w:spacing w:after="0" w:line="255" w:lineRule="auto"/>
        <w:tabs>
          <w:tab w:leader="none" w:pos="1353"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and Lenders</w:t>
      </w:r>
      <w:r>
        <w:rPr>
          <w:rFonts w:ascii="Arial" w:cs="Arial" w:eastAsia="Arial" w:hAnsi="Arial"/>
          <w:sz w:val="18"/>
          <w:szCs w:val="18"/>
          <w:color w:val="auto"/>
        </w:rPr>
        <w:t>. The Lender Parties shall be entitled to rely and act upon any notices each of them reasonably believes is purportedly given by or on behalf of Borrower even if (i) such notices were not made in a manner specified herein, were incomplete or were not preceded or followed by any other form of notice specified herein, or (ii) the terms thereof, as understood by the recipient, varied from any confirmation thereof. Borrower shall indemnify the Lender Parties from all losses, costs, expenses and liabilities resulting from the reliance by such Person on each notice it reasonably believes is purportedly given by or on behalf of Borrower, as provided in Section 10.4(b). All telephonic notices to and other telephonic communications with Administrative Agent may be recorded by Administrative Agent, and each of the parties hereto hereby consents to such recording.</w:t>
      </w:r>
    </w:p>
    <w:p>
      <w:pPr>
        <w:spacing w:after="0" w:line="18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Expenses; Indemnity; Damage Waiver.</w:t>
      </w:r>
    </w:p>
    <w:p>
      <w:pPr>
        <w:spacing w:after="0" w:line="225" w:lineRule="exact"/>
        <w:rPr>
          <w:sz w:val="20"/>
          <w:szCs w:val="20"/>
          <w:color w:val="auto"/>
        </w:rPr>
      </w:pPr>
    </w:p>
    <w:p>
      <w:pPr>
        <w:ind w:firstLine="656"/>
        <w:spacing w:after="0" w:line="254" w:lineRule="auto"/>
        <w:tabs>
          <w:tab w:leader="none" w:pos="1343"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color w:val="auto"/>
        </w:rPr>
        <w:t>. Borrower shall pay (i) all reasonable out-of-pocket expenses incurred by Administrative Agent and its Affiliates (including the reasonable fees, charges and disbursements of counsel for Administrative Agent), in connection with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all out-of-pocket expenses incurred by Administrative Agent or any Lender (including the fees, charges and disbursements of any counsel for Administrative Agent or any Lender and all fees and time charges for attorneys who may be employees of Administrative Agent), in connection with the enforcement or protection of its rights under this Agreement and the other Loan Documents, including its rights under this Section and out-of-pocket expenses incurred during any workout, restructuring or negotiations in respect of such Loans.</w:t>
      </w:r>
    </w:p>
    <w:p>
      <w:pPr>
        <w:spacing w:after="0" w:line="192" w:lineRule="exact"/>
        <w:rPr>
          <w:rFonts w:ascii="Arial" w:cs="Arial" w:eastAsia="Arial" w:hAnsi="Arial"/>
          <w:sz w:val="18"/>
          <w:szCs w:val="18"/>
          <w:color w:val="auto"/>
        </w:rPr>
      </w:pPr>
    </w:p>
    <w:p>
      <w:pPr>
        <w:ind w:right="40" w:firstLine="656"/>
        <w:spacing w:after="0" w:line="254" w:lineRule="auto"/>
        <w:tabs>
          <w:tab w:leader="none" w:pos="1353"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 Borrower agrees to indemnify each Lender Party from and against any and all liabilities, obligations, claims, losses, damages, penalties, fines, actions, judgments, suits, settlements, costs, expenses or disbursements (including reasonable fees of attorneys, accountants, experts and advisors) of any kind or nature whatsoever (in this section collectively called “liabilities and costs”) which to any extent (in whole or in part) may be imposed on, incurred by, or asserted against such Lender Party growing out of, resulting from or in any other way associated with the Loan Documents and the transactions and events (including the enforcement or defense thereof) at any time associated therewith or contemplated therein and Borrower’s use of Loan proceeds (whether arising in contract or in tort or otherwise and including any violation or noncompliance with any Environmental Laws by any Lender Party or any other Person or any liabilities or duties of any Lender Party or any other Person with respect to Hazardous Materials found in or released into the environment). In the case of 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investigation, litigation or proceeding to which the indemnity in this Section 10.4 applies, such indemnity shall be effective whether or not such investigation, litigation or proceeding is brought by Borrower, any of its equity holders, Affiliates or creditors or a Lender Party or any third party and whether or not a Lender Party is otherwise a party thereto.</w:t>
      </w:r>
    </w:p>
    <w:p>
      <w:pPr>
        <w:spacing w:after="0" w:line="17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THE FOREGOING INDEMNIFICATION SHALL APPLY WHETHER OR NOT SUCH LIABILITIES AND COSTS ARE IN ANY WAY OR TO ANY EXTENT OWED, IN WHOLE OR IN PART, UNDER ANY CLAIM OR THEORY OF STRICT LIABILITY OR CAUSED, IN WHOLE OR IN PART, BY ANY NEGLIGENT ACT OR OMISSION OF ANY KIND BY ANY LENDER PARTY</w:t>
      </w:r>
      <w:r>
        <w:rPr>
          <w:rFonts w:ascii="Arial" w:cs="Arial" w:eastAsia="Arial" w:hAnsi="Arial"/>
          <w:sz w:val="16"/>
          <w:szCs w:val="16"/>
          <w:color w:val="auto"/>
        </w:rPr>
        <w:t>, provided only that no Lender Party</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entitled under this section to receive indemnification for that portion, if any, of any liabilities and costs which (i) is proximately caused by its own (A) individual gross negligence or willful misconduct, as determined in a final judgment, or (B) material breach of any of its obligations hereunder or under any other Loan Documents, as determined in a final judgment or (ii) arises by reason of a claim (A) by any one or more Lender Parties against any one or more other Lender Parties or (B) by an equity-interest owner of any Lender Party against any one or more Lender Parties, so long as in either such case, such claim is not proximately caused solely by the breach hereunder or under any other Loan Document by Borrower or its Affiliates. If any Person (including Borrower or any of its Affiliates) ever alleges gross negligence or willful misconduct pursuant to the preceding clause (i)(A) (but, for the avoidance of doubt, not with respect to an allegation of a material breach pursuant to the preceding clause (i)(B)) by any Lender Party, the indemnification provided for in this section shall nonetheless be paid upon demand, subject to later adjustment or reimbursement, until such time as a court of competent jurisdiction enters a final judgment as to the extent and effect of the alleged gross negligence or willful misconduct. As used in this section the term “Lender Party” shall refer not only to each Person designated as such in Section 1.1 but also to each director, officer, trustee, agent, attorney, employee, representative and Affiliate of such Persons. So long as no Default has occurred and is continuing and Borrower is financially solvent, no Lender Party may settle any claim to be indemnified without the consent of Borrower, such consent not to be unreasonably withheld; provided that Borrower may not reasonably withhold consent to any settlement that a Lender Party proposes, if Borrower does not have the financial ability to pay all its obligations outstanding and asserted against Borrower at that time, including the maximum potential claims against the Lender Party to be indemnified pursuant to this Section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2494280</wp:posOffset>
            </wp:positionH>
            <wp:positionV relativeFrom="paragraph">
              <wp:posOffset>-768350</wp:posOffset>
            </wp:positionV>
            <wp:extent cx="2857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9" w:lineRule="exact"/>
        <w:rPr>
          <w:sz w:val="20"/>
          <w:szCs w:val="20"/>
          <w:color w:val="auto"/>
        </w:rPr>
      </w:pPr>
    </w:p>
    <w:p>
      <w:pPr>
        <w:ind w:right="160" w:firstLine="656"/>
        <w:spacing w:after="0" w:line="291" w:lineRule="auto"/>
        <w:tabs>
          <w:tab w:leader="none" w:pos="1343"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any amounts required to be paid to Administrative Agent or any Related Party of Administrative Agent pursuant to subsection (a) or (b) of this Section 10.4 are not indefeasibly paid, each Lender severally agrees to pay to Administrative Agent or such Related Party, as the case may be, such Lender’s Percentage Share (determined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Administrative Agent in its capacity as such or against any such Related Party of any of the foregoing acting for Administrative Agent in connection with such capacity. The obligations of the Lenders under this subsection (c) shall be several, as provided in the second next to last sentence of Section 2.2 with respect to the several obligations of Lenders to make Loans.</w:t>
      </w:r>
    </w:p>
    <w:p>
      <w:pPr>
        <w:spacing w:after="0" w:line="167" w:lineRule="exact"/>
        <w:rPr>
          <w:rFonts w:ascii="Arial" w:cs="Arial" w:eastAsia="Arial" w:hAnsi="Arial"/>
          <w:sz w:val="16"/>
          <w:szCs w:val="16"/>
          <w:color w:val="auto"/>
        </w:rPr>
      </w:pPr>
    </w:p>
    <w:p>
      <w:pPr>
        <w:ind w:right="360" w:firstLine="656"/>
        <w:spacing w:after="0" w:line="277" w:lineRule="auto"/>
        <w:tabs>
          <w:tab w:leader="none" w:pos="1353"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w:t>
      </w:r>
      <w:r>
        <w:rPr>
          <w:rFonts w:ascii="Arial" w:cs="Arial" w:eastAsia="Arial" w:hAnsi="Arial"/>
          <w:sz w:val="18"/>
          <w:szCs w:val="18"/>
          <w:u w:val="single" w:color="auto"/>
          <w:color w:val="auto"/>
        </w:rPr>
        <w:t>no</w:t>
      </w:r>
      <w:r>
        <w:rPr>
          <w:rFonts w:ascii="Arial" w:cs="Arial" w:eastAsia="Arial" w:hAnsi="Arial"/>
          <w:sz w:val="18"/>
          <w:szCs w:val="18"/>
          <w:color w:val="auto"/>
        </w:rPr>
        <w:t xml:space="preserve"> party hereto or Related Party of any party hereto shall assert, and hereby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waives, any claim against each other party hereto and its Related Parties (including, as applicable, each indemnitee referred to in subsection (b) above), on any theory of liability, for special, indirect, consequential or punitive damages (as opposed to direct or actual damages) arising out of, in connection with, or</w:t>
      </w:r>
    </w:p>
    <w:p>
      <w:pPr>
        <w:sectPr>
          <w:pgSz w:w="11900" w:h="16975" w:orient="portrait"/>
          <w:cols w:equalWidth="0" w:num="1">
            <w:col w:w="11420"/>
          </w:cols>
          <w:pgMar w:left="240" w:top="341" w:right="239" w:bottom="0" w:gutter="0" w:footer="0" w:header="0"/>
        </w:sectPr>
      </w:pPr>
    </w:p>
    <w:bookmarkStart w:id="100" w:name="page101"/>
    <w:bookmarkEnd w:id="100"/>
    <w:p>
      <w:pPr>
        <w:spacing w:after="0" w:line="10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a result of, this Agreement, any other Loan Document or any agreement or instrument contemplated hereby, the transactions contemplated hereby or thereby, any Loan or the use of the proceeds thereof. No indemnitee referred to in subsection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other than as a result of such indemnitee’s gross negligence, willful misconduct or material breach of any of its obligations under any Loan Document.</w:t>
      </w:r>
    </w:p>
    <w:p>
      <w:pPr>
        <w:spacing w:after="0" w:line="173" w:lineRule="exact"/>
        <w:rPr>
          <w:sz w:val="20"/>
          <w:szCs w:val="20"/>
          <w:color w:val="auto"/>
        </w:rPr>
      </w:pPr>
    </w:p>
    <w:p>
      <w:pPr>
        <w:ind w:right="60" w:firstLine="656"/>
        <w:spacing w:after="0" w:line="264" w:lineRule="auto"/>
        <w:tabs>
          <w:tab w:leader="none" w:pos="1343"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Borrower hereby promises to pay to each Lender Party interest at the Default Rate on all obligations to pay fees or to reimburse or indemnify any Lender Party which Borrower has promised to pay to such Lender Party pursuant to this Section 10.4 and which are not paid when due. Such interest shall accrue from the date such Obligations become due until they are paid.</w:t>
      </w:r>
    </w:p>
    <w:p>
      <w:pPr>
        <w:spacing w:after="0" w:line="181" w:lineRule="exact"/>
        <w:rPr>
          <w:rFonts w:ascii="Arial" w:cs="Arial" w:eastAsia="Arial" w:hAnsi="Arial"/>
          <w:sz w:val="18"/>
          <w:szCs w:val="18"/>
          <w:color w:val="auto"/>
        </w:rPr>
      </w:pPr>
    </w:p>
    <w:p>
      <w:pPr>
        <w:ind w:right="400" w:firstLine="656"/>
        <w:spacing w:after="0" w:line="277" w:lineRule="auto"/>
        <w:tabs>
          <w:tab w:leader="none" w:pos="1368"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 and Borrower’s receipt of reasonably detailed invoices or statements related thereto.</w:t>
      </w:r>
    </w:p>
    <w:p>
      <w:pPr>
        <w:spacing w:after="0" w:line="170" w:lineRule="exact"/>
        <w:rPr>
          <w:rFonts w:ascii="Arial" w:cs="Arial" w:eastAsia="Arial" w:hAnsi="Arial"/>
          <w:sz w:val="18"/>
          <w:szCs w:val="18"/>
          <w:color w:val="auto"/>
        </w:rPr>
      </w:pPr>
    </w:p>
    <w:p>
      <w:pPr>
        <w:ind w:right="680" w:firstLine="656"/>
        <w:spacing w:after="0" w:line="277" w:lineRule="auto"/>
        <w:tabs>
          <w:tab w:leader="none" w:pos="1353"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agreements in this Section shall survive the resignation of Administrative Agent, the replacement of any Lender, the termination of the Commitments and the repayment, satisfaction or discharge of all the other Obligations.</w:t>
      </w:r>
    </w:p>
    <w:p>
      <w:pPr>
        <w:spacing w:after="0" w:line="17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225" w:lineRule="exact"/>
        <w:rPr>
          <w:sz w:val="20"/>
          <w:szCs w:val="20"/>
          <w:color w:val="auto"/>
        </w:rPr>
      </w:pPr>
    </w:p>
    <w:p>
      <w:pPr>
        <w:ind w:right="40" w:firstLine="656"/>
        <w:spacing w:after="0" w:line="289" w:lineRule="auto"/>
        <w:tabs>
          <w:tab w:leader="none" w:pos="1343" w:val="left"/>
        </w:tabs>
        <w:numPr>
          <w:ilvl w:val="0"/>
          <w:numId w:val="205"/>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The provisions of this Agreement shall be binding upon and inure to the benefit of the parties hereto and their respective successors and assigns permitted hereby, except that no Borrower nor any other Restricted Person may assign or otherwise transfer any of its rights or obligations hereunder without the prior written consent of Administrative Agent and each Lender, and no Lender may assign or otherwise transfer any of its rights or obligations hereunder except (i) to an Eligible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Affiliates of Administrative Agent and the Lenders) any legal or equitable right, remedy or claim under or by reason of this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77" w:lineRule="auto"/>
        <w:tabs>
          <w:tab w:leader="none" w:pos="1353"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Eligible Assignees all or a portion of its rights and obligations under this Agreement (including all or a portion of its Commitment and the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70" w:lineRule="exact"/>
        <w:rPr>
          <w:rFonts w:ascii="Arial" w:cs="Arial" w:eastAsia="Arial" w:hAnsi="Arial"/>
          <w:sz w:val="18"/>
          <w:szCs w:val="18"/>
          <w:color w:val="auto"/>
        </w:rPr>
      </w:pPr>
    </w:p>
    <w:p>
      <w:pPr>
        <w:ind w:right="20" w:firstLine="1305"/>
        <w:spacing w:after="0" w:line="255" w:lineRule="auto"/>
        <w:tabs>
          <w:tab w:leader="none" w:pos="2006" w:val="left"/>
        </w:tabs>
        <w:numPr>
          <w:ilvl w:val="1"/>
          <w:numId w:val="206"/>
        </w:numPr>
        <w:rPr>
          <w:rFonts w:ascii="Arial" w:cs="Arial" w:eastAsia="Arial" w:hAnsi="Arial"/>
          <w:sz w:val="18"/>
          <w:szCs w:val="18"/>
          <w:color w:val="auto"/>
        </w:rPr>
      </w:pPr>
      <w:r>
        <w:rPr>
          <w:rFonts w:ascii="Arial" w:cs="Arial" w:eastAsia="Arial" w:hAnsi="Arial"/>
          <w:sz w:val="18"/>
          <w:szCs w:val="18"/>
          <w:color w:val="auto"/>
        </w:rPr>
        <w:t>except (A) in the case of an assignment of the entire remaining amount of the assigning Lender’s Commitments, if any, and the Loans at the time owing to it, or (B) in the case of an assignment to a Lender and the assigning Lender retains a Commitment of $5,000,000,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Administrative Agent or, if “Trade Date” is specified in the Assignment and Assumption, as of the Trade Date, shall not be less than $5,000,000, unless Administrative Agent and, so long as no Event of Default has occurred and is continuing, Borrower otherwise consents (each such consent not to be unreasonably withheld or delayed);</w:t>
      </w:r>
    </w:p>
    <w:p>
      <w:pPr>
        <w:spacing w:after="0" w:line="189" w:lineRule="exact"/>
        <w:rPr>
          <w:rFonts w:ascii="Arial" w:cs="Arial" w:eastAsia="Arial" w:hAnsi="Arial"/>
          <w:sz w:val="18"/>
          <w:szCs w:val="18"/>
          <w:color w:val="auto"/>
        </w:rPr>
      </w:pPr>
    </w:p>
    <w:p>
      <w:pPr>
        <w:ind w:right="60" w:firstLine="1305"/>
        <w:spacing w:after="0" w:line="277" w:lineRule="auto"/>
        <w:tabs>
          <w:tab w:leader="none" w:pos="2011" w:val="left"/>
        </w:tabs>
        <w:numPr>
          <w:ilvl w:val="1"/>
          <w:numId w:val="206"/>
        </w:numPr>
        <w:rPr>
          <w:rFonts w:ascii="Arial" w:cs="Arial" w:eastAsia="Arial" w:hAnsi="Arial"/>
          <w:sz w:val="18"/>
          <w:szCs w:val="18"/>
          <w:color w:val="auto"/>
        </w:rPr>
      </w:pPr>
      <w:r>
        <w:rPr>
          <w:rFonts w:ascii="Arial" w:cs="Arial" w:eastAsia="Arial" w:hAnsi="Arial"/>
          <w:sz w:val="18"/>
          <w:szCs w:val="18"/>
          <w:color w:val="auto"/>
        </w:rPr>
        <w:t>each partial assignment shall be made as an assignment of a proportionate part of all the assigning Lender’s rights and obligations under this Agreement with respect to the Loans or the Commitment assigned;</w:t>
      </w:r>
    </w:p>
    <w:p>
      <w:pPr>
        <w:spacing w:after="0" w:line="170" w:lineRule="exact"/>
        <w:rPr>
          <w:rFonts w:ascii="Arial" w:cs="Arial" w:eastAsia="Arial" w:hAnsi="Arial"/>
          <w:sz w:val="18"/>
          <w:szCs w:val="18"/>
          <w:color w:val="auto"/>
        </w:rPr>
      </w:pPr>
    </w:p>
    <w:p>
      <w:pPr>
        <w:ind w:right="240" w:firstLine="1305"/>
        <w:spacing w:after="0" w:line="277" w:lineRule="auto"/>
        <w:tabs>
          <w:tab w:leader="none" w:pos="2016"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any assignment of a Commitment must be approved by Administrative Agent unless the Person that is the proposed assignee is itself a Lender (whether or not the proposed assignee would otherwise qualify as an Eligible Assignee); and</w:t>
      </w:r>
    </w:p>
    <w:p>
      <w:pPr>
        <w:spacing w:after="0" w:line="170" w:lineRule="exact"/>
        <w:rPr>
          <w:rFonts w:ascii="Arial" w:cs="Arial" w:eastAsia="Arial" w:hAnsi="Arial"/>
          <w:sz w:val="18"/>
          <w:szCs w:val="18"/>
          <w:color w:val="auto"/>
        </w:rPr>
      </w:pPr>
    </w:p>
    <w:p>
      <w:pPr>
        <w:ind w:right="120" w:firstLine="1305"/>
        <w:spacing w:after="0" w:line="264" w:lineRule="auto"/>
        <w:tabs>
          <w:tab w:leader="none" w:pos="2006"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Administrative Agent an Assignment and Assumption, together with a processing and recordation fee payable by such assignor Lender (and not at Borrower’s expense) of $3,500, and the Eligible Assignee, if it shall not be a Lender, shall deliver to Administrative Agent an Administrative Questionnaire.</w:t>
      </w:r>
    </w:p>
    <w:p>
      <w:pPr>
        <w:spacing w:after="0" w:line="18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Subject to acceptance and recording thereof by Administrative Agent pursuant to subsection (c)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3.2, 3.3, 3.6 and 3.7 and Section 10.4 with respect to facts and circumstances occurring prior to the effective date of such assignment. Upon request, Borrower (at its expense) shall execute and deliver a Note to the assignee Lender against receipt by Borrower of the canceled original Note of the assignor, if its entire Commitment was assigned, or evidence that such assignor’s Note is marked to reflect its reduction..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Each Eligible Assignee of a US Lender which is not a United States person (as such term is defined in Section 7701(a)(30) of the Code) for Federal income tax purposes, must (to the extent it has not already done so) provide Administrative Agent and Borrower with the “Prescribed Forms” referred to in Section 3.7(d).</w:t>
      </w:r>
    </w:p>
    <w:p>
      <w:pPr>
        <w:spacing w:after="0" w:line="181" w:lineRule="exact"/>
        <w:rPr>
          <w:sz w:val="20"/>
          <w:szCs w:val="20"/>
          <w:color w:val="auto"/>
        </w:rPr>
      </w:pPr>
    </w:p>
    <w:p>
      <w:pPr>
        <w:ind w:right="40" w:firstLine="656"/>
        <w:spacing w:after="0" w:line="302" w:lineRule="auto"/>
        <w:tabs>
          <w:tab w:leader="none" w:pos="1343"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Administrative Agent, acting solely for this purpose as an agent of Borrower, shall maintain at its Applicable Lending Office a copy of each Assignment and Assumption delivered to it and a register for the recordation of the names and addresses of the Lenders, and the Commitments of, and principal amounts of the Loans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Borrower, Administrative Agent and the Lenders may treat each Person whose name is recorded in the Register</w:t>
      </w:r>
    </w:p>
    <w:p>
      <w:pPr>
        <w:sectPr>
          <w:pgSz w:w="11900" w:h="16945" w:orient="portrait"/>
          <w:cols w:equalWidth="0" w:num="1">
            <w:col w:w="11420"/>
          </w:cols>
          <w:pgMar w:left="240" w:top="125" w:right="239" w:bottom="0" w:gutter="0" w:footer="0" w:header="0"/>
        </w:sectPr>
      </w:pPr>
    </w:p>
    <w:bookmarkStart w:id="101" w:name="page102"/>
    <w:bookmarkEnd w:id="101"/>
    <w:p>
      <w:pPr>
        <w:ind w:right="180"/>
        <w:spacing w:after="0" w:line="257" w:lineRule="auto"/>
        <w:rPr>
          <w:sz w:val="20"/>
          <w:szCs w:val="20"/>
          <w:color w:val="auto"/>
        </w:rPr>
      </w:pPr>
      <w:r>
        <w:rPr>
          <w:rFonts w:ascii="Arial" w:cs="Arial" w:eastAsia="Arial" w:hAnsi="Arial"/>
          <w:sz w:val="18"/>
          <w:szCs w:val="18"/>
          <w:color w:val="auto"/>
        </w:rPr>
        <w:t>pursuant to the terms hereof, and its correspondingly recorded Commitment, as a Lender hereunder owning such Commitment for all purposes of this Agreement, notwithstanding notice to the contrary. The Register shall be available for inspection by Borrower at any reasonable time and from time to time upon reasonable prior notice. In addition, at any time (i) requested by Borrower or (ii) that a request for a consent for a material or substantive change to the Loan Documents is pending, Borrower or any Lender wishing to consult with other Lenders in connection therewith, as applicable, may request and receive from Administrative Agent a copy of the Register.</w:t>
      </w:r>
    </w:p>
    <w:p>
      <w:pPr>
        <w:spacing w:after="0" w:line="188" w:lineRule="exact"/>
        <w:rPr>
          <w:sz w:val="20"/>
          <w:szCs w:val="20"/>
          <w:color w:val="auto"/>
        </w:rPr>
      </w:pPr>
    </w:p>
    <w:p>
      <w:pPr>
        <w:ind w:right="180" w:firstLine="656"/>
        <w:spacing w:after="0" w:line="293" w:lineRule="auto"/>
        <w:tabs>
          <w:tab w:leader="none" w:pos="1353"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xml:space="preserve">. Any Lender may at any time, without the consent of, or notice to, Borrower or Administrative Agent, sell participations to any Person (other than a natural person or Borrower or any of Borrower’s Affiliates or Subsidiaries) (each, a “Participant”) in all or a portion of the Obligations owing to such Lender and such Lender’s rights related thereto and such Lender’s obligations under this Agreement (including all or a portion of its Commitment and/or the Obligations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and (iii) Borrower, Administrative Agent and the Lenders shall continue to deal solely and directly with such Lender in connection with such Lender’s rights and obligations under this Agreement.</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 or other modification described in the first proviso to Section 10.1 that directly affects such Participant. Subject to subsection (e) of this Section, Borrower agrees that each Participant shall be entitled to the benefits of Sections 3.2, 3.3, 3.6 and 3.7 and the obligations imposed by such Sections, and shall be subject to replacement pursuant to Section 3.8, to the same extent as if it were a Lender and had acquired its interest by assignment pursuant to subsection (b) of this Section. To the extent permitted by law, each Participant also shall be entitled to the benefits of Section 10.11 as though it were a Lender, provided such Participant agrees to be subject to Section 9.11 as though it were a Lender.</w:t>
      </w:r>
    </w:p>
    <w:p>
      <w:pPr>
        <w:spacing w:after="0" w:line="192" w:lineRule="exact"/>
        <w:rPr>
          <w:sz w:val="20"/>
          <w:szCs w:val="20"/>
          <w:color w:val="auto"/>
        </w:rPr>
      </w:pPr>
    </w:p>
    <w:p>
      <w:pPr>
        <w:ind w:right="180" w:firstLine="656"/>
        <w:spacing w:after="0" w:line="308" w:lineRule="auto"/>
        <w:tabs>
          <w:tab w:leader="none" w:pos="1343" w:val="left"/>
        </w:tabs>
        <w:numPr>
          <w:ilvl w:val="0"/>
          <w:numId w:val="209"/>
        </w:numPr>
        <w:rPr>
          <w:rFonts w:ascii="Arial" w:cs="Arial" w:eastAsia="Arial" w:hAnsi="Arial"/>
          <w:sz w:val="17"/>
          <w:szCs w:val="17"/>
          <w:color w:val="auto"/>
        </w:rPr>
      </w:pPr>
      <w:r>
        <w:rPr>
          <w:rFonts w:ascii="Arial" w:cs="Arial" w:eastAsia="Arial" w:hAnsi="Arial"/>
          <w:sz w:val="17"/>
          <w:szCs w:val="17"/>
          <w:u w:val="single" w:color="auto"/>
          <w:color w:val="auto"/>
        </w:rPr>
        <w:t>Limitation upon Participant Rights</w:t>
      </w:r>
      <w:r>
        <w:rPr>
          <w:rFonts w:ascii="Arial" w:cs="Arial" w:eastAsia="Arial" w:hAnsi="Arial"/>
          <w:sz w:val="17"/>
          <w:szCs w:val="17"/>
          <w:color w:val="auto"/>
        </w:rPr>
        <w:t>. A Participant shall not be entitled to receive any greater payment under Sections 3.2 through 3.7 than the applicable Lender would have been entitled to receive with respect to the participation sold to such Participant, unless the sale of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participation to such Participant is made with Borrower’s prior written consent, which consent sets forth an express waiver of the limitation on Sections 3.2 through 3.7 which are set forth in this subsection.</w:t>
      </w:r>
    </w:p>
    <w:p>
      <w:pPr>
        <w:spacing w:after="0" w:line="170" w:lineRule="exact"/>
        <w:rPr>
          <w:sz w:val="20"/>
          <w:szCs w:val="20"/>
          <w:color w:val="auto"/>
        </w:rPr>
      </w:pPr>
    </w:p>
    <w:p>
      <w:pPr>
        <w:ind w:right="120" w:firstLine="656"/>
        <w:spacing w:after="0" w:line="257" w:lineRule="auto"/>
        <w:tabs>
          <w:tab w:leader="none" w:pos="1368"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(or, except as to the Federal Reserve Bank, permit the substitution of) any such pledgee or assignee for such Lender as a party hereto, and all costs, fees and expenses related to any such pledge shall be for the sole account of such Lender.</w:t>
      </w:r>
    </w:p>
    <w:p>
      <w:pPr>
        <w:spacing w:after="0" w:line="188" w:lineRule="exact"/>
        <w:rPr>
          <w:rFonts w:ascii="Arial" w:cs="Arial" w:eastAsia="Arial" w:hAnsi="Arial"/>
          <w:sz w:val="18"/>
          <w:szCs w:val="18"/>
          <w:color w:val="auto"/>
        </w:rPr>
      </w:pPr>
    </w:p>
    <w:p>
      <w:pPr>
        <w:ind w:firstLine="656"/>
        <w:spacing w:after="0" w:line="276" w:lineRule="auto"/>
        <w:tabs>
          <w:tab w:leader="none" w:pos="1353" w:val="left"/>
        </w:tabs>
        <w:numPr>
          <w:ilvl w:val="0"/>
          <w:numId w:val="210"/>
        </w:numPr>
        <w:rPr>
          <w:rFonts w:ascii="Arial" w:cs="Arial" w:eastAsia="Arial" w:hAnsi="Arial"/>
          <w:sz w:val="17"/>
          <w:szCs w:val="17"/>
          <w:color w:val="auto"/>
        </w:rPr>
      </w:pPr>
      <w:r>
        <w:rPr>
          <w:rFonts w:ascii="Arial" w:cs="Arial" w:eastAsia="Arial" w:hAnsi="Arial"/>
          <w:sz w:val="17"/>
          <w:szCs w:val="17"/>
          <w:u w:val="single" w:color="auto"/>
          <w:color w:val="auto"/>
        </w:rPr>
        <w:t>Electronic Execution of Assignments</w:t>
      </w:r>
      <w:r>
        <w:rPr>
          <w:rFonts w:ascii="Arial" w:cs="Arial" w:eastAsia="Arial" w:hAnsi="Arial"/>
          <w:sz w:val="17"/>
          <w:szCs w:val="17"/>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2" w:lineRule="exact"/>
        <w:rPr>
          <w:rFonts w:ascii="Arial" w:cs="Arial" w:eastAsia="Arial" w:hAnsi="Arial"/>
          <w:sz w:val="17"/>
          <w:szCs w:val="17"/>
          <w:color w:val="auto"/>
        </w:rPr>
      </w:pPr>
    </w:p>
    <w:p>
      <w:pPr>
        <w:ind w:right="100" w:firstLine="656"/>
        <w:spacing w:after="0" w:line="259" w:lineRule="auto"/>
        <w:tabs>
          <w:tab w:leader="none" w:pos="1353"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Lost Notes</w:t>
      </w:r>
      <w:r>
        <w:rPr>
          <w:rFonts w:ascii="Arial" w:cs="Arial" w:eastAsia="Arial" w:hAnsi="Arial"/>
          <w:sz w:val="18"/>
          <w:szCs w:val="18"/>
          <w:color w:val="auto"/>
        </w:rPr>
        <w:t>. Upon receipt of an affidavit reasonably satisfactory to Borrower of an officer of any Lender as to the loss, theft, destruction or mutilation of its Note which is not of public record, and, in the case of any such loss, theft, destruction or mutilation, upon cancellation of such Note, Borrower will execute and deliver, in lieu thereof, a replacement Note in the principal amount of such Lender’s then Commitment or if no Commitment is in effect, the outstanding principal amount owed to such Lender and otherwise of like tenor.</w:t>
      </w:r>
    </w:p>
    <w:p>
      <w:pPr>
        <w:spacing w:after="0" w:line="187" w:lineRule="exact"/>
        <w:rPr>
          <w:sz w:val="20"/>
          <w:szCs w:val="20"/>
          <w:color w:val="auto"/>
        </w:rPr>
      </w:pPr>
    </w:p>
    <w:p>
      <w:pPr>
        <w:ind w:right="140" w:firstLine="648"/>
        <w:spacing w:after="0" w:line="283"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Treatment of Certain Information; Confidentiality</w:t>
      </w:r>
      <w:r>
        <w:rPr>
          <w:rFonts w:ascii="Arial" w:cs="Arial" w:eastAsia="Arial" w:hAnsi="Arial"/>
          <w:sz w:val="16"/>
          <w:szCs w:val="16"/>
          <w:color w:val="auto"/>
        </w:rPr>
        <w:t>. Each of Administrative Agent and the Lenders (for itself and each of its Affiliates, and its and their Related Parties) agrees to maintain the confidentiality of the Information (as defined below), except that Information may be disclosed (a) to its Affiliates and to its and its Affiliates’ respective partners, directors, officers, employees, agents, advisors and representatives (it being understood that the Persons to whom such disclosure is made will be informed of the confidential nature of such Information and instructed to keep such Information confidential and will agree to maintain such confidences), (b) to the extent requested or required by applicable laws or regulations or by any subpoena or similar legal process, (c) subject to this Section 10.6, to any other party hereto, (d) in connection with the exercise of any remedies hereunder or under any other Loan Document or any action or proceeding relating to this Agreement or any other Loan Document or in connection with any Default or anticipated Default, the enforcement of rights hereunder or thereunder, (e) subject to an agreement containing provisions substantially the same as those of this Section, to (i) any assignee of or Participant in, or any prospective assignee of or Participant in, any of its rights or obligations under this Agreement or</w:t>
      </w:r>
    </w:p>
    <w:p>
      <w:pPr>
        <w:spacing w:after="0" w:line="7" w:lineRule="exact"/>
        <w:rPr>
          <w:sz w:val="20"/>
          <w:szCs w:val="20"/>
          <w:color w:val="auto"/>
        </w:rPr>
      </w:pPr>
    </w:p>
    <w:p>
      <w:pPr>
        <w:ind w:right="20" w:firstLine="8"/>
        <w:spacing w:after="0" w:line="290" w:lineRule="auto"/>
        <w:tabs>
          <w:tab w:leader="none" w:pos="265"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any actual or prospective counterparty (or its advisors) to any swap or derivative transaction relating to, and requested by, Borrower and its obligations, (f) with the consent of Borrower, or (g) to the extent such Information becomes publicly available other than as a result of a breach of this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Section, or becomes available to Administrative Agent, any Lender or any of their respective Affiliates on a nonconfidential basis from a source other than Borrower.</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For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any of Borrower or any Subsidiary relating to any of Borrower or any Subsidiary, or any Affiliate of any of them, or any of their respective businesses, other than any such information that is available to Administrative Agent or any Lender on a nonconfidential basis prior to disclosure by any of Borrower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any of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ectPr>
          <w:pgSz w:w="11900" w:h="16838" w:orient="portrait"/>
          <w:cols w:equalWidth="0" w:num="1">
            <w:col w:w="11420"/>
          </w:cols>
          <w:pgMar w:left="240" w:top="125" w:right="239" w:bottom="0" w:gutter="0" w:footer="0" w:header="0"/>
        </w:sectPr>
      </w:pPr>
    </w:p>
    <w:bookmarkStart w:id="102" w:name="page103"/>
    <w:bookmarkEnd w:id="102"/>
    <w:p>
      <w:pPr>
        <w:spacing w:after="0" w:line="8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7"/>
          <w:szCs w:val="17"/>
          <w:u w:val="single" w:color="auto"/>
          <w:color w:val="auto"/>
        </w:rPr>
        <w:t>Governing Law; Submission to Process</w:t>
      </w:r>
      <w:r>
        <w:rPr>
          <w:rFonts w:ascii="Arial" w:cs="Arial" w:eastAsia="Arial" w:hAnsi="Arial"/>
          <w:sz w:val="17"/>
          <w:szCs w:val="17"/>
          <w:color w:val="auto"/>
        </w:rPr>
        <w:t>.</w:t>
      </w:r>
      <w:r>
        <w:rPr>
          <w:rFonts w:ascii="Arial" w:cs="Arial" w:eastAsia="Arial" w:hAnsi="Arial"/>
          <w:sz w:val="17"/>
          <w:szCs w:val="17"/>
          <w:u w:val="single" w:color="auto"/>
          <w:color w:val="auto"/>
        </w:rPr>
        <w:t xml:space="preserve"> </w:t>
      </w:r>
      <w:r>
        <w:rPr>
          <w:rFonts w:ascii="Arial" w:cs="Arial" w:eastAsia="Arial" w:hAnsi="Arial"/>
          <w:sz w:val="17"/>
          <w:szCs w:val="17"/>
          <w:b w:val="1"/>
          <w:bCs w:val="1"/>
          <w:color w:val="auto"/>
        </w:rPr>
        <w:t>EXCEPT TO THE EXTENT THAT THE LAW OF ANOTHER JURISDICTION</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b w:val="1"/>
          <w:bCs w:val="1"/>
          <w:color w:val="auto"/>
        </w:rPr>
        <w:t>IS EXPRESSLY ELECTED IN A LOAN DOCUMENT, THE LOAN DOCUMENTS SHALL BE DEEMED CONTRACTS AND INSTRUMENTS MADE UNDER THE LAWS OF THE STATE OF NEW YORK AND SHALL BE CONSTRUED AND ENFORCED IN ACCORDANCE WITH AND GOVERNED BY THE LAWS OF THE STATE OF NEW YORK AND THE LAWS OF THE UNITED STATES OF AMERICA, WITHOUT REGARD TO PRINCIPLES OF CONFLICTS OF LAW. BORROWER HEREBY AGREES THAT ANY LEGAL ACTION OR PROCEEDING AGAINST BORROWER WITH RESPECT TO THIS AGREEMENT, THE NOTES OR ANY OF THE LOAN DOCUMENTS MAY BE BROUGHT IN THE COURTS OF THE STATE OF NEW YORK OR OF THE UNITED STATES OF AMERICA FOR THE SOUTHERN DISTRICT OF NEW YORK AS LENDER PARTIES MAY ELECT, AND, BY EXECUTION AND DELIVERY HEREOF, BORROWER ACCEPTS AND CONSENTS FOR ITSELF AND IN RESPECT TO ITS PROPERTY, GENERALLY AND UNCONDITIONALLY, THE NON-EXCLUSIVE JURISDICTION OF THE AFORESAID COURTS. BORROWER AGREES THAT SECTIONS 5-1401 AND 5-1402 OF THE GENERAL OBLIGATIONS LAW OF THE STATE OF NEW YORK SHALL APPLY TO THE LOAN DOCUMENTS AND WAIVES ANY RIGHT TO STAY OR TO DISMISS ANY ACTION OR PROCEEDING BROUGHT BEFORE SAID COURTS ON THE BASIS OF FORUM NON CONVENIENS. IN FURTHERANCE OF THE FOREGOING, BORROWER HEREBY IRREVOCABLY DESIGNATES AND APPOINTS CORPORATION SERVICE COMPANY, 80 STATE STREET, ALBANY, NEW YORK 12207, AS AGENT OF BORROWER TO RECEIVE SERVICE OF ALL PROCESS BROUGHT AGAINST BORROWER WITH RESPECT TO ANY SUCH PROCEEDING IN ANY SUCH COURT IN NEW YORK, SUCH SERVICE BEING HEREBY ACKNOWLEDGED BY BORROWER TO BE EFFECTIVE AND BINDING SERVICE IN EVERY RESPECT. COPIES OF ANY SUCH PROCESS SO SERVED SHALL ALSO, IF PERMITTED BY LAW, BE SENT BY REGISTERED MAIL TO BORROWER AT ITS ADDRESS SET FORTH BELOW, BUT THE FAILURE OF BORROWER TO RECEIVE SUCH COPIES SHALL NOT AFFECT IN ANY WAY THE SERVICE OF SUCH PROCESS AS AFORESAID. BORROWER SHALL FURNISH TO LENDER PARTIES A CONSENT OF CORPORATION SERVICE COMPANY AGREEING TO ACT HEREUNDER PRIOR TO THE EFFECTIVE DATE OF THIS AGREEMENT. NOTHING HEREIN SHALL AFFECT THE RIGHT OF LENDER PARTIES TO SERVE PROCESS IN ANY OTHER MANNER PERMITTED BY LAW OR SHALL LIMIT THE RIGHT OF LENDER PARTIES TO BRING PROCEEDINGS AGAINST BORROWER IN THE COURTS OF ANY OTHER JURISDICTION. IF FOR ANY REASON CORPORATION SERVICE COMPANY SHALL RESIGN OR OTHERWISE CEASE TO ACT AS BORROWER’S AGENT, BORROWER HEREBY IRREVOCABLY AGREES TO (A) IMMEDIATELY DESIGNATE AND APPOINT A NEW AGENT ACCEPTABLE TO ADMINISTRATIVE AGENT TO SERVE IN SUCH CAPACITY AND, IN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SUCH EVENT, SUCH NEW AGENT SHALL BE DEEMED TO BE SUBSTITUTED FOR CORPORATION SERVICE COMPANY FOR ALL PURPOSES HEREOF AND (B) PROMPTLY DELIVER TO ADMINISTRATIVE AGENT THE WRITTEN CONSENT (IN FORM AND SUBSTANCE SATISFACTORY TO ADMINISTRATIVE AGENT) OF SUCH NEW AGENT AGREEING TO SERVE IN SUCH CAPACITY.</w:t>
      </w:r>
    </w:p>
    <w:p>
      <w:pPr>
        <w:spacing w:after="0" w:line="18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u w:val="single" w:color="auto"/>
          <w:color w:val="auto"/>
        </w:rPr>
        <w:t>Intentionally deleted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6"/>
          <w:szCs w:val="16"/>
          <w:u w:val="single" w:color="auto"/>
          <w:color w:val="auto"/>
        </w:rPr>
        <w:t>Intentionally deleted</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283"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u w:val="single" w:color="auto"/>
          <w:color w:val="auto"/>
        </w:rPr>
        <w:t>Limitation on Interest</w:t>
      </w:r>
      <w:r>
        <w:rPr>
          <w:rFonts w:ascii="Arial" w:cs="Arial" w:eastAsia="Arial" w:hAnsi="Arial"/>
          <w:sz w:val="16"/>
          <w:szCs w:val="16"/>
          <w:color w:val="auto"/>
        </w:rPr>
        <w:t>. Lender Parties, Restricted Persons and any other parties to the Loan Documents intend to contract in strict compliance with applicable usury Law from time to time in effect. In furtherance thereof such Persons stipulate and agree that none of the terms and provisions contained in the Loan Documents shall ever be construed to create a contract to pay, for the use, forbearance or detention of money, interest in excess of the maximum amount of interest permitted to be contracted for, charged, or received by applicable Law from time to time in effect. Neither any Restricted Person nor any present or future guarantors, endorsers, or other Persons hereafter becoming liable for payment of any Obligation shall ever be liable for unearned interest thereon or shall ever be required to pay interest thereon in excess of the maximum amount that may be lawfully contracted for, charged, or received under applicable Law from time to time in effect, and the provisions of this section shall control over all other provisions of the Loan Documents which may be in conflict or apparent conflict herewith. Lender Parties expressly disavow any intention to contract for, charge, or receive excessive unearned interest or finance charges in the event the maturity of any Obligation is accelerated. If (a) the maturity of any Obligation is accelerated for any reason, (b) any Obligation is prepaid and as a result any amounts held to constitute interest are determined to be in excess of the legal maximum, or</w:t>
      </w:r>
    </w:p>
    <w:p>
      <w:pPr>
        <w:spacing w:after="0" w:line="6" w:lineRule="exact"/>
        <w:rPr>
          <w:sz w:val="20"/>
          <w:szCs w:val="20"/>
          <w:color w:val="auto"/>
        </w:rPr>
      </w:pPr>
    </w:p>
    <w:p>
      <w:pPr>
        <w:ind w:right="60" w:firstLine="8"/>
        <w:spacing w:after="0" w:line="281" w:lineRule="auto"/>
        <w:tabs>
          <w:tab w:leader="none" w:pos="24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any Lender or any other holder of any or all of the Obligations shall otherwise collect moneys which are determined to constitute interest which would otherwise increase the interest on any or all of the Obligations to an amount in excess of that permitted to be contracted for, charged or received by applicable Law then in effect, then all sums determined to constitute interest in excess of such legal limit shall, without penalty, be promptly applied to reduce the then outstanding principal of the related Obligations or, at such Lender’s or holder’s option, promptly returned to Borrower or other payor thereof upon such determination. In determining whether or not the interest paid or payable, under any specific circumstance, exceeds the maximum amount permitted under applicable Law, Lender Parties and Restricted Persons (and any other payors thereof) shall to the greatest extent permitted under applicable Law, (i) characterize any non-principal payment as an expense, fee or premium rather than as interest, (ii) exclude voluntary prepayments and the effects thereof, and</w:t>
      </w:r>
    </w:p>
    <w:p>
      <w:pPr>
        <w:spacing w:after="0" w:line="4" w:lineRule="exact"/>
        <w:rPr>
          <w:rFonts w:ascii="Arial" w:cs="Arial" w:eastAsia="Arial" w:hAnsi="Arial"/>
          <w:sz w:val="16"/>
          <w:szCs w:val="16"/>
          <w:color w:val="auto"/>
        </w:rPr>
      </w:pPr>
    </w:p>
    <w:p>
      <w:pPr>
        <w:ind w:right="60" w:firstLine="8"/>
        <w:spacing w:after="0" w:line="270" w:lineRule="auto"/>
        <w:tabs>
          <w:tab w:leader="none" w:pos="315" w:val="left"/>
        </w:tabs>
        <w:numPr>
          <w:ilvl w:val="0"/>
          <w:numId w:val="213"/>
        </w:numPr>
        <w:rPr>
          <w:rFonts w:ascii="Arial" w:cs="Arial" w:eastAsia="Arial" w:hAnsi="Arial"/>
          <w:sz w:val="17"/>
          <w:szCs w:val="17"/>
          <w:color w:val="auto"/>
        </w:rPr>
      </w:pPr>
      <w:r>
        <w:rPr>
          <w:rFonts w:ascii="Arial" w:cs="Arial" w:eastAsia="Arial" w:hAnsi="Arial"/>
          <w:sz w:val="17"/>
          <w:szCs w:val="17"/>
          <w:color w:val="auto"/>
        </w:rPr>
        <w:t>amortize, prorate, allocate, and spread the total amount of interest throughout the entire contemplated term of the instruments evidencing the Obligations in accordance with the amounts outstanding from time to time thereunder and the maximum legal rate of interest from time to time in effect under applicable Law in order to lawfully charge the maximum amount of interest permitted under applicable Law. In the event applicable Law provides for an interest ceiling under Chapter 303 of the Texas Finance Code (the “</w:t>
      </w:r>
      <w:r>
        <w:rPr>
          <w:rFonts w:ascii="Arial" w:cs="Arial" w:eastAsia="Arial" w:hAnsi="Arial"/>
          <w:sz w:val="17"/>
          <w:szCs w:val="17"/>
          <w:u w:val="single" w:color="auto"/>
          <w:color w:val="auto"/>
        </w:rPr>
        <w:t>Texas Finance Code</w:t>
      </w:r>
      <w:r>
        <w:rPr>
          <w:rFonts w:ascii="Arial" w:cs="Arial" w:eastAsia="Arial" w:hAnsi="Arial"/>
          <w:sz w:val="17"/>
          <w:szCs w:val="17"/>
          <w:color w:val="auto"/>
        </w:rPr>
        <w:t>”) as amended, to the extent that the Texas Finance Code is mandatorily applicable to any Lender, for that day, the ceiling shall be the “weekly ceiling” as defined in the Texas Finance Code, provided that if any applicable Law permits greater interest, the Law permitting the greatest interest shall apply. In no event shall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Chapter 346 of the Texas Finance Code apply to this Agreement or any other Loan Document, or any transactions or loan arrangement provided or contemplated hereby or thereby.</w:t>
      </w:r>
    </w:p>
    <w:p>
      <w:pPr>
        <w:spacing w:after="0" w:line="170"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 xml:space="preserve">Section 10.11 </w:t>
      </w:r>
      <w:r>
        <w:rPr>
          <w:rFonts w:ascii="Arial" w:cs="Arial" w:eastAsia="Arial" w:hAnsi="Arial"/>
          <w:sz w:val="17"/>
          <w:szCs w:val="17"/>
          <w:u w:val="single" w:color="auto"/>
          <w:color w:val="auto"/>
        </w:rPr>
        <w:t>Right of Offset</w:t>
      </w:r>
      <w:r>
        <w:rPr>
          <w:rFonts w:ascii="Arial" w:cs="Arial" w:eastAsia="Arial" w:hAnsi="Arial"/>
          <w:sz w:val="17"/>
          <w:szCs w:val="17"/>
          <w:color w:val="auto"/>
        </w:rPr>
        <w:t>. At any time and from time to time during the continuance of any Event of Default, each Lender is hereby authorized to offset against the Obligations then due and payable (without notice to any Restricted Person), (a) any and all moneys, securities or other property (and the proceeds therefrom) of such Restricted Person now or hereafter held or received by or in transit to any Lender or its Affiliates from or for the account of such Restricted Person, whether for safekeeping, custody, pledge, transmission, collection or otherwise, (b) any and all deposits (general or special, time or demand, provisional or final) of such Restricted Person with any Lender or its Affiliates, and (c) any other credits and claims of such Restricted Person at any time existing against any Lender, including claims under certificates of deposit.</w:t>
      </w:r>
    </w:p>
    <w:p>
      <w:pPr>
        <w:sectPr>
          <w:pgSz w:w="11900" w:h="16921" w:orient="portrait"/>
          <w:cols w:equalWidth="0" w:num="1">
            <w:col w:w="11420"/>
          </w:cols>
          <w:pgMar w:left="240" w:top="121" w:right="239" w:bottom="0" w:gutter="0" w:footer="0" w:header="0"/>
        </w:sectPr>
      </w:pPr>
    </w:p>
    <w:bookmarkStart w:id="103" w:name="page104"/>
    <w:bookmarkEnd w:id="103"/>
    <w:p>
      <w:pPr>
        <w:ind w:right="60" w:firstLine="648"/>
        <w:spacing w:after="0" w:line="290"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u w:val="single" w:color="auto"/>
          <w:color w:val="auto"/>
        </w:rPr>
        <w:t>Termination; Limited Survival; Payments Set Aside</w:t>
      </w:r>
      <w:r>
        <w:rPr>
          <w:rFonts w:ascii="Arial" w:cs="Arial" w:eastAsia="Arial" w:hAnsi="Arial"/>
          <w:sz w:val="16"/>
          <w:szCs w:val="16"/>
          <w:color w:val="auto"/>
        </w:rPr>
        <w:t>. In its sole and absolute discretion Borrower may at any time that no Obligations are owing or outstanding elect in a written notice delivered to Administrative Agent to terminate this Agreement. Upon receipt by Administrative Agent of such a notice, if no Obligations are then owing or outstanding this Agreement and all other Loan Documents shall thereupon be terminated and the parties thereto released from all prospective obligations thereunder. Notwithstanding the foregoing or anything herein to the contrary, any waivers or admissions made by any Restricted Person in any Loan Document, any Obligations under Sections 3.2 through 3.6, and any obligations which any Person may have to indemnify or compensate any Lender Party shall survive any termination of this Agreement or any other Loan Document. At the request and expense of Borrower, Administrative Agent shall prepare and execute all necessary instruments to reflect and effect such termination of the Loan Documents. Administrative Agent is hereby authorized to execute all such instruments on behalf of all Lenders, without the joinder of or further action by any Lender.</w:t>
      </w:r>
    </w:p>
    <w:p>
      <w:pPr>
        <w:spacing w:after="0" w:line="166"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To the extent that any payment by or on behalf of Borrower is made to Administrative Agent or any Lender, or Administrative Agent or any Lender exercises its right of setoff, and such payment or the proceeds of such setoff or any part thereof is subsequently invalidated, declared to be fraudulent or preferential, set aside or required (including pursuant to any settlement entered into by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Administrative Agent upon demand its applicable share (without duplication) of any amount so recovered from or repaid by Administrative Agent, plus interest thereon from the date of such demand to the date such payment is made at a rate per annum equal to the Federal Funds Rate from time to time in effect, in the applicable currency of such recovery or payment. The obligations of the Lenders under clause (b) of the preceding sentence shall survive the payment in full of the Obligations and the termination of this Agreement.</w:t>
      </w:r>
    </w:p>
    <w:p>
      <w:pPr>
        <w:spacing w:after="0" w:line="16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provision of any Loan Document shall be determined to be illegal or unenforceable all other terms and provisions of the Loan Documents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shall nevertheless remain effective and shall be enforced to the fullest extent permitted by applicable Law.</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separately executed in any number of counterparts and by different parties hereto in separate counterparts, each of which when so executed shall be deemed to constitute one and the same Agreement.</w:t>
      </w:r>
    </w:p>
    <w:p>
      <w:pPr>
        <w:spacing w:after="0" w:line="170" w:lineRule="exact"/>
        <w:rPr>
          <w:sz w:val="20"/>
          <w:szCs w:val="20"/>
          <w:color w:val="auto"/>
        </w:rPr>
      </w:pPr>
    </w:p>
    <w:p>
      <w:pPr>
        <w:ind w:right="440" w:firstLine="648"/>
        <w:spacing w:after="0" w:line="269" w:lineRule="auto"/>
        <w:rPr>
          <w:sz w:val="20"/>
          <w:szCs w:val="20"/>
          <w:color w:val="auto"/>
        </w:rPr>
      </w:pPr>
      <w:r>
        <w:rPr>
          <w:rFonts w:ascii="Arial" w:cs="Arial" w:eastAsia="Arial" w:hAnsi="Arial"/>
          <w:sz w:val="17"/>
          <w:szCs w:val="17"/>
          <w:color w:val="auto"/>
        </w:rPr>
        <w:t xml:space="preserve">Section 10.15.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2" w:lineRule="exact"/>
        <w:rPr>
          <w:sz w:val="20"/>
          <w:szCs w:val="20"/>
          <w:color w:val="auto"/>
        </w:rPr>
      </w:pPr>
    </w:p>
    <w:p>
      <w:pPr>
        <w:ind w:right="220" w:firstLine="8"/>
        <w:spacing w:after="0" w:line="273" w:lineRule="auto"/>
        <w:tabs>
          <w:tab w:leader="none" w:pos="295" w:val="left"/>
        </w:tabs>
        <w:numPr>
          <w:ilvl w:val="0"/>
          <w:numId w:val="214"/>
        </w:numPr>
        <w:rPr>
          <w:rFonts w:ascii="Arial" w:cs="Arial" w:eastAsia="Arial" w:hAnsi="Arial"/>
          <w:sz w:val="17"/>
          <w:szCs w:val="17"/>
          <w:color w:val="auto"/>
        </w:rPr>
      </w:pPr>
      <w:r>
        <w:rPr>
          <w:rFonts w:ascii="Arial" w:cs="Arial" w:eastAsia="Arial" w:hAnsi="Arial"/>
          <w:sz w:val="17"/>
          <w:szCs w:val="17"/>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7" w:lineRule="exact"/>
        <w:rPr>
          <w:sz w:val="20"/>
          <w:szCs w:val="20"/>
          <w:color w:val="auto"/>
        </w:rPr>
      </w:pPr>
    </w:p>
    <w:p>
      <w:pPr>
        <w:jc w:val="both"/>
        <w:ind w:right="200" w:firstLine="648"/>
        <w:spacing w:after="0" w:line="257"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USA PATRIOT Act Notice</w:t>
      </w:r>
      <w:r>
        <w:rPr>
          <w:rFonts w:ascii="Arial" w:cs="Arial" w:eastAsia="Arial" w:hAnsi="Arial"/>
          <w:sz w:val="18"/>
          <w:szCs w:val="18"/>
          <w:color w:val="auto"/>
        </w:rPr>
        <w:t>. Each Lender that is subject to the Act (as hereinafter defined) and Administrative Agent (for itself and not on behalf of any Lender) hereby notifies Borrower that pursuant to the requirements of the USA Patriot Act (Title III of Pub. L. 107-56 (signed into law November 26, 2001)) (the “</w:t>
      </w:r>
      <w:r>
        <w:rPr>
          <w:rFonts w:ascii="Arial" w:cs="Arial" w:eastAsia="Arial" w:hAnsi="Arial"/>
          <w:sz w:val="18"/>
          <w:szCs w:val="18"/>
          <w:u w:val="single" w:color="auto"/>
          <w:color w:val="auto"/>
        </w:rPr>
        <w:t>Act</w:t>
      </w:r>
      <w:r>
        <w:rPr>
          <w:rFonts w:ascii="Arial" w:cs="Arial" w:eastAsia="Arial" w:hAnsi="Arial"/>
          <w:sz w:val="18"/>
          <w:szCs w:val="18"/>
          <w:color w:val="auto"/>
        </w:rPr>
        <w:t>”), it is required to obtain, verify and record information that identifies Borrower, which information includes the name and address of Borrower and other information that will allow such Lender or Administrative Agent, as applicable, to identify Borrower in accordance with the Act..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is executed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7540" w:type="dxa"/>
            <w:vAlign w:val="bottom"/>
            <w:gridSpan w:val="3"/>
          </w:tcPr>
          <w:p>
            <w:pPr>
              <w:ind w:left="2260"/>
              <w:spacing w:after="0"/>
              <w:rPr>
                <w:sz w:val="20"/>
                <w:szCs w:val="20"/>
                <w:color w:val="auto"/>
              </w:rPr>
            </w:pPr>
            <w:r>
              <w:rPr>
                <w:rFonts w:ascii="Arial" w:cs="Arial" w:eastAsia="Arial" w:hAnsi="Arial"/>
                <w:sz w:val="18"/>
                <w:szCs w:val="18"/>
                <w:color w:val="auto"/>
              </w:rPr>
              <w:t>PLAINS ALL AMERICAN PIPELINE, L.P.</w:t>
            </w:r>
          </w:p>
        </w:tc>
      </w:tr>
      <w:tr>
        <w:trPr>
          <w:trHeight w:val="418"/>
        </w:trPr>
        <w:tc>
          <w:tcPr>
            <w:tcW w:w="3880" w:type="dxa"/>
            <w:vAlign w:val="bottom"/>
          </w:tcPr>
          <w:p>
            <w:pPr>
              <w:spacing w:after="0"/>
              <w:rPr>
                <w:sz w:val="24"/>
                <w:szCs w:val="24"/>
                <w:color w:val="auto"/>
              </w:rPr>
            </w:pPr>
          </w:p>
        </w:tc>
        <w:tc>
          <w:tcPr>
            <w:tcW w:w="2540" w:type="dxa"/>
            <w:vAlign w:val="bottom"/>
          </w:tcPr>
          <w:p>
            <w:pPr>
              <w:ind w:left="2260"/>
              <w:spacing w:after="0"/>
              <w:rPr>
                <w:sz w:val="20"/>
                <w:szCs w:val="20"/>
                <w:color w:val="auto"/>
              </w:rPr>
            </w:pPr>
            <w:r>
              <w:rPr>
                <w:rFonts w:ascii="Arial" w:cs="Arial" w:eastAsia="Arial" w:hAnsi="Arial"/>
                <w:sz w:val="18"/>
                <w:szCs w:val="18"/>
                <w:color w:val="auto"/>
                <w:w w:val="99"/>
              </w:rPr>
              <w:t>By:</w:t>
            </w:r>
          </w:p>
        </w:tc>
        <w:tc>
          <w:tcPr>
            <w:tcW w:w="36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PLAINS AAP, L.P.,</w:t>
            </w:r>
          </w:p>
        </w:tc>
      </w:tr>
      <w:tr>
        <w:trPr>
          <w:trHeight w:val="230"/>
        </w:trPr>
        <w:tc>
          <w:tcPr>
            <w:tcW w:w="38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18"/>
        </w:trPr>
        <w:tc>
          <w:tcPr>
            <w:tcW w:w="3880" w:type="dxa"/>
            <w:vAlign w:val="bottom"/>
          </w:tcPr>
          <w:p>
            <w:pPr>
              <w:spacing w:after="0"/>
              <w:rPr>
                <w:sz w:val="24"/>
                <w:szCs w:val="24"/>
                <w:color w:val="auto"/>
              </w:rPr>
            </w:pPr>
          </w:p>
        </w:tc>
        <w:tc>
          <w:tcPr>
            <w:tcW w:w="2540" w:type="dxa"/>
            <w:vAlign w:val="bottom"/>
          </w:tcPr>
          <w:p>
            <w:pPr>
              <w:ind w:left="2260"/>
              <w:spacing w:after="0"/>
              <w:rPr>
                <w:sz w:val="20"/>
                <w:szCs w:val="20"/>
                <w:color w:val="auto"/>
              </w:rPr>
            </w:pPr>
            <w:r>
              <w:rPr>
                <w:rFonts w:ascii="Arial" w:cs="Arial" w:eastAsia="Arial" w:hAnsi="Arial"/>
                <w:sz w:val="18"/>
                <w:szCs w:val="18"/>
                <w:color w:val="auto"/>
                <w:w w:val="99"/>
              </w:rPr>
              <w:t>By:</w:t>
            </w:r>
          </w:p>
        </w:tc>
        <w:tc>
          <w:tcPr>
            <w:tcW w:w="36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PLAINS ALL AMERICAN GP LLC,</w:t>
            </w:r>
          </w:p>
        </w:tc>
      </w:tr>
      <w:tr>
        <w:trPr>
          <w:trHeight w:val="230"/>
        </w:trPr>
        <w:tc>
          <w:tcPr>
            <w:tcW w:w="38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3880" w:type="dxa"/>
            <w:vAlign w:val="bottom"/>
          </w:tcPr>
          <w:p>
            <w:pPr>
              <w:spacing w:after="0"/>
              <w:rPr>
                <w:sz w:val="24"/>
                <w:szCs w:val="24"/>
                <w:color w:val="auto"/>
              </w:rPr>
            </w:pPr>
          </w:p>
        </w:tc>
        <w:tc>
          <w:tcPr>
            <w:tcW w:w="2540" w:type="dxa"/>
            <w:vAlign w:val="bottom"/>
          </w:tcPr>
          <w:p>
            <w:pPr>
              <w:ind w:left="2260"/>
              <w:spacing w:after="0"/>
              <w:rPr>
                <w:sz w:val="20"/>
                <w:szCs w:val="20"/>
                <w:color w:val="auto"/>
              </w:rPr>
            </w:pPr>
            <w:r>
              <w:rPr>
                <w:rFonts w:ascii="Arial" w:cs="Arial" w:eastAsia="Arial" w:hAnsi="Arial"/>
                <w:sz w:val="18"/>
                <w:szCs w:val="18"/>
                <w:color w:val="auto"/>
                <w:w w:val="99"/>
              </w:rPr>
              <w:t>By:</w:t>
            </w:r>
          </w:p>
        </w:tc>
        <w:tc>
          <w:tcPr>
            <w:tcW w:w="360" w:type="dxa"/>
            <w:vAlign w:val="bottom"/>
          </w:tcPr>
          <w:p>
            <w:pPr>
              <w:spacing w:after="0"/>
              <w:rPr>
                <w:sz w:val="24"/>
                <w:szCs w:val="24"/>
                <w:color w:val="auto"/>
              </w:rPr>
            </w:pPr>
          </w:p>
        </w:tc>
        <w:tc>
          <w:tcPr>
            <w:tcW w:w="4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Al Swanson</w:t>
            </w:r>
          </w:p>
        </w:tc>
      </w:tr>
      <w:tr>
        <w:trPr>
          <w:trHeight w:val="195"/>
        </w:trPr>
        <w:tc>
          <w:tcPr>
            <w:tcW w:w="38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40" w:type="dxa"/>
            <w:vAlign w:val="bottom"/>
          </w:tcPr>
          <w:p>
            <w:pPr>
              <w:spacing w:after="0" w:line="195" w:lineRule="exact"/>
              <w:rPr>
                <w:sz w:val="20"/>
                <w:szCs w:val="20"/>
                <w:color w:val="auto"/>
              </w:rPr>
            </w:pPr>
            <w:r>
              <w:rPr>
                <w:rFonts w:ascii="Arial" w:cs="Arial" w:eastAsia="Arial" w:hAnsi="Arial"/>
                <w:sz w:val="18"/>
                <w:szCs w:val="18"/>
                <w:color w:val="auto"/>
              </w:rPr>
              <w:t>Al Swanson</w:t>
            </w:r>
          </w:p>
        </w:tc>
      </w:tr>
      <w:tr>
        <w:trPr>
          <w:trHeight w:val="230"/>
        </w:trPr>
        <w:tc>
          <w:tcPr>
            <w:tcW w:w="38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Vice President – Finance and Treasurer</w:t>
            </w:r>
          </w:p>
        </w:tc>
      </w:tr>
      <w:tr>
        <w:trPr>
          <w:trHeight w:val="418"/>
        </w:trPr>
        <w:tc>
          <w:tcPr>
            <w:tcW w:w="3880" w:type="dxa"/>
            <w:vAlign w:val="bottom"/>
          </w:tcPr>
          <w:p>
            <w:pPr>
              <w:spacing w:after="0"/>
              <w:rPr>
                <w:sz w:val="20"/>
                <w:szCs w:val="20"/>
                <w:color w:val="auto"/>
              </w:rPr>
            </w:pPr>
            <w:r>
              <w:rPr>
                <w:rFonts w:ascii="Arial" w:cs="Arial" w:eastAsia="Arial" w:hAnsi="Arial"/>
                <w:sz w:val="18"/>
                <w:szCs w:val="18"/>
                <w:color w:val="auto"/>
              </w:rPr>
              <w:t>Address for Borrower:</w:t>
            </w:r>
          </w:p>
        </w:tc>
        <w:tc>
          <w:tcPr>
            <w:tcW w:w="2540" w:type="dxa"/>
            <w:vAlign w:val="bottom"/>
          </w:tcPr>
          <w:p>
            <w:pPr>
              <w:ind w:left="2240"/>
              <w:spacing w:after="0"/>
              <w:rPr>
                <w:sz w:val="20"/>
                <w:szCs w:val="20"/>
                <w:color w:val="auto"/>
              </w:rPr>
            </w:pPr>
            <w:r>
              <w:rPr>
                <w:rFonts w:ascii="Arial" w:cs="Arial" w:eastAsia="Arial" w:hAnsi="Arial"/>
                <w:sz w:val="18"/>
                <w:szCs w:val="18"/>
                <w:color w:val="auto"/>
                <w:w w:val="93"/>
              </w:rPr>
              <w:t>333</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Clay Street, Suite 1600</w:t>
            </w:r>
          </w:p>
        </w:tc>
      </w:tr>
      <w:tr>
        <w:trPr>
          <w:trHeight w:val="230"/>
        </w:trPr>
        <w:tc>
          <w:tcPr>
            <w:tcW w:w="3880" w:type="dxa"/>
            <w:vAlign w:val="bottom"/>
          </w:tcPr>
          <w:p>
            <w:pPr>
              <w:spacing w:after="0"/>
              <w:rPr>
                <w:sz w:val="20"/>
                <w:szCs w:val="20"/>
                <w:color w:val="auto"/>
              </w:rPr>
            </w:pPr>
          </w:p>
        </w:tc>
        <w:tc>
          <w:tcPr>
            <w:tcW w:w="7540" w:type="dxa"/>
            <w:vAlign w:val="bottom"/>
            <w:gridSpan w:val="3"/>
          </w:tcPr>
          <w:p>
            <w:pPr>
              <w:ind w:left="2240"/>
              <w:spacing w:after="0"/>
              <w:rPr>
                <w:sz w:val="20"/>
                <w:szCs w:val="20"/>
                <w:color w:val="auto"/>
              </w:rPr>
            </w:pPr>
            <w:r>
              <w:rPr>
                <w:rFonts w:ascii="Arial" w:cs="Arial" w:eastAsia="Arial" w:hAnsi="Arial"/>
                <w:sz w:val="18"/>
                <w:szCs w:val="18"/>
                <w:color w:val="auto"/>
              </w:rPr>
              <w:t>Houston, Texas 77002</w:t>
            </w:r>
          </w:p>
        </w:tc>
      </w:tr>
    </w:tbl>
    <w:p>
      <w:pPr>
        <w:ind w:left="6120"/>
        <w:spacing w:after="0"/>
        <w:rPr>
          <w:sz w:val="20"/>
          <w:szCs w:val="20"/>
          <w:color w:val="auto"/>
        </w:rPr>
      </w:pPr>
      <w:r>
        <w:rPr>
          <w:rFonts w:ascii="Arial" w:cs="Arial" w:eastAsia="Arial" w:hAnsi="Arial"/>
          <w:sz w:val="18"/>
          <w:szCs w:val="18"/>
          <w:color w:val="auto"/>
        </w:rPr>
        <w:t>Attention: Al Swanson</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Telephone: (713) 646-4455</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Fax: (713) 646-4564</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Website: www.paalp.com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20"/>
        </w:trPr>
        <w:tc>
          <w:tcPr>
            <w:tcW w:w="3620" w:type="dxa"/>
            <w:vAlign w:val="bottom"/>
          </w:tcPr>
          <w:p>
            <w:pPr>
              <w:spacing w:after="0"/>
              <w:rPr>
                <w:sz w:val="20"/>
                <w:szCs w:val="20"/>
                <w:color w:val="auto"/>
              </w:rPr>
            </w:pPr>
            <w:r>
              <w:rPr>
                <w:rFonts w:ascii="Arial" w:cs="Arial" w:eastAsia="Arial" w:hAnsi="Arial"/>
                <w:sz w:val="18"/>
                <w:szCs w:val="18"/>
                <w:b w:val="1"/>
                <w:bCs w:val="1"/>
                <w:color w:val="auto"/>
              </w:rPr>
              <w:t>LENDER PARTIES</w:t>
            </w:r>
            <w:r>
              <w:rPr>
                <w:rFonts w:ascii="Arial" w:cs="Arial" w:eastAsia="Arial" w:hAnsi="Arial"/>
                <w:sz w:val="18"/>
                <w:szCs w:val="18"/>
                <w:color w:val="auto"/>
              </w:rPr>
              <w:t>:</w:t>
            </w:r>
          </w:p>
        </w:tc>
        <w:tc>
          <w:tcPr>
            <w:tcW w:w="7800" w:type="dxa"/>
            <w:vAlign w:val="bottom"/>
            <w:gridSpan w:val="3"/>
          </w:tcPr>
          <w:p>
            <w:pPr>
              <w:ind w:left="2620"/>
              <w:spacing w:after="0"/>
              <w:rPr>
                <w:sz w:val="20"/>
                <w:szCs w:val="20"/>
                <w:color w:val="auto"/>
              </w:rPr>
            </w:pPr>
            <w:r>
              <w:rPr>
                <w:rFonts w:ascii="Arial" w:cs="Arial" w:eastAsia="Arial" w:hAnsi="Arial"/>
                <w:sz w:val="18"/>
                <w:szCs w:val="18"/>
                <w:color w:val="auto"/>
              </w:rPr>
              <w:t>JPMORGAN CHASE BANK, N.A.,</w:t>
            </w:r>
          </w:p>
        </w:tc>
        <w:tc>
          <w:tcPr>
            <w:tcW w:w="4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7800" w:type="dxa"/>
            <w:vAlign w:val="bottom"/>
            <w:gridSpan w:val="3"/>
          </w:tcPr>
          <w:p>
            <w:pPr>
              <w:ind w:left="2620"/>
              <w:spacing w:after="0"/>
              <w:rPr>
                <w:sz w:val="20"/>
                <w:szCs w:val="20"/>
                <w:color w:val="auto"/>
              </w:rPr>
            </w:pPr>
            <w:r>
              <w:rPr>
                <w:rFonts w:ascii="Arial" w:cs="Arial" w:eastAsia="Arial" w:hAnsi="Arial"/>
                <w:sz w:val="18"/>
                <w:szCs w:val="18"/>
                <w:color w:val="auto"/>
              </w:rPr>
              <w:t>Administrative Agent and a Lender</w:t>
            </w:r>
          </w:p>
        </w:tc>
        <w:tc>
          <w:tcPr>
            <w:tcW w:w="4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7800" w:type="dxa"/>
            <w:vAlign w:val="bottom"/>
            <w:gridSpan w:val="3"/>
          </w:tcPr>
          <w:p>
            <w:pPr>
              <w:ind w:left="2620"/>
              <w:spacing w:after="0"/>
              <w:rPr>
                <w:sz w:val="20"/>
                <w:szCs w:val="20"/>
                <w:color w:val="auto"/>
              </w:rPr>
            </w:pPr>
            <w:r>
              <w:rPr>
                <w:rFonts w:ascii="Arial" w:cs="Arial" w:eastAsia="Arial" w:hAnsi="Arial"/>
                <w:sz w:val="18"/>
                <w:szCs w:val="18"/>
                <w:color w:val="auto"/>
              </w:rPr>
              <w:t>By:   /s/ Tara Narasiman</w:t>
            </w:r>
          </w:p>
        </w:tc>
        <w:tc>
          <w:tcPr>
            <w:tcW w:w="4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82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Name:</w:t>
            </w:r>
          </w:p>
        </w:tc>
        <w:tc>
          <w:tcPr>
            <w:tcW w:w="39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Tara Narasiman</w:t>
            </w:r>
          </w:p>
        </w:tc>
        <w:tc>
          <w:tcPr>
            <w:tcW w:w="4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820" w:type="dxa"/>
            <w:vAlign w:val="bottom"/>
          </w:tcPr>
          <w:p>
            <w:pPr>
              <w:ind w:left="220"/>
              <w:spacing w:after="0"/>
              <w:rPr>
                <w:sz w:val="20"/>
                <w:szCs w:val="20"/>
                <w:color w:val="auto"/>
              </w:rPr>
            </w:pPr>
            <w:r>
              <w:rPr>
                <w:rFonts w:ascii="Arial" w:cs="Arial" w:eastAsia="Arial" w:hAnsi="Arial"/>
                <w:sz w:val="18"/>
                <w:szCs w:val="18"/>
                <w:color w:val="auto"/>
              </w:rPr>
              <w:t>Title:</w:t>
            </w:r>
          </w:p>
        </w:tc>
        <w:tc>
          <w:tcPr>
            <w:tcW w:w="3920" w:type="dxa"/>
            <w:vAlign w:val="bottom"/>
          </w:tcPr>
          <w:p>
            <w:pPr>
              <w:ind w:left="120"/>
              <w:spacing w:after="0"/>
              <w:rPr>
                <w:sz w:val="20"/>
                <w:szCs w:val="20"/>
                <w:color w:val="auto"/>
              </w:rPr>
            </w:pPr>
            <w:r>
              <w:rPr>
                <w:rFonts w:ascii="Arial" w:cs="Arial" w:eastAsia="Arial" w:hAnsi="Arial"/>
                <w:sz w:val="18"/>
                <w:szCs w:val="18"/>
                <w:color w:val="auto"/>
              </w:rPr>
              <w:t>Associate</w:t>
            </w:r>
          </w:p>
        </w:tc>
        <w:tc>
          <w:tcPr>
            <w:tcW w:w="4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3060" w:type="dxa"/>
            <w:vAlign w:val="bottom"/>
          </w:tcPr>
          <w:p>
            <w:pPr>
              <w:jc w:val="right"/>
              <w:ind w:right="790"/>
              <w:spacing w:after="0"/>
              <w:rPr>
                <w:sz w:val="20"/>
                <w:szCs w:val="20"/>
                <w:color w:val="auto"/>
              </w:rPr>
            </w:pPr>
            <w:r>
              <w:rPr>
                <w:rFonts w:ascii="Arial" w:cs="Arial" w:eastAsia="Arial" w:hAnsi="Arial"/>
                <w:sz w:val="18"/>
                <w:szCs w:val="18"/>
                <w:color w:val="auto"/>
              </w:rPr>
              <w:t>71</w:t>
            </w:r>
          </w:p>
        </w:tc>
        <w:tc>
          <w:tcPr>
            <w:tcW w:w="8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20" w:type="dxa"/>
            <w:vAlign w:val="bottom"/>
            <w:tcBorders>
              <w:bottom w:val="single" w:sz="8" w:color="010101"/>
            </w:tcBorders>
          </w:tcPr>
          <w:p>
            <w:pPr>
              <w:spacing w:after="0"/>
              <w:rPr>
                <w:sz w:val="11"/>
                <w:szCs w:val="11"/>
                <w:color w:val="auto"/>
              </w:rPr>
            </w:pPr>
          </w:p>
        </w:tc>
        <w:tc>
          <w:tcPr>
            <w:tcW w:w="306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39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Co-Syndication Agent and a Lender</w:t>
      </w:r>
    </w:p>
    <w:p>
      <w:pPr>
        <w:spacing w:after="0" w:line="200" w:lineRule="exact"/>
        <w:rPr>
          <w:sz w:val="20"/>
          <w:szCs w:val="20"/>
          <w:color w:val="auto"/>
        </w:rPr>
      </w:pPr>
    </w:p>
    <w:p>
      <w:pPr>
        <w:spacing w:after="0" w:line="227" w:lineRule="exact"/>
        <w:rPr>
          <w:sz w:val="20"/>
          <w:szCs w:val="20"/>
          <w:color w:val="auto"/>
        </w:rPr>
      </w:pPr>
    </w:p>
    <w:p>
      <w:pPr>
        <w:ind w:left="6240"/>
        <w:spacing w:after="0"/>
        <w:tabs>
          <w:tab w:leader="none" w:pos="6740" w:val="left"/>
        </w:tabs>
        <w:rPr>
          <w:sz w:val="20"/>
          <w:szCs w:val="20"/>
          <w:color w:val="auto"/>
        </w:rPr>
      </w:pPr>
      <w:r>
        <w:rPr>
          <w:rFonts w:ascii="Arial" w:cs="Arial" w:eastAsia="Arial" w:hAnsi="Arial"/>
          <w:sz w:val="18"/>
          <w:szCs w:val="18"/>
          <w:color w:val="auto"/>
        </w:rPr>
        <w:t>By:</w:t>
        <w:tab/>
        <w:t>/s/ Robert D. Valbona</w:t>
      </w:r>
    </w:p>
    <w:p>
      <w:pPr>
        <w:spacing w:after="0" w:line="23" w:lineRule="exact"/>
        <w:rPr>
          <w:sz w:val="20"/>
          <w:szCs w:val="20"/>
          <w:color w:val="auto"/>
        </w:rPr>
      </w:pPr>
    </w:p>
    <w:tbl>
      <w:tblPr>
        <w:tblLayout w:type="fixed"/>
        <w:tblInd w:w="6660" w:type="dxa"/>
        <w:tblCellMar>
          <w:top w:w="0" w:type="dxa"/>
          <w:left w:w="0" w:type="dxa"/>
          <w:bottom w:w="0" w:type="dxa"/>
          <w:right w:w="0" w:type="dxa"/>
        </w:tblCellMar>
      </w:tblPr>
      <w:tr>
        <w:trPr>
          <w:trHeight w:val="195"/>
        </w:trPr>
        <w:tc>
          <w:tcPr>
            <w:tcW w:w="980" w:type="dxa"/>
            <w:vAlign w:val="bottom"/>
            <w:tcBorders>
              <w:top w:val="single" w:sz="8" w:color="auto"/>
            </w:tcBorders>
          </w:tcPr>
          <w:p>
            <w:pPr>
              <w:ind w:left="300"/>
              <w:spacing w:after="0" w:line="195" w:lineRule="exact"/>
              <w:rPr>
                <w:sz w:val="20"/>
                <w:szCs w:val="20"/>
                <w:color w:val="auto"/>
              </w:rPr>
            </w:pPr>
            <w:r>
              <w:rPr>
                <w:rFonts w:ascii="Arial" w:cs="Arial" w:eastAsia="Arial" w:hAnsi="Arial"/>
                <w:sz w:val="18"/>
                <w:szCs w:val="18"/>
                <w:color w:val="auto"/>
              </w:rPr>
              <w:t>Name:</w:t>
            </w:r>
          </w:p>
        </w:tc>
        <w:tc>
          <w:tcPr>
            <w:tcW w:w="378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Robert D. Valbona</w:t>
            </w:r>
          </w:p>
        </w:tc>
      </w:tr>
      <w:tr>
        <w:trPr>
          <w:trHeight w:val="230"/>
        </w:trPr>
        <w:tc>
          <w:tcPr>
            <w:tcW w:w="980" w:type="dxa"/>
            <w:vAlign w:val="bottom"/>
          </w:tcPr>
          <w:p>
            <w:pPr>
              <w:ind w:left="300"/>
              <w:spacing w:after="0"/>
              <w:rPr>
                <w:sz w:val="20"/>
                <w:szCs w:val="20"/>
                <w:color w:val="auto"/>
              </w:rPr>
            </w:pPr>
            <w:r>
              <w:rPr>
                <w:rFonts w:ascii="Arial" w:cs="Arial" w:eastAsia="Arial" w:hAnsi="Arial"/>
                <w:sz w:val="18"/>
                <w:szCs w:val="18"/>
                <w:color w:val="auto"/>
              </w:rPr>
              <w:t>Title:</w:t>
            </w:r>
          </w:p>
        </w:tc>
        <w:tc>
          <w:tcPr>
            <w:tcW w:w="3780" w:type="dxa"/>
            <w:vAlign w:val="bottom"/>
          </w:tcPr>
          <w:p>
            <w:pPr>
              <w:ind w:left="180"/>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Co-Syndication Agent and a Lender</w:t>
      </w:r>
    </w:p>
    <w:p>
      <w:pPr>
        <w:spacing w:after="0" w:line="200" w:lineRule="exact"/>
        <w:rPr>
          <w:sz w:val="20"/>
          <w:szCs w:val="20"/>
          <w:color w:val="auto"/>
        </w:rPr>
      </w:pPr>
    </w:p>
    <w:p>
      <w:pPr>
        <w:spacing w:after="0" w:line="227" w:lineRule="exact"/>
        <w:rPr>
          <w:sz w:val="20"/>
          <w:szCs w:val="20"/>
          <w:color w:val="auto"/>
        </w:rPr>
      </w:pPr>
    </w:p>
    <w:p>
      <w:pPr>
        <w:ind w:left="6240"/>
        <w:spacing w:after="0"/>
        <w:tabs>
          <w:tab w:leader="none" w:pos="6740" w:val="left"/>
        </w:tabs>
        <w:rPr>
          <w:sz w:val="20"/>
          <w:szCs w:val="20"/>
          <w:color w:val="auto"/>
        </w:rPr>
      </w:pPr>
      <w:r>
        <w:rPr>
          <w:rFonts w:ascii="Arial" w:cs="Arial" w:eastAsia="Arial" w:hAnsi="Arial"/>
          <w:sz w:val="18"/>
          <w:szCs w:val="18"/>
          <w:color w:val="auto"/>
        </w:rPr>
        <w:t>By:</w:t>
        <w:tab/>
        <w:t>/s/ Todd J. Mogi</w:t>
      </w:r>
    </w:p>
    <w:p>
      <w:pPr>
        <w:spacing w:after="0" w:line="23" w:lineRule="exact"/>
        <w:rPr>
          <w:sz w:val="20"/>
          <w:szCs w:val="20"/>
          <w:color w:val="auto"/>
        </w:rPr>
      </w:pPr>
    </w:p>
    <w:tbl>
      <w:tblPr>
        <w:tblLayout w:type="fixed"/>
        <w:tblInd w:w="6660" w:type="dxa"/>
        <w:tblCellMar>
          <w:top w:w="0" w:type="dxa"/>
          <w:left w:w="0" w:type="dxa"/>
          <w:bottom w:w="0" w:type="dxa"/>
          <w:right w:w="0" w:type="dxa"/>
        </w:tblCellMar>
      </w:tblPr>
      <w:tr>
        <w:trPr>
          <w:trHeight w:val="195"/>
        </w:trPr>
        <w:tc>
          <w:tcPr>
            <w:tcW w:w="980" w:type="dxa"/>
            <w:vAlign w:val="bottom"/>
            <w:tcBorders>
              <w:top w:val="single" w:sz="8" w:color="auto"/>
            </w:tcBorders>
          </w:tcPr>
          <w:p>
            <w:pPr>
              <w:ind w:left="300"/>
              <w:spacing w:after="0" w:line="195" w:lineRule="exact"/>
              <w:rPr>
                <w:sz w:val="20"/>
                <w:szCs w:val="20"/>
                <w:color w:val="auto"/>
              </w:rPr>
            </w:pPr>
            <w:r>
              <w:rPr>
                <w:rFonts w:ascii="Arial" w:cs="Arial" w:eastAsia="Arial" w:hAnsi="Arial"/>
                <w:sz w:val="18"/>
                <w:szCs w:val="18"/>
                <w:color w:val="auto"/>
              </w:rPr>
              <w:t>Name:</w:t>
            </w:r>
          </w:p>
        </w:tc>
        <w:tc>
          <w:tcPr>
            <w:tcW w:w="378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Todd J. Mogil</w:t>
            </w:r>
          </w:p>
        </w:tc>
      </w:tr>
      <w:tr>
        <w:trPr>
          <w:trHeight w:val="230"/>
        </w:trPr>
        <w:tc>
          <w:tcPr>
            <w:tcW w:w="980" w:type="dxa"/>
            <w:vAlign w:val="bottom"/>
          </w:tcPr>
          <w:p>
            <w:pPr>
              <w:ind w:left="300"/>
              <w:spacing w:after="0"/>
              <w:rPr>
                <w:sz w:val="20"/>
                <w:szCs w:val="20"/>
                <w:color w:val="auto"/>
              </w:rPr>
            </w:pPr>
            <w:r>
              <w:rPr>
                <w:rFonts w:ascii="Arial" w:cs="Arial" w:eastAsia="Arial" w:hAnsi="Arial"/>
                <w:sz w:val="18"/>
                <w:szCs w:val="18"/>
                <w:color w:val="auto"/>
              </w:rPr>
              <w:t>Title:</w:t>
            </w:r>
          </w:p>
        </w:tc>
        <w:tc>
          <w:tcPr>
            <w:tcW w:w="3780" w:type="dxa"/>
            <w:vAlign w:val="bottom"/>
          </w:tcPr>
          <w:p>
            <w:pPr>
              <w:ind w:left="180"/>
              <w:spacing w:after="0"/>
              <w:rPr>
                <w:sz w:val="20"/>
                <w:szCs w:val="20"/>
                <w:color w:val="auto"/>
              </w:rPr>
            </w:pPr>
            <w:r>
              <w:rPr>
                <w:rFonts w:ascii="Arial" w:cs="Arial" w:eastAsia="Arial" w:hAnsi="Arial"/>
                <w:sz w:val="18"/>
                <w:szCs w:val="18"/>
                <w:color w:val="auto"/>
              </w:rPr>
              <w:t>Attorney-in-Fact</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WACHOVIA BANK,</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NATIONAL ASSOCIATION,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Co-Documentation Agent and a Lender</w:t>
      </w:r>
    </w:p>
    <w:p>
      <w:pPr>
        <w:spacing w:after="0" w:line="200" w:lineRule="exact"/>
        <w:rPr>
          <w:sz w:val="20"/>
          <w:szCs w:val="20"/>
          <w:color w:val="auto"/>
        </w:rPr>
      </w:pPr>
    </w:p>
    <w:p>
      <w:pPr>
        <w:spacing w:after="0" w:line="227" w:lineRule="exact"/>
        <w:rPr>
          <w:sz w:val="20"/>
          <w:szCs w:val="20"/>
          <w:color w:val="auto"/>
        </w:rPr>
      </w:pPr>
    </w:p>
    <w:p>
      <w:pPr>
        <w:ind w:left="6240"/>
        <w:spacing w:after="0"/>
        <w:tabs>
          <w:tab w:leader="none" w:pos="6740" w:val="left"/>
        </w:tabs>
        <w:rPr>
          <w:sz w:val="20"/>
          <w:szCs w:val="20"/>
          <w:color w:val="auto"/>
        </w:rPr>
      </w:pPr>
      <w:r>
        <w:rPr>
          <w:rFonts w:ascii="Arial" w:cs="Arial" w:eastAsia="Arial" w:hAnsi="Arial"/>
          <w:sz w:val="18"/>
          <w:szCs w:val="18"/>
          <w:color w:val="auto"/>
        </w:rPr>
        <w:t>By:</w:t>
        <w:tab/>
        <w:t>/s/ Shawn Young</w:t>
      </w:r>
    </w:p>
    <w:p>
      <w:pPr>
        <w:spacing w:after="0" w:line="23" w:lineRule="exact"/>
        <w:rPr>
          <w:sz w:val="20"/>
          <w:szCs w:val="20"/>
          <w:color w:val="auto"/>
        </w:rPr>
      </w:pPr>
    </w:p>
    <w:tbl>
      <w:tblPr>
        <w:tblLayout w:type="fixed"/>
        <w:tblInd w:w="6660" w:type="dxa"/>
        <w:tblCellMar>
          <w:top w:w="0" w:type="dxa"/>
          <w:left w:w="0" w:type="dxa"/>
          <w:bottom w:w="0" w:type="dxa"/>
          <w:right w:w="0" w:type="dxa"/>
        </w:tblCellMar>
      </w:tblPr>
      <w:tr>
        <w:trPr>
          <w:trHeight w:val="195"/>
        </w:trPr>
        <w:tc>
          <w:tcPr>
            <w:tcW w:w="980" w:type="dxa"/>
            <w:vAlign w:val="bottom"/>
            <w:tcBorders>
              <w:top w:val="single" w:sz="8" w:color="auto"/>
            </w:tcBorders>
          </w:tcPr>
          <w:p>
            <w:pPr>
              <w:ind w:left="300"/>
              <w:spacing w:after="0" w:line="195" w:lineRule="exact"/>
              <w:rPr>
                <w:sz w:val="20"/>
                <w:szCs w:val="20"/>
                <w:color w:val="auto"/>
              </w:rPr>
            </w:pPr>
            <w:r>
              <w:rPr>
                <w:rFonts w:ascii="Arial" w:cs="Arial" w:eastAsia="Arial" w:hAnsi="Arial"/>
                <w:sz w:val="18"/>
                <w:szCs w:val="18"/>
                <w:color w:val="auto"/>
              </w:rPr>
              <w:t>Name:</w:t>
            </w:r>
          </w:p>
        </w:tc>
        <w:tc>
          <w:tcPr>
            <w:tcW w:w="378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Shawn Young</w:t>
            </w:r>
          </w:p>
        </w:tc>
      </w:tr>
      <w:tr>
        <w:trPr>
          <w:trHeight w:val="230"/>
        </w:trPr>
        <w:tc>
          <w:tcPr>
            <w:tcW w:w="980" w:type="dxa"/>
            <w:vAlign w:val="bottom"/>
          </w:tcPr>
          <w:p>
            <w:pPr>
              <w:ind w:left="300"/>
              <w:spacing w:after="0"/>
              <w:rPr>
                <w:sz w:val="20"/>
                <w:szCs w:val="20"/>
                <w:color w:val="auto"/>
              </w:rPr>
            </w:pPr>
            <w:r>
              <w:rPr>
                <w:rFonts w:ascii="Arial" w:cs="Arial" w:eastAsia="Arial" w:hAnsi="Arial"/>
                <w:sz w:val="18"/>
                <w:szCs w:val="18"/>
                <w:color w:val="auto"/>
              </w:rPr>
              <w:t>Title:</w:t>
            </w:r>
          </w:p>
        </w:tc>
        <w:tc>
          <w:tcPr>
            <w:tcW w:w="3780" w:type="dxa"/>
            <w:vAlign w:val="bottom"/>
          </w:tcPr>
          <w:p>
            <w:pPr>
              <w:ind w:left="18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UBS LOAN FINANCE LLC,</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 Lender</w:t>
      </w:r>
    </w:p>
    <w:p>
      <w:pPr>
        <w:spacing w:after="0" w:line="200" w:lineRule="exact"/>
        <w:rPr>
          <w:sz w:val="20"/>
          <w:szCs w:val="20"/>
          <w:color w:val="auto"/>
        </w:rPr>
      </w:pPr>
    </w:p>
    <w:p>
      <w:pPr>
        <w:spacing w:after="0" w:line="227" w:lineRule="exact"/>
        <w:rPr>
          <w:sz w:val="20"/>
          <w:szCs w:val="20"/>
          <w:color w:val="auto"/>
        </w:rPr>
      </w:pPr>
    </w:p>
    <w:tbl>
      <w:tblPr>
        <w:tblLayout w:type="fixed"/>
        <w:tblInd w:w="624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Richard L. Tavrow</w:t>
            </w:r>
          </w:p>
        </w:tc>
      </w:tr>
      <w:tr>
        <w:trPr>
          <w:trHeight w:val="195"/>
        </w:trPr>
        <w:tc>
          <w:tcPr>
            <w:tcW w:w="420" w:type="dxa"/>
            <w:vAlign w:val="bottom"/>
          </w:tcPr>
          <w:p>
            <w:pPr>
              <w:spacing w:after="0"/>
              <w:rPr>
                <w:sz w:val="16"/>
                <w:szCs w:val="16"/>
                <w:color w:val="auto"/>
              </w:rPr>
            </w:pPr>
          </w:p>
        </w:tc>
        <w:tc>
          <w:tcPr>
            <w:tcW w:w="1160" w:type="dxa"/>
            <w:vAlign w:val="bottom"/>
          </w:tcPr>
          <w:p>
            <w:pPr>
              <w:ind w:left="300"/>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Richard L. Tavrow</w:t>
            </w:r>
          </w:p>
        </w:tc>
      </w:tr>
      <w:tr>
        <w:trPr>
          <w:trHeight w:val="216"/>
        </w:trPr>
        <w:tc>
          <w:tcPr>
            <w:tcW w:w="420" w:type="dxa"/>
            <w:vAlign w:val="bottom"/>
          </w:tcPr>
          <w:p>
            <w:pPr>
              <w:spacing w:after="0"/>
              <w:rPr>
                <w:sz w:val="18"/>
                <w:szCs w:val="18"/>
                <w:color w:val="auto"/>
              </w:rPr>
            </w:pPr>
          </w:p>
        </w:tc>
        <w:tc>
          <w:tcPr>
            <w:tcW w:w="1160" w:type="dxa"/>
            <w:vAlign w:val="bottom"/>
          </w:tcPr>
          <w:p>
            <w:pPr>
              <w:ind w:left="300"/>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Banking Products Services, US</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0"/>
              </w:rPr>
              <w:t>/s/ Irja R. Otsa</w:t>
            </w:r>
          </w:p>
        </w:tc>
        <w:tc>
          <w:tcPr>
            <w:tcW w:w="3600" w:type="dxa"/>
            <w:vAlign w:val="bottom"/>
            <w:tcBorders>
              <w:bottom w:val="single" w:sz="8" w:color="auto"/>
            </w:tcBorders>
          </w:tcPr>
          <w:p>
            <w:pPr>
              <w:spacing w:after="0"/>
              <w:rPr>
                <w:sz w:val="24"/>
                <w:szCs w:val="24"/>
                <w:color w:val="auto"/>
              </w:rPr>
            </w:pPr>
          </w:p>
        </w:tc>
      </w:tr>
      <w:tr>
        <w:trPr>
          <w:trHeight w:val="195"/>
        </w:trPr>
        <w:tc>
          <w:tcPr>
            <w:tcW w:w="420" w:type="dxa"/>
            <w:vAlign w:val="bottom"/>
          </w:tcPr>
          <w:p>
            <w:pPr>
              <w:spacing w:after="0"/>
              <w:rPr>
                <w:sz w:val="16"/>
                <w:szCs w:val="16"/>
                <w:color w:val="auto"/>
              </w:rPr>
            </w:pPr>
          </w:p>
        </w:tc>
        <w:tc>
          <w:tcPr>
            <w:tcW w:w="1160" w:type="dxa"/>
            <w:vAlign w:val="bottom"/>
          </w:tcPr>
          <w:p>
            <w:pPr>
              <w:ind w:left="300"/>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Irja R. Otsa</w:t>
            </w:r>
          </w:p>
        </w:tc>
      </w:tr>
      <w:tr>
        <w:trPr>
          <w:trHeight w:val="216"/>
        </w:trPr>
        <w:tc>
          <w:tcPr>
            <w:tcW w:w="420" w:type="dxa"/>
            <w:vAlign w:val="bottom"/>
          </w:tcPr>
          <w:p>
            <w:pPr>
              <w:spacing w:after="0"/>
              <w:rPr>
                <w:sz w:val="18"/>
                <w:szCs w:val="18"/>
                <w:color w:val="auto"/>
              </w:rPr>
            </w:pPr>
          </w:p>
        </w:tc>
        <w:tc>
          <w:tcPr>
            <w:tcW w:w="1160" w:type="dxa"/>
            <w:vAlign w:val="bottom"/>
          </w:tcPr>
          <w:p>
            <w:pPr>
              <w:ind w:left="300"/>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Associate Director</w:t>
            </w:r>
          </w:p>
        </w:tc>
      </w:tr>
      <w:tr>
        <w:trPr>
          <w:trHeight w:val="230"/>
        </w:trPr>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Banking Products Services, US</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BNP PARIBAS,</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Managing Agent and a Lender</w:t>
      </w:r>
    </w:p>
    <w:p>
      <w:pPr>
        <w:spacing w:after="0" w:line="200" w:lineRule="exact"/>
        <w:rPr>
          <w:sz w:val="20"/>
          <w:szCs w:val="20"/>
          <w:color w:val="auto"/>
        </w:rPr>
      </w:pPr>
    </w:p>
    <w:p>
      <w:pPr>
        <w:spacing w:after="0" w:line="227" w:lineRule="exact"/>
        <w:rPr>
          <w:sz w:val="20"/>
          <w:szCs w:val="20"/>
          <w:color w:val="auto"/>
        </w:rPr>
      </w:pPr>
    </w:p>
    <w:p>
      <w:pPr>
        <w:ind w:left="622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Marcie Weiss</w:t>
      </w:r>
    </w:p>
    <w:p>
      <w:pPr>
        <w:spacing w:after="0" w:line="23" w:lineRule="exact"/>
        <w:rPr>
          <w:sz w:val="20"/>
          <w:szCs w:val="20"/>
          <w:color w:val="auto"/>
        </w:rPr>
      </w:pPr>
    </w:p>
    <w:p>
      <w:pPr>
        <w:ind w:left="6940"/>
        <w:spacing w:after="0"/>
        <w:tabs>
          <w:tab w:leader="none" w:pos="7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Marcie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-130810</wp:posOffset>
            </wp:positionV>
            <wp:extent cx="30187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ectPr>
          <w:pgSz w:w="11900" w:h="16838" w:orient="portrait"/>
          <w:cols w:equalWidth="0" w:num="1">
            <w:col w:w="11460"/>
          </w:cols>
          <w:pgMar w:left="240" w:top="580" w:right="199" w:bottom="0" w:gutter="0" w:footer="0" w:header="0"/>
        </w:sectPr>
      </w:pPr>
    </w:p>
    <w:bookmarkStart w:id="105" w:name="page106"/>
    <w:bookmarkEnd w:id="105"/>
    <w:tbl>
      <w:tblPr>
        <w:tblLayout w:type="fixed"/>
        <w:tblInd w:w="50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Title:</w:t>
            </w:r>
          </w:p>
        </w:tc>
        <w:tc>
          <w:tcPr>
            <w:tcW w:w="3800" w:type="dxa"/>
            <w:vAlign w:val="bottom"/>
          </w:tcPr>
          <w:p>
            <w:pPr>
              <w:ind w:left="200"/>
              <w:spacing w:after="0"/>
              <w:rPr>
                <w:sz w:val="20"/>
                <w:szCs w:val="20"/>
                <w:color w:val="auto"/>
              </w:rPr>
            </w:pPr>
            <w:r>
              <w:rPr>
                <w:rFonts w:ascii="Arial" w:cs="Arial" w:eastAsia="Arial" w:hAnsi="Arial"/>
                <w:sz w:val="18"/>
                <w:szCs w:val="18"/>
                <w:color w:val="auto"/>
              </w:rPr>
              <w:t>Managing Director</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Richard J. Wernli</w:t>
            </w:r>
          </w:p>
        </w:tc>
      </w:tr>
      <w:tr>
        <w:trPr>
          <w:trHeight w:val="195"/>
        </w:trPr>
        <w:tc>
          <w:tcPr>
            <w:tcW w:w="440" w:type="dxa"/>
            <w:vAlign w:val="bottom"/>
          </w:tcPr>
          <w:p>
            <w:pPr>
              <w:spacing w:after="0"/>
              <w:rPr>
                <w:sz w:val="16"/>
                <w:szCs w:val="16"/>
                <w:color w:val="auto"/>
              </w:rPr>
            </w:pPr>
          </w:p>
        </w:tc>
        <w:tc>
          <w:tcPr>
            <w:tcW w:w="960" w:type="dxa"/>
            <w:vAlign w:val="bottom"/>
          </w:tcPr>
          <w:p>
            <w:pPr>
              <w:ind w:left="280"/>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ind w:left="200"/>
              <w:spacing w:after="0" w:line="195" w:lineRule="exact"/>
              <w:rPr>
                <w:sz w:val="20"/>
                <w:szCs w:val="20"/>
                <w:color w:val="auto"/>
              </w:rPr>
            </w:pPr>
            <w:r>
              <w:rPr>
                <w:rFonts w:ascii="Arial" w:cs="Arial" w:eastAsia="Arial" w:hAnsi="Arial"/>
                <w:sz w:val="18"/>
                <w:szCs w:val="18"/>
                <w:color w:val="auto"/>
              </w:rPr>
              <w:t>Richard J. Wernli</w:t>
            </w:r>
          </w:p>
        </w:tc>
      </w:tr>
      <w:tr>
        <w:trPr>
          <w:trHeight w:val="230"/>
        </w:trPr>
        <w:tc>
          <w:tcPr>
            <w:tcW w:w="440" w:type="dxa"/>
            <w:vAlign w:val="bottom"/>
          </w:tcPr>
          <w:p>
            <w:pPr>
              <w:spacing w:after="0"/>
              <w:rPr>
                <w:sz w:val="20"/>
                <w:szCs w:val="20"/>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Title:</w:t>
            </w:r>
          </w:p>
        </w:tc>
        <w:tc>
          <w:tcPr>
            <w:tcW w:w="3800" w:type="dxa"/>
            <w:vAlign w:val="bottom"/>
          </w:tcPr>
          <w:p>
            <w:pPr>
              <w:ind w:left="20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Managing Agent and a Lender</w:t>
      </w:r>
    </w:p>
    <w:p>
      <w:pPr>
        <w:spacing w:after="0" w:line="200" w:lineRule="exact"/>
        <w:rPr>
          <w:sz w:val="20"/>
          <w:szCs w:val="20"/>
          <w:color w:val="auto"/>
        </w:rPr>
      </w:pPr>
    </w:p>
    <w:p>
      <w:pPr>
        <w:spacing w:after="0" w:line="227" w:lineRule="exact"/>
        <w:rPr>
          <w:sz w:val="20"/>
          <w:szCs w:val="20"/>
          <w:color w:val="auto"/>
        </w:rPr>
      </w:pPr>
    </w:p>
    <w:p>
      <w:pPr>
        <w:ind w:left="5020"/>
        <w:spacing w:after="0"/>
        <w:tabs>
          <w:tab w:leader="none" w:pos="5500" w:val="left"/>
        </w:tabs>
        <w:rPr>
          <w:sz w:val="20"/>
          <w:szCs w:val="20"/>
          <w:color w:val="auto"/>
        </w:rPr>
      </w:pPr>
      <w:r>
        <w:rPr>
          <w:rFonts w:ascii="Arial" w:cs="Arial" w:eastAsia="Arial" w:hAnsi="Arial"/>
          <w:sz w:val="18"/>
          <w:szCs w:val="18"/>
          <w:color w:val="auto"/>
        </w:rPr>
        <w:t>By:</w:t>
        <w:tab/>
        <w:t>/s/ Jeffrey R. Titus</w:t>
      </w:r>
    </w:p>
    <w:p>
      <w:pPr>
        <w:spacing w:after="0" w:line="23" w:lineRule="exact"/>
        <w:rPr>
          <w:sz w:val="20"/>
          <w:szCs w:val="20"/>
          <w:color w:val="auto"/>
        </w:rPr>
      </w:pPr>
    </w:p>
    <w:tbl>
      <w:tblPr>
        <w:tblLayout w:type="fixed"/>
        <w:tblInd w:w="5440" w:type="dxa"/>
        <w:tblCellMar>
          <w:top w:w="0" w:type="dxa"/>
          <w:left w:w="0" w:type="dxa"/>
          <w:bottom w:w="0" w:type="dxa"/>
          <w:right w:w="0" w:type="dxa"/>
        </w:tblCellMar>
      </w:tblPr>
      <w:tr>
        <w:trPr>
          <w:trHeight w:val="195"/>
        </w:trPr>
        <w:tc>
          <w:tcPr>
            <w:tcW w:w="980" w:type="dxa"/>
            <w:vAlign w:val="bottom"/>
            <w:tcBorders>
              <w:top w:val="single" w:sz="8" w:color="auto"/>
            </w:tcBorders>
          </w:tcPr>
          <w:p>
            <w:pPr>
              <w:ind w:left="300"/>
              <w:spacing w:after="0" w:line="195" w:lineRule="exact"/>
              <w:rPr>
                <w:sz w:val="20"/>
                <w:szCs w:val="20"/>
                <w:color w:val="auto"/>
              </w:rPr>
            </w:pPr>
            <w:r>
              <w:rPr>
                <w:rFonts w:ascii="Arial" w:cs="Arial" w:eastAsia="Arial" w:hAnsi="Arial"/>
                <w:sz w:val="18"/>
                <w:szCs w:val="18"/>
                <w:color w:val="auto"/>
              </w:rPr>
              <w:t>Name:</w:t>
            </w:r>
          </w:p>
        </w:tc>
        <w:tc>
          <w:tcPr>
            <w:tcW w:w="380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Jeffrey R. Titus</w:t>
            </w:r>
          </w:p>
        </w:tc>
      </w:tr>
      <w:tr>
        <w:trPr>
          <w:trHeight w:val="230"/>
        </w:trPr>
        <w:tc>
          <w:tcPr>
            <w:tcW w:w="980" w:type="dxa"/>
            <w:vAlign w:val="bottom"/>
          </w:tcPr>
          <w:p>
            <w:pPr>
              <w:ind w:left="300"/>
              <w:spacing w:after="0"/>
              <w:rPr>
                <w:sz w:val="20"/>
                <w:szCs w:val="20"/>
                <w:color w:val="auto"/>
              </w:rPr>
            </w:pPr>
            <w:r>
              <w:rPr>
                <w:rFonts w:ascii="Arial" w:cs="Arial" w:eastAsia="Arial" w:hAnsi="Arial"/>
                <w:sz w:val="18"/>
                <w:szCs w:val="18"/>
                <w:color w:val="auto"/>
              </w:rPr>
              <w:t>Title:</w:t>
            </w:r>
          </w:p>
        </w:tc>
        <w:tc>
          <w:tcPr>
            <w:tcW w:w="3800" w:type="dxa"/>
            <w:vAlign w:val="bottom"/>
          </w:tcPr>
          <w:p>
            <w:pPr>
              <w:ind w:left="200"/>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535940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20"/>
      </w:cols>
      <w:pgMar w:left="14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9ADEA3D"/>
    <w:multiLevelType w:val="hybridMultilevel"/>
    <w:lvl w:ilvl="0">
      <w:lvlJc w:val="left"/>
      <w:lvlText w:val="x"/>
      <w:numFmt w:val="bullet"/>
      <w:start w:val="1"/>
    </w:lvl>
  </w:abstractNum>
  <w:abstractNum w:abstractNumId="1">
    <w:nsid w:val="288F1A34"/>
    <w:multiLevelType w:val="hybridMultilevel"/>
    <w:lvl w:ilvl="0">
      <w:lvlJc w:val="left"/>
      <w:lvlText w:val="•"/>
      <w:numFmt w:val="bullet"/>
      <w:start w:val="1"/>
    </w:lvl>
  </w:abstractNum>
  <w:abstractNum w:abstractNumId="2">
    <w:nsid w:val="2A155DBC"/>
    <w:multiLevelType w:val="hybridMultilevel"/>
    <w:lvl w:ilvl="0">
      <w:lvlJc w:val="left"/>
      <w:lvlText w:val="•"/>
      <w:numFmt w:val="bullet"/>
      <w:start w:val="1"/>
    </w:lvl>
  </w:abstractNum>
  <w:abstractNum w:abstractNumId="3">
    <w:nsid w:val="1D9F6E5F"/>
    <w:multiLevelType w:val="hybridMultilevel"/>
    <w:lvl w:ilvl="0">
      <w:lvlJc w:val="left"/>
      <w:lvlText w:val="(%1)"/>
      <w:numFmt w:val="lowerLetter"/>
      <w:start w:val="4"/>
    </w:lvl>
  </w:abstractNum>
  <w:abstractNum w:abstractNumId="4">
    <w:nsid w:val="97E1B4E"/>
    <w:multiLevelType w:val="hybridMultilevel"/>
    <w:lvl w:ilvl="0">
      <w:lvlJc w:val="left"/>
      <w:lvlText w:val="(%1)"/>
      <w:numFmt w:val="lowerLetter"/>
      <w:start w:val="3"/>
    </w:lvl>
  </w:abstractNum>
  <w:abstractNum w:abstractNumId="5">
    <w:nsid w:val="51088277"/>
    <w:multiLevelType w:val="hybridMultilevel"/>
    <w:lvl w:ilvl="0">
      <w:lvlJc w:val="left"/>
      <w:lvlText w:val="(%1)"/>
      <w:numFmt w:val="lowerLetter"/>
      <w:start w:val="1"/>
    </w:lvl>
  </w:abstractNum>
  <w:abstractNum w:abstractNumId="6">
    <w:nsid w:val="1CA0C5FA"/>
    <w:multiLevelType w:val="hybridMultilevel"/>
    <w:lvl w:ilvl="0">
      <w:lvlJc w:val="left"/>
      <w:lvlText w:val="(%1)"/>
      <w:numFmt w:val="lowerLetter"/>
      <w:start w:val="2"/>
    </w:lvl>
  </w:abstractNum>
  <w:abstractNum w:abstractNumId="7">
    <w:nsid w:val="53584BCB"/>
    <w:multiLevelType w:val="hybridMultilevel"/>
    <w:lvl w:ilvl="0">
      <w:lvlJc w:val="left"/>
      <w:lvlText w:val="(%1)"/>
      <w:numFmt w:val="lowerRoman"/>
      <w:start w:val="1"/>
    </w:lvl>
  </w:abstractNum>
  <w:abstractNum w:abstractNumId="8">
    <w:nsid w:val="415E286C"/>
    <w:multiLevelType w:val="hybridMultilevel"/>
    <w:lvl w:ilvl="0">
      <w:lvlJc w:val="left"/>
      <w:lvlText w:val="(%1)"/>
      <w:numFmt w:val="lowerLetter"/>
      <w:start w:val="1"/>
    </w:lvl>
  </w:abstractNum>
  <w:abstractNum w:abstractNumId="9">
    <w:nsid w:val="7C58FD05"/>
    <w:multiLevelType w:val="hybridMultilevel"/>
    <w:lvl w:ilvl="0">
      <w:lvlJc w:val="left"/>
      <w:lvlText w:val="(%1)"/>
      <w:numFmt w:val="lowerLetter"/>
      <w:start w:val="2"/>
    </w:lvl>
  </w:abstractNum>
  <w:abstractNum w:abstractNumId="10">
    <w:nsid w:val="23D86AAC"/>
    <w:multiLevelType w:val="hybridMultilevel"/>
    <w:lvl w:ilvl="0">
      <w:lvlJc w:val="left"/>
      <w:lvlText w:val="(%1)"/>
      <w:numFmt w:val="lowerLetter"/>
      <w:start w:val="4"/>
    </w:lvl>
  </w:abstractNum>
  <w:abstractNum w:abstractNumId="11">
    <w:nsid w:val="45E6D486"/>
    <w:multiLevelType w:val="hybridMultilevel"/>
    <w:lvl w:ilvl="0">
      <w:lvlJc w:val="left"/>
      <w:lvlText w:val="%1"/>
      <w:numFmt w:val="lowerLetter"/>
      <w:start w:val="1"/>
    </w:lvl>
    <w:lvl w:ilvl="1">
      <w:lvlJc w:val="left"/>
      <w:lvlText w:val="(%2)"/>
      <w:numFmt w:val="lowerLetter"/>
      <w:start w:val="5"/>
    </w:lvl>
  </w:abstractNum>
  <w:abstractNum w:abstractNumId="12">
    <w:nsid w:val="5C10FE21"/>
    <w:multiLevelType w:val="hybridMultilevel"/>
    <w:lvl w:ilvl="0">
      <w:lvlJc w:val="left"/>
      <w:lvlText w:val="(%1)"/>
      <w:numFmt w:val="lowerLetter"/>
      <w:start w:val="4"/>
    </w:lvl>
    <w:lvl w:ilvl="1">
      <w:lvlJc w:val="left"/>
      <w:lvlText w:val="%2"/>
      <w:numFmt w:val="lowerLetter"/>
      <w:start w:val="1"/>
    </w:lvl>
  </w:abstractNum>
  <w:abstractNum w:abstractNumId="13">
    <w:nsid w:val="E7FFA2B"/>
    <w:multiLevelType w:val="hybridMultilevel"/>
    <w:lvl w:ilvl="0">
      <w:lvlJc w:val="left"/>
      <w:lvlText w:val="(%1)"/>
      <w:numFmt w:val="lowerRoman"/>
      <w:start w:val="1"/>
    </w:lvl>
  </w:abstractNum>
  <w:abstractNum w:abstractNumId="14">
    <w:nsid w:val="3C5991AA"/>
    <w:multiLevelType w:val="hybridMultilevel"/>
    <w:lvl w:ilvl="0">
      <w:lvlJc w:val="left"/>
      <w:lvlText w:val="(%1)"/>
      <w:numFmt w:val="lowerRoman"/>
      <w:start w:val="3"/>
    </w:lvl>
  </w:abstractNum>
  <w:abstractNum w:abstractNumId="15">
    <w:nsid w:val="4BD8591A"/>
    <w:multiLevelType w:val="hybridMultilevel"/>
    <w:lvl w:ilvl="0">
      <w:lvlJc w:val="left"/>
      <w:lvlText w:val="(%1)"/>
      <w:numFmt w:val="lowerLetter"/>
      <w:start w:val="1"/>
    </w:lvl>
  </w:abstractNum>
  <w:abstractNum w:abstractNumId="16">
    <w:nsid w:val="78DF6A55"/>
    <w:multiLevelType w:val="hybridMultilevel"/>
    <w:lvl w:ilvl="0">
      <w:lvlJc w:val="left"/>
      <w:lvlText w:val="(%1)"/>
      <w:numFmt w:val="lowerLetter"/>
      <w:start w:val="2"/>
    </w:lvl>
  </w:abstractNum>
  <w:abstractNum w:abstractNumId="17">
    <w:nsid w:val="39B7AAA2"/>
    <w:multiLevelType w:val="hybridMultilevel"/>
    <w:lvl w:ilvl="0">
      <w:lvlJc w:val="left"/>
      <w:lvlText w:val="(%1)"/>
      <w:numFmt w:val="lowerRoman"/>
      <w:start w:val="2"/>
    </w:lvl>
  </w:abstractNum>
  <w:abstractNum w:abstractNumId="18">
    <w:nsid w:val="2B0D8DBE"/>
    <w:multiLevelType w:val="hybridMultilevel"/>
    <w:lvl w:ilvl="0">
      <w:lvlJc w:val="left"/>
      <w:lvlText w:val="(%1)"/>
      <w:numFmt w:val="lowerLetter"/>
      <w:start w:val="1"/>
    </w:lvl>
  </w:abstractNum>
  <w:abstractNum w:abstractNumId="19">
    <w:nsid w:val="6C80EC70"/>
    <w:multiLevelType w:val="hybridMultilevel"/>
    <w:lvl w:ilvl="0">
      <w:lvlJc w:val="left"/>
      <w:lvlText w:val="(%1)"/>
      <w:numFmt w:val="lowerLetter"/>
      <w:start w:val="4"/>
    </w:lvl>
  </w:abstractNum>
  <w:abstractNum w:abstractNumId="20">
    <w:nsid w:val="379E21B5"/>
    <w:multiLevelType w:val="hybridMultilevel"/>
    <w:lvl w:ilvl="0">
      <w:lvlJc w:val="left"/>
      <w:lvlText w:val="(%1)"/>
      <w:numFmt w:val="lowerRoman"/>
      <w:start w:val="1"/>
    </w:lvl>
  </w:abstractNum>
  <w:abstractNum w:abstractNumId="21">
    <w:nsid w:val="69E373"/>
    <w:multiLevelType w:val="hybridMultilevel"/>
    <w:lvl w:ilvl="0">
      <w:lvlJc w:val="left"/>
      <w:lvlText w:val="(%1)"/>
      <w:numFmt w:val="lowerLetter"/>
      <w:start w:val="1"/>
    </w:lvl>
  </w:abstractNum>
  <w:abstractNum w:abstractNumId="22">
    <w:nsid w:val="2C27173B"/>
    <w:multiLevelType w:val="hybridMultilevel"/>
    <w:lvl w:ilvl="0">
      <w:lvlJc w:val="left"/>
      <w:lvlText w:val="(%1)"/>
      <w:numFmt w:val="lowerRoman"/>
      <w:start w:val="4"/>
    </w:lvl>
  </w:abstractNum>
  <w:abstractNum w:abstractNumId="23">
    <w:nsid w:val="4C9B0904"/>
    <w:multiLevelType w:val="hybridMultilevel"/>
    <w:lvl w:ilvl="0">
      <w:lvlJc w:val="left"/>
      <w:lvlText w:val="(%1)"/>
      <w:numFmt w:val="lowerLetter"/>
      <w:start w:val="1"/>
    </w:lvl>
  </w:abstractNum>
  <w:abstractNum w:abstractNumId="24">
    <w:nsid w:val="6AA7B75C"/>
    <w:multiLevelType w:val="hybridMultilevel"/>
    <w:lvl w:ilvl="0">
      <w:lvlJc w:val="left"/>
      <w:lvlText w:val="(%1)"/>
      <w:numFmt w:val="lowerRoman"/>
      <w:start w:val="1"/>
    </w:lvl>
  </w:abstractNum>
  <w:abstractNum w:abstractNumId="25">
    <w:nsid w:val="1DF029D3"/>
    <w:multiLevelType w:val="hybridMultilevel"/>
    <w:lvl w:ilvl="0">
      <w:lvlJc w:val="left"/>
      <w:lvlText w:val="(%1)"/>
      <w:numFmt w:val="lowerLetter"/>
      <w:start w:val="1"/>
    </w:lvl>
  </w:abstractNum>
  <w:abstractNum w:abstractNumId="26">
    <w:nsid w:val="5675FF36"/>
    <w:multiLevelType w:val="hybridMultilevel"/>
    <w:lvl w:ilvl="0">
      <w:lvlJc w:val="left"/>
      <w:lvlText w:val="%1"/>
      <w:numFmt w:val="lowerLetter"/>
      <w:start w:val="1"/>
    </w:lvl>
    <w:lvl w:ilvl="1">
      <w:lvlJc w:val="left"/>
      <w:lvlText w:val="(%2)"/>
      <w:numFmt w:val="lowerLetter"/>
      <w:start w:val="3"/>
    </w:lvl>
  </w:abstractNum>
  <w:abstractNum w:abstractNumId="27">
    <w:nsid w:val="3DD15094"/>
    <w:multiLevelType w:val="hybridMultilevel"/>
    <w:lvl w:ilvl="0">
      <w:lvlJc w:val="left"/>
      <w:lvlText w:val="(%1)"/>
      <w:numFmt w:val="lowerLetter"/>
      <w:start w:val="1"/>
    </w:lvl>
    <w:lvl w:ilvl="1">
      <w:lvlJc w:val="left"/>
      <w:lvlText w:val="%2"/>
      <w:numFmt w:val="lowerLetter"/>
      <w:start w:val="1"/>
    </w:lvl>
  </w:abstractNum>
  <w:abstractNum w:abstractNumId="28">
    <w:nsid w:val="3DB012B3"/>
    <w:multiLevelType w:val="hybridMultilevel"/>
    <w:lvl w:ilvl="0">
      <w:lvlJc w:val="left"/>
      <w:lvlText w:val="(%1)"/>
      <w:numFmt w:val="lowerLetter"/>
      <w:start w:val="4"/>
    </w:lvl>
  </w:abstractNum>
  <w:abstractNum w:abstractNumId="29">
    <w:nsid w:val="2708C9AF"/>
    <w:multiLevelType w:val="hybridMultilevel"/>
    <w:lvl w:ilvl="0">
      <w:lvlJc w:val="left"/>
      <w:lvlText w:val="(%1)"/>
      <w:numFmt w:val="lowerLetter"/>
      <w:start w:val="6"/>
    </w:lvl>
    <w:lvl w:ilvl="1">
      <w:lvlJc w:val="left"/>
      <w:lvlText w:val="(%2)"/>
      <w:numFmt w:val="lowerLetter"/>
      <w:start w:val="9"/>
    </w:lvl>
  </w:abstractNum>
  <w:abstractNum w:abstractNumId="30">
    <w:nsid w:val="5B25ACE2"/>
    <w:multiLevelType w:val="hybridMultilevel"/>
    <w:lvl w:ilvl="0">
      <w:lvlJc w:val="left"/>
      <w:lvlText w:val="(%1)"/>
      <w:numFmt w:val="lowerRoman"/>
      <w:start w:val="2"/>
    </w:lvl>
  </w:abstractNum>
  <w:abstractNum w:abstractNumId="31">
    <w:nsid w:val="175DFCF0"/>
    <w:multiLevelType w:val="hybridMultilevel"/>
    <w:lvl w:ilvl="0">
      <w:lvlJc w:val="left"/>
      <w:lvlText w:val="(%1)"/>
      <w:numFmt w:val="lowerRoman"/>
      <w:start w:val="5"/>
    </w:lvl>
  </w:abstractNum>
  <w:abstractNum w:abstractNumId="32">
    <w:nsid w:val="4F97E3E4"/>
    <w:multiLevelType w:val="hybridMultilevel"/>
    <w:lvl w:ilvl="0">
      <w:lvlJc w:val="left"/>
      <w:lvlText w:val="(%1)"/>
      <w:numFmt w:val="upperLetter"/>
      <w:start w:val="1"/>
    </w:lvl>
  </w:abstractNum>
  <w:abstractNum w:abstractNumId="33">
    <w:nsid w:val="53B0A9E"/>
    <w:multiLevelType w:val="hybridMultilevel"/>
    <w:lvl w:ilvl="0">
      <w:lvlJc w:val="left"/>
      <w:lvlText w:val="%1"/>
      <w:numFmt w:val="upperLetter"/>
      <w:start w:val="1"/>
    </w:lvl>
    <w:lvl w:ilvl="1">
      <w:lvlJc w:val="left"/>
      <w:lvlText w:val="(%2)"/>
      <w:numFmt w:val="lowerLetter"/>
      <w:start w:val="1"/>
    </w:lvl>
  </w:abstractNum>
  <w:abstractNum w:abstractNumId="34">
    <w:nsid w:val="34FD6B4F"/>
    <w:multiLevelType w:val="hybridMultilevel"/>
    <w:lvl w:ilvl="0">
      <w:lvlJc w:val="left"/>
      <w:lvlText w:val="(%1)"/>
      <w:numFmt w:val="upperLetter"/>
      <w:start w:val="2"/>
    </w:lvl>
    <w:lvl w:ilvl="1">
      <w:lvlJc w:val="left"/>
      <w:lvlText w:val="(%2)"/>
      <w:numFmt w:val="lowerLetter"/>
      <w:start w:val="2"/>
    </w:lvl>
  </w:abstractNum>
  <w:abstractNum w:abstractNumId="35">
    <w:nsid w:val="5915FF32"/>
    <w:multiLevelType w:val="hybridMultilevel"/>
    <w:lvl w:ilvl="0">
      <w:lvlJc w:val="left"/>
      <w:lvlText w:val="(%1)"/>
      <w:numFmt w:val="lowerRoman"/>
      <w:start w:val="1"/>
    </w:lvl>
  </w:abstractNum>
  <w:abstractNum w:abstractNumId="36">
    <w:nsid w:val="56438D15"/>
    <w:multiLevelType w:val="hybridMultilevel"/>
    <w:lvl w:ilvl="0">
      <w:lvlJc w:val="left"/>
      <w:lvlText w:val="(%1)"/>
      <w:numFmt w:val="lowerLetter"/>
      <w:start w:val="1"/>
    </w:lvl>
  </w:abstractNum>
  <w:abstractNum w:abstractNumId="37">
    <w:nsid w:val="519E3149"/>
    <w:multiLevelType w:val="hybridMultilevel"/>
    <w:lvl w:ilvl="0">
      <w:lvlJc w:val="left"/>
      <w:lvlText w:val="(%1)"/>
      <w:numFmt w:val="lowerRoman"/>
      <w:start w:val="1"/>
    </w:lvl>
  </w:abstractNum>
  <w:abstractNum w:abstractNumId="38">
    <w:nsid w:val="2C6E4AF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39">
    <w:nsid w:val="17A1B582"/>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4"/>
    </w:lvl>
  </w:abstractNum>
  <w:abstractNum w:abstractNumId="40">
    <w:nsid w:val="4DF72E4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1">
    <w:nsid w:val="5046B5A9"/>
    <w:multiLevelType w:val="hybridMultilevel"/>
    <w:lvl w:ilvl="0">
      <w:lvlJc w:val="left"/>
      <w:lvlText w:val="(%1)"/>
      <w:numFmt w:val="lowerLetter"/>
      <w:start w:val="3"/>
    </w:lvl>
  </w:abstractNum>
  <w:abstractNum w:abstractNumId="42">
    <w:nsid w:val="5D888A08"/>
    <w:multiLevelType w:val="hybridMultilevel"/>
    <w:lvl w:ilvl="0">
      <w:lvlJc w:val="left"/>
      <w:lvlText w:val="(%1)"/>
      <w:numFmt w:val="lowerLetter"/>
      <w:start w:val="1"/>
    </w:lvl>
  </w:abstractNum>
  <w:abstractNum w:abstractNumId="43">
    <w:nsid w:val="2A082C70"/>
    <w:multiLevelType w:val="hybridMultilevel"/>
    <w:lvl w:ilvl="0">
      <w:lvlJc w:val="left"/>
      <w:lvlText w:val="(%1)"/>
      <w:numFmt w:val="lowerLetter"/>
      <w:start w:val="9"/>
    </w:lvl>
    <w:lvl w:ilvl="1">
      <w:lvlJc w:val="left"/>
      <w:lvlText w:val="(%2)"/>
      <w:numFmt w:val="lowerLetter"/>
      <w:start w:val="2"/>
    </w:lvl>
  </w:abstractNum>
  <w:abstractNum w:abstractNumId="44">
    <w:nsid w:val="5EC6AFD4"/>
    <w:multiLevelType w:val="hybridMultilevel"/>
    <w:lvl w:ilvl="0">
      <w:lvlJc w:val="left"/>
      <w:lvlText w:val="(%1)"/>
      <w:numFmt w:val="lowerLetter"/>
      <w:start w:val="35"/>
    </w:lvl>
    <w:lvl w:ilvl="1">
      <w:lvlJc w:val="left"/>
      <w:lvlText w:val="(%2)"/>
      <w:numFmt w:val="lowerLetter"/>
      <w:start w:val="4"/>
    </w:lvl>
  </w:abstractNum>
  <w:abstractNum w:abstractNumId="45">
    <w:nsid w:val="19E21BB2"/>
    <w:multiLevelType w:val="hybridMultilevel"/>
    <w:lvl w:ilvl="0">
      <w:lvlJc w:val="left"/>
      <w:lvlText w:val="(%1)"/>
      <w:numFmt w:val="lowerLetter"/>
      <w:start w:val="1"/>
    </w:lvl>
  </w:abstractNum>
  <w:abstractNum w:abstractNumId="46">
    <w:nsid w:val="75E0858A"/>
    <w:multiLevelType w:val="hybridMultilevel"/>
    <w:lvl w:ilvl="0">
      <w:lvlJc w:val="left"/>
      <w:lvlText w:val="(%1)"/>
      <w:numFmt w:val="lowerLetter"/>
      <w:start w:val="2"/>
    </w:lvl>
  </w:abstractNum>
  <w:abstractNum w:abstractNumId="47">
    <w:nsid w:val="57A61A29"/>
    <w:multiLevelType w:val="hybridMultilevel"/>
    <w:lvl w:ilvl="0">
      <w:lvlJc w:val="left"/>
      <w:lvlText w:val="(%1)"/>
      <w:numFmt w:val="lowerLetter"/>
      <w:start w:val="1"/>
    </w:lvl>
    <w:lvl w:ilvl="1">
      <w:lvlJc w:val="left"/>
      <w:lvlText w:val="(%2)"/>
      <w:numFmt w:val="lowerLetter"/>
      <w:start w:val="9"/>
    </w:lvl>
  </w:abstractNum>
  <w:abstractNum w:abstractNumId="48">
    <w:nsid w:val="5399C654"/>
    <w:multiLevelType w:val="hybridMultilevel"/>
    <w:lvl w:ilvl="0">
      <w:lvlJc w:val="left"/>
      <w:lvlText w:val="(%1)"/>
      <w:numFmt w:val="lowerRoman"/>
      <w:start w:val="2"/>
    </w:lvl>
    <w:lvl w:ilvl="1">
      <w:lvlJc w:val="left"/>
      <w:lvlText w:val="(%2)"/>
      <w:numFmt w:val="upperLetter"/>
      <w:start w:val="1"/>
    </w:lvl>
  </w:abstractNum>
  <w:abstractNum w:abstractNumId="49">
    <w:nsid w:val="20EE134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50">
    <w:nsid w:val="4427069A"/>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51">
    <w:nsid w:val="B37E80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2">
    <w:nsid w:val="2157F6BC"/>
    <w:multiLevelType w:val="hybridMultilevel"/>
    <w:lvl w:ilvl="0">
      <w:lvlJc w:val="left"/>
      <w:lvlText w:val="(%1)"/>
      <w:numFmt w:val="lowerRoman"/>
      <w:start w:val="1"/>
    </w:lvl>
  </w:abstractNum>
  <w:abstractNum w:abstractNumId="53">
    <w:nsid w:val="704E1DD5"/>
    <w:multiLevelType w:val="hybridMultilevel"/>
    <w:lvl w:ilvl="0">
      <w:lvlJc w:val="left"/>
      <w:lvlText w:val="(%1)"/>
      <w:numFmt w:val="lowerRoman"/>
      <w:start w:val="2"/>
    </w:lvl>
  </w:abstractNum>
  <w:abstractNum w:abstractNumId="54">
    <w:nsid w:val="57D2F10E"/>
    <w:multiLevelType w:val="hybridMultilevel"/>
    <w:lvl w:ilvl="0">
      <w:lvlJc w:val="left"/>
      <w:lvlText w:val="(%1)"/>
      <w:numFmt w:val="lowerRoman"/>
      <w:start w:val="4"/>
    </w:lvl>
  </w:abstractNum>
  <w:abstractNum w:abstractNumId="55">
    <w:nsid w:val="BFFAE18"/>
    <w:multiLevelType w:val="hybridMultilevel"/>
    <w:lvl w:ilvl="0">
      <w:lvlJc w:val="left"/>
      <w:lvlText w:val="(%1)"/>
      <w:numFmt w:val="lowerLetter"/>
      <w:start w:val="3"/>
    </w:lvl>
    <w:lvl w:ilvl="1">
      <w:lvlJc w:val="left"/>
      <w:lvlText w:val="(%2)"/>
      <w:numFmt w:val="lowerLetter"/>
      <w:start w:val="9"/>
    </w:lvl>
  </w:abstractNum>
  <w:abstractNum w:abstractNumId="56">
    <w:nsid w:val="E3E47A8"/>
    <w:multiLevelType w:val="hybridMultilevel"/>
    <w:lvl w:ilvl="0">
      <w:lvlJc w:val="left"/>
      <w:lvlText w:val="(%1)"/>
      <w:numFmt w:val="lowerRoman"/>
      <w:start w:val="2"/>
    </w:lvl>
  </w:abstractNum>
  <w:abstractNum w:abstractNumId="57">
    <w:nsid w:val="2E48F044"/>
    <w:multiLevelType w:val="hybridMultilevel"/>
    <w:lvl w:ilvl="0">
      <w:lvlJc w:val="left"/>
      <w:lvlText w:val="%1"/>
      <w:numFmt w:val="lowerLetter"/>
      <w:start w:val="1"/>
    </w:lvl>
    <w:lvl w:ilvl="1">
      <w:lvlJc w:val="left"/>
      <w:lvlText w:val="(%2)"/>
      <w:numFmt w:val="lowerRoman"/>
      <w:start w:val="5"/>
    </w:lvl>
  </w:abstractNum>
  <w:abstractNum w:abstractNumId="58">
    <w:nsid w:val="49D0FEAC"/>
    <w:multiLevelType w:val="hybridMultilevel"/>
    <w:lvl w:ilvl="0">
      <w:lvlJc w:val="left"/>
      <w:lvlText w:val="(%1)"/>
      <w:numFmt w:val="lowerLetter"/>
      <w:start w:val="4"/>
    </w:lvl>
    <w:lvl w:ilvl="1">
      <w:lvlJc w:val="left"/>
      <w:lvlText w:val="(%2)"/>
      <w:numFmt w:val="lowerRoman"/>
      <w:start w:val="1"/>
    </w:lvl>
  </w:abstractNum>
  <w:abstractNum w:abstractNumId="59">
    <w:nsid w:val="4BEE5A5B"/>
    <w:multiLevelType w:val="hybridMultilevel"/>
    <w:lvl w:ilvl="0">
      <w:lvlJc w:val="left"/>
      <w:lvlText w:val="(%1)"/>
      <w:numFmt w:val="lowerLetter"/>
      <w:start w:val="5"/>
    </w:lvl>
    <w:lvl w:ilvl="1">
      <w:lvlJc w:val="left"/>
      <w:lvlText w:val="(%2)"/>
      <w:numFmt w:val="lowerRoman"/>
      <w:start w:val="1"/>
    </w:lvl>
  </w:abstractNum>
  <w:abstractNum w:abstractNumId="60">
    <w:nsid w:val="5551B9F3"/>
    <w:multiLevelType w:val="hybridMultilevel"/>
    <w:lvl w:ilvl="0">
      <w:lvlJc w:val="left"/>
      <w:lvlText w:val="%1"/>
      <w:numFmt w:val="upperLetter"/>
      <w:start w:val="1"/>
    </w:lvl>
    <w:lvl w:ilvl="1">
      <w:lvlJc w:val="left"/>
      <w:lvlText w:val="(%2)"/>
      <w:numFmt w:val="lowerLetter"/>
      <w:start w:val="6"/>
    </w:lvl>
    <w:lvl w:ilvl="2">
      <w:lvlJc w:val="left"/>
      <w:lvlText w:val="(%3)"/>
      <w:numFmt w:val="lowerLetter"/>
      <w:start w:val="9"/>
    </w:lvl>
  </w:abstractNum>
  <w:abstractNum w:abstractNumId="61">
    <w:nsid w:val="24F6AB8E"/>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62">
    <w:nsid w:val="634C574C"/>
    <w:multiLevelType w:val="hybridMultilevel"/>
    <w:lvl w:ilvl="0">
      <w:lvlJc w:val="left"/>
      <w:lvlText w:val="(%1)"/>
      <w:numFmt w:val="lowerRoman"/>
      <w:start w:val="2"/>
    </w:lvl>
  </w:abstractNum>
  <w:abstractNum w:abstractNumId="63">
    <w:nsid w:val="24E99DD7"/>
    <w:multiLevelType w:val="hybridMultilevel"/>
    <w:lvl w:ilvl="0">
      <w:lvlJc w:val="left"/>
      <w:lvlText w:val="(%1)"/>
      <w:numFmt w:val="lowerLetter"/>
      <w:start w:val="8"/>
    </w:lvl>
  </w:abstractNum>
  <w:abstractNum w:abstractNumId="64">
    <w:nsid w:val="2A31B62D"/>
    <w:multiLevelType w:val="hybridMultilevel"/>
    <w:lvl w:ilvl="0">
      <w:lvlJc w:val="left"/>
      <w:lvlText w:val="(%1)"/>
      <w:numFmt w:val="lowerLetter"/>
      <w:start w:val="10"/>
    </w:lvl>
  </w:abstractNum>
  <w:abstractNum w:abstractNumId="65">
    <w:nsid w:val="1849C29B"/>
    <w:multiLevelType w:val="hybridMultilevel"/>
    <w:lvl w:ilvl="0">
      <w:lvlJc w:val="left"/>
      <w:lvlText w:val="(%1)"/>
      <w:numFmt w:val="lowerLetter"/>
      <w:start w:val="1"/>
    </w:lvl>
  </w:abstractNum>
  <w:abstractNum w:abstractNumId="66">
    <w:nsid w:val="7DFF9D09"/>
    <w:multiLevelType w:val="hybridMultilevel"/>
    <w:lvl w:ilvl="0">
      <w:lvlJc w:val="left"/>
      <w:lvlText w:val="(%1)"/>
      <w:numFmt w:val="lowerLetter"/>
      <w:start w:val="2"/>
    </w:lvl>
  </w:abstractNum>
  <w:abstractNum w:abstractNumId="67">
    <w:nsid w:val="754342"/>
    <w:multiLevelType w:val="hybridMultilevel"/>
    <w:lvl w:ilvl="0">
      <w:lvlJc w:val="left"/>
      <w:lvlText w:val="(%1)"/>
      <w:numFmt w:val="lowerLetter"/>
      <w:start w:val="3"/>
    </w:lvl>
    <w:lvl w:ilvl="1">
      <w:lvlJc w:val="left"/>
      <w:lvlText w:val="(%2)"/>
      <w:numFmt w:val="lowerLetter"/>
      <w:start w:val="9"/>
    </w:lvl>
  </w:abstractNum>
  <w:abstractNum w:abstractNumId="68">
    <w:nsid w:val="69E7F3E5"/>
    <w:multiLevelType w:val="hybridMultilevel"/>
    <w:lvl w:ilvl="0">
      <w:lvlJc w:val="left"/>
      <w:lvlText w:val="%1"/>
      <w:numFmt w:val="lowerLetter"/>
      <w:start w:val="1"/>
    </w:lvl>
    <w:lvl w:ilvl="1">
      <w:lvlJc w:val="left"/>
      <w:lvlText w:val="(%2)"/>
      <w:numFmt w:val="lowerRoman"/>
      <w:start w:val="2"/>
    </w:lvl>
  </w:abstractNum>
  <w:abstractNum w:abstractNumId="69">
    <w:nsid w:val="2A6DE806"/>
    <w:multiLevelType w:val="hybridMultilevel"/>
    <w:lvl w:ilvl="0">
      <w:lvlJc w:val="left"/>
      <w:lvlText w:val="(%1)"/>
      <w:numFmt w:val="lowerLetter"/>
      <w:start w:val="4"/>
    </w:lvl>
    <w:lvl w:ilvl="1">
      <w:lvlJc w:val="left"/>
      <w:lvlText w:val="(%2)"/>
      <w:numFmt w:val="lowerRoman"/>
      <w:start w:val="1"/>
    </w:lvl>
  </w:abstractNum>
  <w:abstractNum w:abstractNumId="70">
    <w:nsid w:val="1816F8C4"/>
    <w:multiLevelType w:val="hybridMultilevel"/>
    <w:lvl w:ilvl="0">
      <w:lvlJc w:val="left"/>
      <w:lvlText w:val="%1"/>
      <w:numFmt w:val="lowerLetter"/>
      <w:start w:val="1"/>
    </w:lvl>
    <w:lvl w:ilvl="1">
      <w:lvlJc w:val="left"/>
      <w:lvlText w:val="(%2)"/>
      <w:numFmt w:val="lowerLetter"/>
      <w:start w:val="35"/>
    </w:lvl>
  </w:abstractNum>
  <w:abstractNum w:abstractNumId="71">
    <w:nsid w:val="37DF2233"/>
    <w:multiLevelType w:val="hybridMultilevel"/>
    <w:lvl w:ilvl="0">
      <w:lvlJc w:val="left"/>
      <w:lvlText w:val="(%1)"/>
      <w:numFmt w:val="lowerLetter"/>
      <w:start w:val="5"/>
    </w:lvl>
    <w:lvl w:ilvl="1">
      <w:lvlJc w:val="left"/>
      <w:lvlText w:val="%2"/>
      <w:numFmt w:val="lowerLetter"/>
      <w:start w:val="1"/>
    </w:lvl>
  </w:abstractNum>
  <w:abstractNum w:abstractNumId="72">
    <w:nsid w:val="7AB49DAF"/>
    <w:multiLevelType w:val="hybridMultilevel"/>
    <w:lvl w:ilvl="0">
      <w:lvlJc w:val="left"/>
      <w:lvlText w:val="(%1)"/>
      <w:numFmt w:val="lowerLetter"/>
      <w:start w:val="1"/>
    </w:lvl>
  </w:abstractNum>
  <w:abstractNum w:abstractNumId="73">
    <w:nsid w:val="759F82CD"/>
    <w:multiLevelType w:val="hybridMultilevel"/>
    <w:lvl w:ilvl="0">
      <w:lvlJc w:val="left"/>
      <w:lvlText w:val="(%1)"/>
      <w:numFmt w:val="lowerLetter"/>
      <w:start w:val="1"/>
    </w:lvl>
  </w:abstractNum>
  <w:abstractNum w:abstractNumId="74">
    <w:nsid w:val="61E74EA3"/>
    <w:multiLevelType w:val="hybridMultilevel"/>
    <w:lvl w:ilvl="0">
      <w:lvlJc w:val="left"/>
      <w:lvlText w:val="(%1)"/>
      <w:numFmt w:val="lowerLetter"/>
      <w:start w:val="2"/>
    </w:lvl>
  </w:abstractNum>
  <w:abstractNum w:abstractNumId="75">
    <w:nsid w:val="597B4D84"/>
    <w:multiLevelType w:val="hybridMultilevel"/>
    <w:lvl w:ilvl="0">
      <w:lvlJc w:val="left"/>
      <w:lvlText w:val="(%1)"/>
      <w:numFmt w:val="lowerRoman"/>
      <w:start w:val="1"/>
    </w:lvl>
  </w:abstractNum>
  <w:abstractNum w:abstractNumId="76">
    <w:nsid w:val="F819E7F"/>
    <w:multiLevelType w:val="hybridMultilevel"/>
    <w:lvl w:ilvl="0">
      <w:lvlJc w:val="left"/>
      <w:lvlText w:val="%1"/>
      <w:numFmt w:val="lowerLetter"/>
      <w:start w:val="1"/>
    </w:lvl>
    <w:lvl w:ilvl="1">
      <w:lvlJc w:val="left"/>
      <w:lvlText w:val="(%2)"/>
      <w:numFmt w:val="lowerLetter"/>
      <w:start w:val="35"/>
    </w:lvl>
  </w:abstractNum>
  <w:abstractNum w:abstractNumId="77">
    <w:nsid w:val="57C7D42D"/>
    <w:multiLevelType w:val="hybridMultilevel"/>
    <w:lvl w:ilvl="0">
      <w:lvlJc w:val="left"/>
      <w:lvlText w:val="(%1)"/>
      <w:numFmt w:val="lowerLetter"/>
      <w:start w:val="6"/>
    </w:lvl>
    <w:lvl w:ilvl="1">
      <w:lvlJc w:val="left"/>
      <w:lvlText w:val="%2"/>
      <w:numFmt w:val="lowerLetter"/>
      <w:start w:val="1"/>
    </w:lvl>
  </w:abstractNum>
  <w:abstractNum w:abstractNumId="78">
    <w:nsid w:val="312167AD"/>
    <w:multiLevelType w:val="hybridMultilevel"/>
    <w:lvl w:ilvl="0">
      <w:lvlJc w:val="left"/>
      <w:lvlText w:val="(%1)"/>
      <w:numFmt w:val="lowerLetter"/>
      <w:start w:val="1"/>
    </w:lvl>
  </w:abstractNum>
  <w:abstractNum w:abstractNumId="79">
    <w:nsid w:val="631B64D4"/>
    <w:multiLevelType w:val="hybridMultilevel"/>
    <w:lvl w:ilvl="0">
      <w:lvlJc w:val="left"/>
      <w:lvlText w:val="(%1)"/>
      <w:numFmt w:val="lowerLetter"/>
      <w:start w:val="2"/>
    </w:lvl>
  </w:abstractNum>
  <w:abstractNum w:abstractNumId="80">
    <w:nsid w:val="78B5E776"/>
    <w:multiLevelType w:val="hybridMultilevel"/>
    <w:lvl w:ilvl="0">
      <w:lvlJc w:val="left"/>
      <w:lvlText w:val="(%1)"/>
      <w:numFmt w:val="lowerLetter"/>
      <w:start w:val="3"/>
    </w:lvl>
  </w:abstractNum>
  <w:abstractNum w:abstractNumId="81">
    <w:nsid w:val="75486E47"/>
    <w:multiLevelType w:val="hybridMultilevel"/>
    <w:lvl w:ilvl="0">
      <w:lvlJc w:val="left"/>
      <w:lvlText w:val="(%1)"/>
      <w:numFmt w:val="lowerLetter"/>
      <w:start w:val="1"/>
    </w:lvl>
  </w:abstractNum>
  <w:abstractNum w:abstractNumId="82">
    <w:nsid w:val="6E534CDE"/>
    <w:multiLevelType w:val="hybridMultilevel"/>
    <w:lvl w:ilvl="0">
      <w:lvlJc w:val="left"/>
      <w:lvlText w:val="(%1)"/>
      <w:numFmt w:val="lowerLetter"/>
      <w:start w:val="2"/>
    </w:lvl>
    <w:lvl w:ilvl="1">
      <w:lvlJc w:val="left"/>
      <w:lvlText w:val="(%2)"/>
      <w:numFmt w:val="lowerRoman"/>
      <w:start w:val="1"/>
    </w:lvl>
  </w:abstractNum>
  <w:abstractNum w:abstractNumId="83">
    <w:nsid w:val="1A0DDE32"/>
    <w:multiLevelType w:val="hybridMultilevel"/>
    <w:lvl w:ilvl="0">
      <w:lvlJc w:val="left"/>
      <w:lvlText w:val="(%1)"/>
      <w:numFmt w:val="lowerLetter"/>
      <w:start w:val="3"/>
    </w:lvl>
    <w:lvl w:ilvl="1">
      <w:lvlJc w:val="left"/>
      <w:lvlText w:val="(%2)"/>
      <w:numFmt w:val="lowerRoman"/>
      <w:start w:val="1"/>
    </w:lvl>
  </w:abstractNum>
  <w:abstractNum w:abstractNumId="84">
    <w:nsid w:val="65968C1C"/>
    <w:multiLevelType w:val="hybridMultilevel"/>
    <w:lvl w:ilvl="0">
      <w:lvlJc w:val="left"/>
      <w:lvlText w:val="(%1)"/>
      <w:numFmt w:val="lowerLetter"/>
      <w:start w:val="4"/>
    </w:lvl>
  </w:abstractNum>
  <w:abstractNum w:abstractNumId="85">
    <w:nsid w:val="46263DEC"/>
    <w:multiLevelType w:val="hybridMultilevel"/>
    <w:lvl w:ilvl="0">
      <w:lvlJc w:val="left"/>
      <w:lvlText w:val="(%1)"/>
      <w:numFmt w:val="lowerLetter"/>
      <w:start w:val="1"/>
    </w:lvl>
  </w:abstractNum>
  <w:abstractNum w:abstractNumId="86">
    <w:nsid w:val="260D8C4A"/>
    <w:multiLevelType w:val="hybridMultilevel"/>
    <w:lvl w:ilvl="0">
      <w:lvlJc w:val="left"/>
      <w:lvlText w:val="(%1)"/>
      <w:numFmt w:val="lowerLetter"/>
      <w:start w:val="1"/>
    </w:lvl>
  </w:abstractNum>
  <w:abstractNum w:abstractNumId="87">
    <w:nsid w:val="73D4D3C4"/>
    <w:multiLevelType w:val="hybridMultilevel"/>
    <w:lvl w:ilvl="0">
      <w:lvlJc w:val="left"/>
      <w:lvlText w:val="(%1)"/>
      <w:numFmt w:val="lowerLetter"/>
      <w:start w:val="3"/>
    </w:lvl>
  </w:abstractNum>
  <w:abstractNum w:abstractNumId="88">
    <w:nsid w:val="746F2E30"/>
    <w:multiLevelType w:val="hybridMultilevel"/>
    <w:lvl w:ilvl="0">
      <w:lvlJc w:val="left"/>
      <w:lvlText w:val="(%1)"/>
      <w:numFmt w:val="lowerLetter"/>
      <w:start w:val="1"/>
    </w:lvl>
  </w:abstractNum>
  <w:abstractNum w:abstractNumId="89">
    <w:nsid w:val="6FDE8AF6"/>
    <w:multiLevelType w:val="hybridMultilevel"/>
    <w:lvl w:ilvl="0">
      <w:lvlJc w:val="left"/>
      <w:lvlText w:val="(%1)"/>
      <w:numFmt w:val="lowerLetter"/>
      <w:start w:val="2"/>
    </w:lvl>
  </w:abstractNum>
  <w:abstractNum w:abstractNumId="90">
    <w:nsid w:val="3FC32E20"/>
    <w:multiLevelType w:val="hybridMultilevel"/>
    <w:lvl w:ilvl="0">
      <w:lvlJc w:val="left"/>
      <w:lvlText w:val="(%1)"/>
      <w:numFmt w:val="lowerLetter"/>
      <w:start w:val="1"/>
    </w:lvl>
  </w:abstractNum>
  <w:abstractNum w:abstractNumId="91">
    <w:nsid w:val="49C0E823"/>
    <w:multiLevelType w:val="hybridMultilevel"/>
    <w:lvl w:ilvl="0">
      <w:lvlJc w:val="left"/>
      <w:lvlText w:val="(%1)"/>
      <w:numFmt w:val="lowerLetter"/>
      <w:start w:val="2"/>
    </w:lvl>
  </w:abstractNum>
  <w:abstractNum w:abstractNumId="92">
    <w:nsid w:val="14D53685"/>
    <w:multiLevelType w:val="hybridMultilevel"/>
    <w:lvl w:ilvl="0">
      <w:lvlJc w:val="left"/>
      <w:lvlText w:val="(%1)"/>
      <w:numFmt w:val="lowerLetter"/>
      <w:start w:val="1"/>
    </w:lvl>
    <w:lvl w:ilvl="1">
      <w:lvlJc w:val="left"/>
      <w:lvlText w:val="(%2)"/>
      <w:numFmt w:val="lowerRoman"/>
      <w:start w:val="1"/>
    </w:lvl>
  </w:abstractNum>
  <w:abstractNum w:abstractNumId="93">
    <w:nsid w:val="230F856C"/>
    <w:multiLevelType w:val="hybridMultilevel"/>
    <w:lvl w:ilvl="0">
      <w:lvlJc w:val="left"/>
      <w:lvlText w:val="(%1)"/>
      <w:numFmt w:val="lowerRoman"/>
      <w:start w:val="3"/>
    </w:lvl>
  </w:abstractNum>
  <w:abstractNum w:abstractNumId="94">
    <w:nsid w:val="6EAA85FB"/>
    <w:multiLevelType w:val="hybridMultilevel"/>
    <w:lvl w:ilvl="0">
      <w:lvlJc w:val="left"/>
      <w:lvlText w:val="(%1)"/>
      <w:numFmt w:val="lowerLetter"/>
      <w:start w:val="4"/>
    </w:lvl>
  </w:abstractNum>
  <w:abstractNum w:abstractNumId="95">
    <w:nsid w:val="3F06ECB2"/>
    <w:multiLevelType w:val="hybridMultilevel"/>
    <w:lvl w:ilvl="0">
      <w:lvlJc w:val="left"/>
      <w:lvlText w:val="(%1)"/>
      <w:numFmt w:val="lowerLetter"/>
      <w:start w:val="10"/>
    </w:lvl>
  </w:abstractNum>
  <w:abstractNum w:abstractNumId="96">
    <w:nsid w:val="3B594807"/>
    <w:multiLevelType w:val="hybridMultilevel"/>
    <w:lvl w:ilvl="0">
      <w:lvlJc w:val="left"/>
      <w:lvlText w:val="(%1)"/>
      <w:numFmt w:val="lowerLetter"/>
      <w:start w:val="1"/>
    </w:lvl>
  </w:abstractNum>
  <w:abstractNum w:abstractNumId="97">
    <w:nsid w:val="6CAA2304"/>
    <w:multiLevelType w:val="hybridMultilevel"/>
    <w:lvl w:ilvl="0">
      <w:lvlJc w:val="left"/>
      <w:lvlText w:val="(%1)"/>
      <w:numFmt w:val="lowerLetter"/>
      <w:start w:val="1"/>
    </w:lvl>
  </w:abstractNum>
  <w:abstractNum w:abstractNumId="98">
    <w:nsid w:val="3F7C2FF4"/>
    <w:multiLevelType w:val="hybridMultilevel"/>
    <w:lvl w:ilvl="0">
      <w:lvlJc w:val="left"/>
      <w:lvlText w:val="(%1)"/>
      <w:numFmt w:val="lowerLetter"/>
      <w:start w:val="2"/>
    </w:lvl>
  </w:abstractNum>
  <w:abstractNum w:abstractNumId="99">
    <w:nsid w:val="25413BEC"/>
    <w:multiLevelType w:val="hybridMultilevel"/>
    <w:lvl w:ilvl="0">
      <w:lvlJc w:val="left"/>
      <w:lvlText w:val="(%1)"/>
      <w:numFmt w:val="lowerLetter"/>
      <w:start w:val="3"/>
    </w:lvl>
  </w:abstractNum>
  <w:abstractNum w:abstractNumId="100">
    <w:nsid w:val="17180B0B"/>
    <w:multiLevelType w:val="hybridMultilevel"/>
    <w:lvl w:ilvl="0">
      <w:lvlJc w:val="left"/>
      <w:lvlText w:val="(%1)"/>
      <w:numFmt w:val="lowerLetter"/>
      <w:start w:val="1"/>
    </w:lvl>
  </w:abstractNum>
  <w:abstractNum w:abstractNumId="101">
    <w:nsid w:val="579328B9"/>
    <w:multiLevelType w:val="hybridMultilevel"/>
    <w:lvl w:ilvl="0">
      <w:lvlJc w:val="left"/>
      <w:lvlText w:val="(%1)"/>
      <w:numFmt w:val="lowerLetter"/>
      <w:start w:val="1"/>
    </w:lvl>
  </w:abstractNum>
  <w:abstractNum w:abstractNumId="102">
    <w:nsid w:val="5D205E20"/>
    <w:multiLevelType w:val="hybridMultilevel"/>
    <w:lvl w:ilvl="0">
      <w:lvlJc w:val="left"/>
      <w:lvlText w:val="(%1)"/>
      <w:numFmt w:val="lowerLetter"/>
      <w:start w:val="3"/>
    </w:lvl>
  </w:abstractNum>
  <w:abstractNum w:abstractNumId="103">
    <w:nsid w:val="11CCA8BA"/>
    <w:multiLevelType w:val="hybridMultilevel"/>
    <w:lvl w:ilvl="0">
      <w:lvlJc w:val="left"/>
      <w:lvlText w:val="(%1)"/>
      <w:numFmt w:val="lowerLetter"/>
      <w:start w:val="7"/>
    </w:lvl>
  </w:abstractNum>
  <w:abstractNum w:abstractNumId="104">
    <w:nsid w:val="4D32AB86"/>
    <w:multiLevelType w:val="hybridMultilevel"/>
    <w:lvl w:ilvl="0">
      <w:lvlJc w:val="left"/>
      <w:lvlText w:val="(%1)"/>
      <w:numFmt w:val="lowerLetter"/>
      <w:start w:val="1"/>
    </w:lvl>
  </w:abstractNum>
  <w:abstractNum w:abstractNumId="105">
    <w:nsid w:val="3F07ACC3"/>
    <w:multiLevelType w:val="hybridMultilevel"/>
    <w:lvl w:ilvl="0">
      <w:lvlJc w:val="left"/>
      <w:lvlText w:val="(%1)"/>
      <w:numFmt w:val="lowerLetter"/>
      <w:start w:val="9"/>
    </w:lvl>
  </w:abstractNum>
  <w:abstractNum w:abstractNumId="106">
    <w:nsid w:val="6B47F63E"/>
    <w:multiLevelType w:val="hybridMultilevel"/>
    <w:lvl w:ilvl="0">
      <w:lvlJc w:val="left"/>
      <w:lvlText w:val="(%1)"/>
      <w:numFmt w:val="lowerLetter"/>
      <w:start w:val="15"/>
    </w:lvl>
  </w:abstractNum>
  <w:abstractNum w:abstractNumId="107">
    <w:nsid w:val="5CB44A05"/>
    <w:multiLevelType w:val="hybridMultilevel"/>
    <w:lvl w:ilvl="0">
      <w:lvlJc w:val="left"/>
      <w:lvlText w:val="(%1)"/>
      <w:numFmt w:val="lowerRoman"/>
      <w:start w:val="1"/>
    </w:lvl>
  </w:abstractNum>
  <w:abstractNum w:abstractNumId="108">
    <w:nsid w:val="16CF80F1"/>
    <w:multiLevelType w:val="hybridMultilevel"/>
    <w:lvl w:ilvl="0">
      <w:lvlJc w:val="left"/>
      <w:lvlText w:val="(%1)"/>
      <w:numFmt w:val="upperLetter"/>
      <w:start w:val="1"/>
    </w:lvl>
  </w:abstractNum>
  <w:abstractNum w:abstractNumId="109">
    <w:nsid w:val="1C695DEC"/>
    <w:multiLevelType w:val="hybridMultilevel"/>
    <w:lvl w:ilvl="0">
      <w:lvlJc w:val="left"/>
      <w:lvlText w:val="(%1)"/>
      <w:numFmt w:val="lowerLetter"/>
      <w:start w:val="9"/>
    </w:lvl>
    <w:lvl w:ilvl="1">
      <w:lvlJc w:val="left"/>
      <w:lvlText w:val="(%2)"/>
      <w:numFmt w:val="lowerLetter"/>
      <w:start w:val="1"/>
    </w:lvl>
  </w:abstractNum>
  <w:abstractNum w:abstractNumId="110">
    <w:nsid w:val="3FCFAED9"/>
    <w:multiLevelType w:val="hybridMultilevel"/>
    <w:lvl w:ilvl="0">
      <w:lvlJc w:val="left"/>
      <w:lvlText w:val="(%1)"/>
      <w:numFmt w:val="lowerRoman"/>
      <w:start w:val="2"/>
    </w:lvl>
  </w:abstractNum>
  <w:abstractNum w:abstractNumId="111">
    <w:nsid w:val="F856867"/>
    <w:multiLevelType w:val="hybridMultilevel"/>
    <w:lvl w:ilvl="0">
      <w:lvlJc w:val="left"/>
      <w:lvlText w:val="(%1)"/>
      <w:numFmt w:val="lowerLetter"/>
      <w:start w:val="1"/>
    </w:lvl>
  </w:abstractNum>
  <w:abstractNum w:abstractNumId="112">
    <w:nsid w:val="11B1CC33"/>
    <w:multiLevelType w:val="hybridMultilevel"/>
    <w:lvl w:ilvl="0">
      <w:lvlJc w:val="left"/>
      <w:lvlText w:val="(%1)"/>
      <w:numFmt w:val="lowerLetter"/>
      <w:start w:val="3"/>
    </w:lvl>
  </w:abstractNum>
  <w:abstractNum w:abstractNumId="113">
    <w:nsid w:val="2E22FBB7"/>
    <w:multiLevelType w:val="hybridMultilevel"/>
    <w:lvl w:ilvl="0">
      <w:lvlJc w:val="left"/>
      <w:lvlText w:val="(%1)"/>
      <w:numFmt w:val="lowerLetter"/>
      <w:start w:val="1"/>
    </w:lvl>
  </w:abstractNum>
  <w:abstractNum w:abstractNumId="114">
    <w:nsid w:val="29934699"/>
    <w:multiLevelType w:val="hybridMultilevel"/>
    <w:lvl w:ilvl="0">
      <w:lvlJc w:val="left"/>
      <w:lvlText w:val="(%1)"/>
      <w:numFmt w:val="lowerLetter"/>
      <w:start w:val="7"/>
    </w:lvl>
    <w:lvl w:ilvl="1">
      <w:lvlJc w:val="left"/>
      <w:lvlText w:val="(%2)"/>
      <w:numFmt w:val="lowerLetter"/>
      <w:start w:val="9"/>
    </w:lvl>
  </w:abstractNum>
  <w:abstractNum w:abstractNumId="115">
    <w:nsid w:val="77485850"/>
    <w:multiLevelType w:val="hybridMultilevel"/>
    <w:lvl w:ilvl="0">
      <w:lvlJc w:val="left"/>
      <w:lvlText w:val="%1"/>
      <w:numFmt w:val="lowerRoman"/>
      <w:start w:val="1"/>
    </w:lvl>
    <w:lvl w:ilvl="1">
      <w:lvlJc w:val="left"/>
      <w:lvlText w:val="(%2)"/>
      <w:numFmt w:val="lowerRoman"/>
      <w:start w:val="2"/>
    </w:lvl>
  </w:abstractNum>
  <w:abstractNum w:abstractNumId="116">
    <w:nsid w:val="744939A3"/>
    <w:multiLevelType w:val="hybridMultilevel"/>
    <w:lvl w:ilvl="0">
      <w:lvlJc w:val="left"/>
      <w:lvlText w:val="(%1)"/>
      <w:numFmt w:val="lowerRoman"/>
      <w:start w:val="1"/>
    </w:lvl>
    <w:lvl w:ilvl="1">
      <w:lvlJc w:val="left"/>
      <w:lvlText w:val="(%2)"/>
      <w:numFmt w:val="lowerRoman"/>
      <w:start w:val="1"/>
    </w:lvl>
  </w:abstractNum>
  <w:abstractNum w:abstractNumId="117">
    <w:nsid w:val="4FA0D2E3"/>
    <w:multiLevelType w:val="hybridMultilevel"/>
    <w:lvl w:ilvl="0">
      <w:lvlJc w:val="left"/>
      <w:lvlText w:val="(%1)"/>
      <w:numFmt w:val="lowerLetter"/>
      <w:start w:val="10"/>
    </w:lvl>
  </w:abstractNum>
  <w:abstractNum w:abstractNumId="118">
    <w:nsid w:val="6B1D2C14"/>
    <w:multiLevelType w:val="hybridMultilevel"/>
    <w:lvl w:ilvl="0">
      <w:lvlJc w:val="left"/>
      <w:lvlText w:val="(%1)"/>
      <w:numFmt w:val="lowerLetter"/>
      <w:start w:val="1"/>
    </w:lvl>
  </w:abstractNum>
  <w:abstractNum w:abstractNumId="119">
    <w:nsid w:val="68B867D3"/>
    <w:multiLevelType w:val="hybridMultilevel"/>
    <w:lvl w:ilvl="0">
      <w:lvlJc w:val="left"/>
      <w:lvlText w:val="(%1)"/>
      <w:numFmt w:val="lowerLetter"/>
      <w:start w:val="1"/>
    </w:lvl>
    <w:lvl w:ilvl="1">
      <w:lvlJc w:val="left"/>
      <w:lvlText w:val="(%2)"/>
      <w:numFmt w:val="lowerRoman"/>
      <w:start w:val="1"/>
    </w:lvl>
  </w:abstractNum>
  <w:abstractNum w:abstractNumId="120">
    <w:nsid w:val="3F7F5DD9"/>
    <w:multiLevelType w:val="hybridMultilevel"/>
    <w:lvl w:ilvl="0">
      <w:lvlJc w:val="left"/>
      <w:lvlText w:val="(%1)"/>
      <w:numFmt w:val="lowerRoman"/>
      <w:start w:val="5"/>
    </w:lvl>
  </w:abstractNum>
  <w:abstractNum w:abstractNumId="121">
    <w:nsid w:val="2AE05A34"/>
    <w:multiLevelType w:val="hybridMultilevel"/>
    <w:lvl w:ilvl="0">
      <w:lvlJc w:val="left"/>
      <w:lvlText w:val="(%1)"/>
      <w:numFmt w:val="lowerLetter"/>
      <w:start w:val="2"/>
    </w:lvl>
  </w:abstractNum>
  <w:abstractNum w:abstractNumId="122">
    <w:nsid w:val="32794FF7"/>
    <w:multiLevelType w:val="hybridMultilevel"/>
    <w:lvl w:ilvl="0">
      <w:lvlJc w:val="left"/>
      <w:lvlText w:val="(%1)"/>
      <w:numFmt w:val="lowerLetter"/>
      <w:start w:val="3"/>
    </w:lvl>
  </w:abstractNum>
  <w:abstractNum w:abstractNumId="123">
    <w:nsid w:val="5454945E"/>
    <w:multiLevelType w:val="hybridMultilevel"/>
    <w:lvl w:ilvl="0">
      <w:lvlJc w:val="left"/>
      <w:lvlText w:val="(%1)"/>
      <w:numFmt w:val="lowerLetter"/>
      <w:start w:val="5"/>
    </w:lvl>
  </w:abstractNum>
  <w:abstractNum w:abstractNumId="124">
    <w:nsid w:val="4DEFDFA0"/>
    <w:multiLevelType w:val="hybridMultilevel"/>
    <w:lvl w:ilvl="0">
      <w:lvlJc w:val="left"/>
      <w:lvlText w:val="(%1)"/>
      <w:numFmt w:val="lowerLetter"/>
      <w:start w:val="1"/>
    </w:lvl>
    <w:lvl w:ilvl="1">
      <w:lvlJc w:val="left"/>
      <w:lvlText w:val="(%2)"/>
      <w:numFmt w:val="lowerRoman"/>
      <w:start w:val="1"/>
    </w:lvl>
  </w:abstractNum>
  <w:abstractNum w:abstractNumId="125">
    <w:nsid w:val="2123D5F2"/>
    <w:multiLevelType w:val="hybridMultilevel"/>
    <w:lvl w:ilvl="0">
      <w:lvlJc w:val="left"/>
      <w:lvlText w:val="(%1)"/>
      <w:numFmt w:val="lowerLetter"/>
      <w:start w:val="2"/>
    </w:lvl>
  </w:abstractNum>
  <w:abstractNum w:abstractNumId="126">
    <w:nsid w:val="135B8110"/>
    <w:multiLevelType w:val="hybridMultilevel"/>
    <w:lvl w:ilvl="0">
      <w:lvlJc w:val="left"/>
      <w:lvlText w:val="(%1)"/>
      <w:numFmt w:val="lowerLetter"/>
      <w:start w:val="3"/>
    </w:lvl>
  </w:abstractNum>
  <w:abstractNum w:abstractNumId="127">
    <w:nsid w:val="94927A8"/>
    <w:multiLevelType w:val="hybridMultilevel"/>
    <w:lvl w:ilvl="0">
      <w:lvlJc w:val="left"/>
      <w:lvlText w:val="(%1)"/>
      <w:numFmt w:val="lowerLetter"/>
      <w:start w:val="1"/>
    </w:lvl>
  </w:abstractNum>
  <w:abstractNum w:abstractNumId="128">
    <w:nsid w:val="DCDF8F6"/>
    <w:multiLevelType w:val="hybridMultilevel"/>
    <w:lvl w:ilvl="0">
      <w:lvlJc w:val="left"/>
      <w:lvlText w:val="(%1)"/>
      <w:numFmt w:val="lowerLetter"/>
      <w:start w:val="3"/>
    </w:lvl>
  </w:abstractNum>
  <w:abstractNum w:abstractNumId="129">
    <w:nsid w:val="52D7B105"/>
    <w:multiLevelType w:val="hybridMultilevel"/>
    <w:lvl w:ilvl="0">
      <w:lvlJc w:val="left"/>
      <w:lvlText w:val="(%1)"/>
      <w:numFmt w:val="lowerLetter"/>
      <w:start w:val="4"/>
    </w:lvl>
  </w:abstractNum>
  <w:abstractNum w:abstractNumId="130">
    <w:nsid w:val="2E8A6394"/>
    <w:multiLevelType w:val="hybridMultilevel"/>
    <w:lvl w:ilvl="0">
      <w:lvlJc w:val="left"/>
      <w:lvlText w:val="(%1)"/>
      <w:numFmt w:val="lowerLetter"/>
      <w:start w:val="1"/>
    </w:lvl>
  </w:abstractNum>
  <w:abstractNum w:abstractNumId="131">
    <w:nsid w:val="24E60401"/>
    <w:multiLevelType w:val="hybridMultilevel"/>
    <w:lvl w:ilvl="0">
      <w:lvlJc w:val="left"/>
      <w:lvlText w:val="(%1)"/>
      <w:numFmt w:val="lowerLetter"/>
      <w:start w:val="2"/>
    </w:lvl>
    <w:lvl w:ilvl="1">
      <w:lvlJc w:val="left"/>
      <w:lvlText w:val="(%2)"/>
      <w:numFmt w:val="lowerRoman"/>
      <w:start w:val="1"/>
    </w:lvl>
  </w:abstractNum>
  <w:abstractNum w:abstractNumId="132">
    <w:nsid w:val="2A6AD9BE"/>
    <w:multiLevelType w:val="hybridMultilevel"/>
    <w:lvl w:ilvl="0">
      <w:lvlJc w:val="left"/>
      <w:lvlText w:val="(%1)"/>
      <w:numFmt w:val="lowerLetter"/>
      <w:start w:val="3"/>
    </w:lvl>
  </w:abstractNum>
  <w:abstractNum w:abstractNumId="133">
    <w:nsid w:val="BAAC1B4"/>
    <w:multiLevelType w:val="hybridMultilevel"/>
    <w:lvl w:ilvl="0">
      <w:lvlJc w:val="left"/>
      <w:lvlText w:val="(%1)"/>
      <w:numFmt w:val="lowerLetter"/>
      <w:start w:val="5"/>
    </w:lvl>
  </w:abstractNum>
  <w:abstractNum w:abstractNumId="134">
    <w:nsid w:val="36B2ACBC"/>
    <w:multiLevelType w:val="hybridMultilevel"/>
    <w:lvl w:ilvl="0">
      <w:lvlJc w:val="left"/>
      <w:lvlText w:val="(%1)"/>
      <w:numFmt w:val="lowerLetter"/>
      <w:start w:val="8"/>
    </w:lvl>
  </w:abstractNum>
  <w:abstractNum w:abstractNumId="135">
    <w:nsid w:val="779D8544"/>
    <w:multiLevelType w:val="hybridMultilevel"/>
    <w:lvl w:ilvl="0">
      <w:lvlJc w:val="left"/>
      <w:lvlText w:val="(%1)"/>
      <w:numFmt w:val="lowerLetter"/>
      <w:start w:val="3"/>
    </w:lvl>
  </w:abstractNum>
  <w:abstractNum w:abstractNumId="136">
    <w:nsid w:val="4AB26E78"/>
    <w:multiLevelType w:val="hybridMultilevel"/>
    <w:lvl w:ilvl="0">
      <w:lvlJc w:val="left"/>
      <w:lvlText w:val="(%1)"/>
      <w:numFmt w:val="upperLetter"/>
      <w:start w:val="1"/>
    </w:lvl>
  </w:abstractNum>
  <w:abstractNum w:abstractNumId="137">
    <w:nsid w:val="21FAA2FA"/>
    <w:multiLevelType w:val="hybridMultilevel"/>
    <w:lvl w:ilvl="0">
      <w:lvlJc w:val="left"/>
      <w:lvlText w:val="%1"/>
      <w:numFmt w:val="lowerLetter"/>
      <w:start w:val="1"/>
    </w:lvl>
    <w:lvl w:ilvl="1">
      <w:lvlJc w:val="left"/>
      <w:lvlText w:val="(%2)"/>
      <w:numFmt w:val="lowerLetter"/>
      <w:start w:val="1"/>
    </w:lvl>
  </w:abstractNum>
  <w:abstractNum w:abstractNumId="138">
    <w:nsid w:val="5451CF49"/>
    <w:multiLevelType w:val="hybridMultilevel"/>
    <w:lvl w:ilvl="0">
      <w:lvlJc w:val="left"/>
      <w:lvlText w:val="(%1)"/>
      <w:numFmt w:val="lowerLetter"/>
      <w:start w:val="4"/>
    </w:lvl>
    <w:lvl w:ilvl="1">
      <w:lvlJc w:val="left"/>
      <w:lvlText w:val="%2"/>
      <w:numFmt w:val="lowerLetter"/>
      <w:start w:val="1"/>
    </w:lvl>
  </w:abstractNum>
  <w:abstractNum w:abstractNumId="139">
    <w:nsid w:val="6181EF69"/>
    <w:multiLevelType w:val="hybridMultilevel"/>
    <w:lvl w:ilvl="0">
      <w:lvlJc w:val="left"/>
      <w:lvlText w:val="(%1)"/>
      <w:numFmt w:val="lowerRoman"/>
      <w:start w:val="1"/>
    </w:lvl>
  </w:abstractNum>
  <w:abstractNum w:abstractNumId="140">
    <w:nsid w:val="3E6400E6"/>
    <w:multiLevelType w:val="hybridMultilevel"/>
    <w:lvl w:ilvl="0">
      <w:lvlJc w:val="left"/>
      <w:lvlText w:val="(%1)"/>
      <w:numFmt w:val="lowerLetter"/>
      <w:start w:val="1"/>
    </w:lvl>
  </w:abstractNum>
  <w:abstractNum w:abstractNumId="141">
    <w:nsid w:val="14217E23"/>
    <w:multiLevelType w:val="hybridMultilevel"/>
    <w:lvl w:ilvl="0">
      <w:lvlJc w:val="left"/>
      <w:lvlText w:val="(%1)"/>
      <w:numFmt w:val="lowerLetter"/>
      <w:start w:val="1"/>
    </w:lvl>
  </w:abstractNum>
  <w:abstractNum w:abstractNumId="142">
    <w:nsid w:val="710757D0"/>
    <w:multiLevelType w:val="hybridMultilevel"/>
    <w:lvl w:ilvl="0">
      <w:lvlJc w:val="left"/>
      <w:lvlText w:val="(%1)"/>
      <w:numFmt w:val="lowerLetter"/>
      <w:start w:val="3"/>
    </w:lvl>
  </w:abstractNum>
  <w:abstractNum w:abstractNumId="143">
    <w:nsid w:val="5015CD1A"/>
    <w:multiLevelType w:val="hybridMultilevel"/>
    <w:lvl w:ilvl="0">
      <w:lvlJc w:val="left"/>
      <w:lvlText w:val="(%1)"/>
      <w:numFmt w:val="lowerLetter"/>
      <w:start w:val="1"/>
    </w:lvl>
  </w:abstractNum>
  <w:abstractNum w:abstractNumId="144">
    <w:nsid w:val="424479DA"/>
    <w:multiLevelType w:val="hybridMultilevel"/>
    <w:lvl w:ilvl="0">
      <w:lvlJc w:val="left"/>
      <w:lvlText w:val="(%1)"/>
      <w:numFmt w:val="lowerLetter"/>
      <w:start w:val="1"/>
    </w:lvl>
  </w:abstractNum>
  <w:abstractNum w:abstractNumId="145">
    <w:nsid w:val="1A9A9E69"/>
    <w:multiLevelType w:val="hybridMultilevel"/>
    <w:lvl w:ilvl="0">
      <w:lvlJc w:val="left"/>
      <w:lvlText w:val="(%1)"/>
      <w:numFmt w:val="lowerLetter"/>
      <w:start w:val="1"/>
    </w:lvl>
  </w:abstractNum>
  <w:abstractNum w:abstractNumId="146">
    <w:nsid w:val="475E256A"/>
    <w:multiLevelType w:val="hybridMultilevel"/>
    <w:lvl w:ilvl="0">
      <w:lvlJc w:val="left"/>
      <w:lvlText w:val="(%1)"/>
      <w:numFmt w:val="lowerLetter"/>
      <w:start w:val="2"/>
    </w:lvl>
  </w:abstractNum>
  <w:abstractNum w:abstractNumId="147">
    <w:nsid w:val="368DB37E"/>
    <w:multiLevelType w:val="hybridMultilevel"/>
    <w:lvl w:ilvl="0">
      <w:lvlJc w:val="left"/>
      <w:lvlText w:val="(%1)"/>
      <w:numFmt w:val="lowerRoman"/>
      <w:start w:val="1"/>
    </w:lvl>
  </w:abstractNum>
  <w:abstractNum w:abstractNumId="148">
    <w:nsid w:val="6A3B714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49">
    <w:nsid w:val="327B517E"/>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3"/>
    </w:lvl>
  </w:abstractNum>
  <w:abstractNum w:abstractNumId="150">
    <w:nsid w:val="1F461B51"/>
    <w:multiLevelType w:val="hybridMultilevel"/>
    <w:lvl w:ilvl="0">
      <w:lvlJc w:val="left"/>
      <w:lvlText w:val="(%1)"/>
      <w:numFmt w:val="lowerLetter"/>
      <w:start w:val="1"/>
    </w:lvl>
  </w:abstractNum>
  <w:abstractNum w:abstractNumId="151">
    <w:nsid w:val="29BACF25"/>
    <w:multiLevelType w:val="hybridMultilevel"/>
    <w:lvl w:ilvl="0">
      <w:lvlJc w:val="left"/>
      <w:lvlText w:val="(%1)"/>
      <w:numFmt w:val="lowerLetter"/>
      <w:start w:val="2"/>
    </w:lvl>
  </w:abstractNum>
  <w:abstractNum w:abstractNumId="152">
    <w:nsid w:val="5D5BABB3"/>
    <w:multiLevelType w:val="hybridMultilevel"/>
    <w:lvl w:ilvl="0">
      <w:lvlJc w:val="left"/>
      <w:lvlText w:val="(%1)"/>
      <w:numFmt w:val="lowerLetter"/>
      <w:start w:val="4"/>
    </w:lvl>
  </w:abstractNum>
  <w:abstractNum w:abstractNumId="153">
    <w:nsid w:val="51BF6B48"/>
    <w:multiLevelType w:val="hybridMultilevel"/>
    <w:lvl w:ilvl="0">
      <w:lvlJc w:val="left"/>
      <w:lvlText w:val="(%1)"/>
      <w:numFmt w:val="lowerLetter"/>
      <w:start w:val="1"/>
    </w:lvl>
  </w:abstractNum>
  <w:abstractNum w:abstractNumId="154">
    <w:nsid w:val="7E0F6384"/>
    <w:multiLevelType w:val="hybridMultilevel"/>
    <w:lvl w:ilvl="0">
      <w:lvlJc w:val="left"/>
      <w:lvlText w:val="(%1)"/>
      <w:numFmt w:val="lowerLetter"/>
      <w:start w:val="2"/>
    </w:lvl>
    <w:lvl w:ilvl="1">
      <w:lvlJc w:val="left"/>
      <w:lvlText w:val="(%2)"/>
      <w:numFmt w:val="lowerRoman"/>
      <w:start w:val="1"/>
    </w:lvl>
  </w:abstractNum>
  <w:abstractNum w:abstractNumId="155">
    <w:nsid w:val="2B4B8B53"/>
    <w:multiLevelType w:val="hybridMultilevel"/>
    <w:lvl w:ilvl="0">
      <w:lvlJc w:val="left"/>
      <w:lvlText w:val="(%1)"/>
      <w:numFmt w:val="lowerLetter"/>
      <w:start w:val="3"/>
    </w:lvl>
  </w:abstractNum>
  <w:abstractNum w:abstractNumId="156">
    <w:nsid w:val="72E3413A"/>
    <w:multiLevelType w:val="hybridMultilevel"/>
    <w:lvl w:ilvl="0">
      <w:lvlJc w:val="left"/>
      <w:lvlText w:val="(%1)"/>
      <w:numFmt w:val="lowerLetter"/>
      <w:start w:val="1"/>
    </w:lvl>
  </w:abstractNum>
  <w:abstractNum w:abstractNumId="157">
    <w:nsid w:val="116AE494"/>
    <w:multiLevelType w:val="hybridMultilevel"/>
    <w:lvl w:ilvl="0">
      <w:lvlJc w:val="left"/>
      <w:lvlText w:val="(%1)"/>
      <w:numFmt w:val="lowerLetter"/>
      <w:start w:val="1"/>
    </w:lvl>
  </w:abstractNum>
  <w:abstractNum w:abstractNumId="158">
    <w:nsid w:val="3494B2FB"/>
    <w:multiLevelType w:val="hybridMultilevel"/>
    <w:lvl w:ilvl="0">
      <w:lvlJc w:val="left"/>
      <w:lvlText w:val="(%1)"/>
      <w:numFmt w:val="lowerLetter"/>
      <w:start w:val="1"/>
    </w:lvl>
  </w:abstractNum>
  <w:abstractNum w:abstractNumId="159">
    <w:nsid w:val="B13A31"/>
    <w:multiLevelType w:val="hybridMultilevel"/>
    <w:lvl w:ilvl="0">
      <w:lvlJc w:val="left"/>
      <w:lvlText w:val="(%1)"/>
      <w:numFmt w:val="lowerLetter"/>
      <w:start w:val="1"/>
    </w:lvl>
  </w:abstractNum>
  <w:abstractNum w:abstractNumId="160">
    <w:nsid w:val="64429599"/>
    <w:multiLevelType w:val="hybridMultilevel"/>
    <w:lvl w:ilvl="0">
      <w:lvlJc w:val="left"/>
      <w:lvlText w:val="(%1)"/>
      <w:numFmt w:val="lowerLetter"/>
      <w:start w:val="2"/>
    </w:lvl>
  </w:abstractNum>
  <w:abstractNum w:abstractNumId="161">
    <w:nsid w:val="631F1690"/>
    <w:multiLevelType w:val="hybridMultilevel"/>
    <w:lvl w:ilvl="0">
      <w:lvlJc w:val="left"/>
      <w:lvlText w:val="(%1)"/>
      <w:numFmt w:val="lowerLetter"/>
      <w:start w:val="1"/>
    </w:lvl>
    <w:lvl w:ilvl="1">
      <w:lvlJc w:val="left"/>
      <w:lvlText w:val="(%2)"/>
      <w:numFmt w:val="lowerLetter"/>
      <w:start w:val="9"/>
    </w:lvl>
  </w:abstractNum>
  <w:abstractNum w:abstractNumId="162">
    <w:nsid w:val="25973E32"/>
    <w:multiLevelType w:val="hybridMultilevel"/>
    <w:lvl w:ilvl="0">
      <w:lvlJc w:val="left"/>
      <w:lvlText w:val="%1"/>
      <w:numFmt w:val="lowerLetter"/>
      <w:start w:val="1"/>
    </w:lvl>
    <w:lvl w:ilvl="1">
      <w:lvlJc w:val="left"/>
      <w:lvlText w:val="(%2)"/>
      <w:numFmt w:val="lowerRoman"/>
      <w:start w:val="2"/>
    </w:lvl>
  </w:abstractNum>
  <w:abstractNum w:abstractNumId="163">
    <w:nsid w:val="EAD6F57"/>
    <w:multiLevelType w:val="hybridMultilevel"/>
    <w:lvl w:ilvl="0">
      <w:lvlJc w:val="left"/>
      <w:lvlText w:val="(%1)"/>
      <w:numFmt w:val="lowerLetter"/>
      <w:start w:val="4"/>
    </w:lvl>
    <w:lvl w:ilvl="1">
      <w:lvlJc w:val="left"/>
      <w:lvlText w:val="%2"/>
      <w:numFmt w:val="lowerRoman"/>
      <w:start w:val="1"/>
    </w:lvl>
  </w:abstractNum>
  <w:abstractNum w:abstractNumId="164">
    <w:nsid w:val="6EC9D844"/>
    <w:multiLevelType w:val="hybridMultilevel"/>
    <w:lvl w:ilvl="0">
      <w:lvlJc w:val="left"/>
      <w:lvlText w:val="(%1)"/>
      <w:numFmt w:val="lowerLetter"/>
      <w:start w:val="5"/>
    </w:lvl>
  </w:abstractNum>
  <w:abstractNum w:abstractNumId="165">
    <w:nsid w:val="5C49EAEE"/>
    <w:multiLevelType w:val="hybridMultilevel"/>
    <w:lvl w:ilvl="0">
      <w:lvlJc w:val="left"/>
      <w:lvlText w:val="(%1)"/>
      <w:numFmt w:val="lowerLetter"/>
      <w:start w:val="6"/>
    </w:lvl>
  </w:abstractNum>
  <w:abstractNum w:abstractNumId="166">
    <w:nsid w:val="64AF49B"/>
    <w:multiLevelType w:val="hybridMultilevel"/>
    <w:lvl w:ilvl="0">
      <w:lvlJc w:val="left"/>
      <w:lvlText w:val="(%1)"/>
      <w:numFmt w:val="lowerLetter"/>
      <w:start w:val="1"/>
    </w:lvl>
  </w:abstractNum>
  <w:abstractNum w:abstractNumId="167">
    <w:nsid w:val="397C46BC"/>
    <w:multiLevelType w:val="hybridMultilevel"/>
    <w:lvl w:ilvl="0">
      <w:lvlJc w:val="left"/>
      <w:lvlText w:val="(%1)"/>
      <w:numFmt w:val="lowerLetter"/>
      <w:start w:val="1"/>
    </w:lvl>
  </w:abstractNum>
  <w:abstractNum w:abstractNumId="168">
    <w:nsid w:val="7E448DE9"/>
    <w:multiLevelType w:val="hybridMultilevel"/>
    <w:lvl w:ilvl="0">
      <w:lvlJc w:val="left"/>
      <w:lvlText w:val="(%1)"/>
      <w:numFmt w:val="lowerLetter"/>
      <w:start w:val="2"/>
    </w:lvl>
    <w:lvl w:ilvl="1">
      <w:lvlJc w:val="left"/>
      <w:lvlText w:val="(%2)"/>
      <w:numFmt w:val="lowerRoman"/>
      <w:start w:val="1"/>
    </w:lvl>
  </w:abstractNum>
  <w:abstractNum w:abstractNumId="169">
    <w:nsid w:val="5A9CC3E5"/>
    <w:multiLevelType w:val="hybridMultilevel"/>
    <w:lvl w:ilvl="0">
      <w:lvlJc w:val="left"/>
      <w:lvlText w:val="(%1)"/>
      <w:numFmt w:val="lowerLetter"/>
      <w:start w:val="1"/>
    </w:lvl>
  </w:abstractNum>
  <w:abstractNum w:abstractNumId="170">
    <w:nsid w:val="1AFE3625"/>
    <w:multiLevelType w:val="hybridMultilevel"/>
    <w:lvl w:ilvl="0">
      <w:lvlJc w:val="left"/>
      <w:lvlText w:val="(%1)"/>
      <w:numFmt w:val="lowerLetter"/>
      <w:start w:val="2"/>
    </w:lvl>
  </w:abstractNum>
  <w:abstractNum w:abstractNumId="171">
    <w:nsid w:val="3CA88ECF"/>
    <w:multiLevelType w:val="hybridMultilevel"/>
    <w:lvl w:ilvl="0">
      <w:lvlJc w:val="left"/>
      <w:lvlText w:val="(%1)"/>
      <w:numFmt w:val="lowerLetter"/>
      <w:start w:val="1"/>
    </w:lvl>
  </w:abstractNum>
  <w:abstractNum w:abstractNumId="172">
    <w:nsid w:val="6EBE4208"/>
    <w:multiLevelType w:val="hybridMultilevel"/>
    <w:lvl w:ilvl="0">
      <w:lvlJc w:val="left"/>
      <w:lvlText w:val="(%1)"/>
      <w:numFmt w:val="lowerLetter"/>
      <w:start w:val="2"/>
    </w:lvl>
  </w:abstractNum>
  <w:abstractNum w:abstractNumId="173">
    <w:nsid w:val="C058DF5"/>
    <w:multiLevelType w:val="hybridMultilevel"/>
    <w:lvl w:ilvl="0">
      <w:lvlJc w:val="left"/>
      <w:lvlText w:val="(%1)"/>
      <w:numFmt w:val="lowerLetter"/>
      <w:start w:val="2"/>
    </w:lvl>
  </w:abstractNum>
  <w:abstractNum w:abstractNumId="174">
    <w:nsid w:val="CBE5BE9"/>
    <w:multiLevelType w:val="hybridMultilevel"/>
    <w:lvl w:ilvl="0">
      <w:lvlJc w:val="left"/>
      <w:lvlText w:val="(%1)"/>
      <w:numFmt w:val="lowerLetter"/>
      <w:start w:val="1"/>
    </w:lvl>
  </w:abstractNum>
  <w:abstractNum w:abstractNumId="175">
    <w:nsid w:val="3102BBE2"/>
    <w:multiLevelType w:val="hybridMultilevel"/>
    <w:lvl w:ilvl="0">
      <w:lvlJc w:val="left"/>
      <w:lvlText w:val="(%1)"/>
      <w:numFmt w:val="lowerLetter"/>
      <w:start w:val="1"/>
    </w:lvl>
  </w:abstractNum>
  <w:abstractNum w:abstractNumId="176">
    <w:nsid w:val="26A02C5E"/>
    <w:multiLevelType w:val="hybridMultilevel"/>
    <w:lvl w:ilvl="0">
      <w:lvlJc w:val="left"/>
      <w:lvlText w:val="(%1)"/>
      <w:numFmt w:val="lowerLetter"/>
      <w:start w:val="11"/>
    </w:lvl>
  </w:abstractNum>
  <w:abstractNum w:abstractNumId="177">
    <w:nsid w:val="541C8153"/>
    <w:multiLevelType w:val="hybridMultilevel"/>
    <w:lvl w:ilvl="0">
      <w:lvlJc w:val="left"/>
      <w:lvlText w:val="(%1)"/>
      <w:numFmt w:val="lowerLetter"/>
      <w:start w:val="15"/>
    </w:lvl>
  </w:abstractNum>
  <w:abstractNum w:abstractNumId="178">
    <w:nsid w:val="67906F60"/>
    <w:multiLevelType w:val="hybridMultilevel"/>
    <w:lvl w:ilvl="0">
      <w:lvlJc w:val="left"/>
      <w:lvlText w:val="(%1)"/>
      <w:numFmt w:val="lowerRoman"/>
      <w:start w:val="1"/>
    </w:lvl>
  </w:abstractNum>
  <w:abstractNum w:abstractNumId="179">
    <w:nsid w:val="10DB9DAA"/>
    <w:multiLevelType w:val="hybridMultilevel"/>
    <w:lvl w:ilvl="0">
      <w:lvlJc w:val="left"/>
      <w:lvlText w:val="%1"/>
      <w:numFmt w:val="upperLetter"/>
      <w:start w:val="1"/>
    </w:lvl>
    <w:lvl w:ilvl="1">
      <w:lvlJc w:val="left"/>
      <w:lvlText w:val="(%2)"/>
      <w:numFmt w:val="lowerRoman"/>
      <w:start w:val="3"/>
    </w:lvl>
  </w:abstractNum>
  <w:abstractNum w:abstractNumId="180">
    <w:nsid w:val="697D2D2"/>
    <w:multiLevelType w:val="hybridMultilevel"/>
    <w:lvl w:ilvl="0">
      <w:lvlJc w:val="left"/>
      <w:lvlText w:val="(%1)"/>
      <w:numFmt w:val="upperLetter"/>
      <w:start w:val="2"/>
    </w:lvl>
    <w:lvl w:ilvl="1">
      <w:lvlJc w:val="left"/>
      <w:lvlText w:val="%2"/>
      <w:numFmt w:val="lowerRoman"/>
      <w:start w:val="1"/>
    </w:lvl>
  </w:abstractNum>
  <w:abstractNum w:abstractNumId="181">
    <w:nsid w:val="6D68AB2"/>
    <w:multiLevelType w:val="hybridMultilevel"/>
    <w:lvl w:ilvl="0">
      <w:lvlJc w:val="left"/>
      <w:lvlText w:val="(%1)"/>
      <w:numFmt w:val="upperLetter"/>
      <w:start w:val="1"/>
    </w:lvl>
  </w:abstractNum>
  <w:abstractNum w:abstractNumId="182">
    <w:nsid w:val="3A966CD0"/>
    <w:multiLevelType w:val="hybridMultilevel"/>
    <w:lvl w:ilvl="0">
      <w:lvlJc w:val="left"/>
      <w:lvlText w:val="(%1)"/>
      <w:numFmt w:val="lowerLetter"/>
      <w:start w:val="9"/>
    </w:lvl>
    <w:lvl w:ilvl="1">
      <w:lvlJc w:val="left"/>
      <w:lvlText w:val="(%2)"/>
      <w:numFmt w:val="lowerLetter"/>
      <w:start w:val="1"/>
    </w:lvl>
  </w:abstractNum>
  <w:abstractNum w:abstractNumId="183">
    <w:nsid w:val="63F37E85"/>
    <w:multiLevelType w:val="hybridMultilevel"/>
    <w:lvl w:ilvl="0">
      <w:lvlJc w:val="left"/>
      <w:lvlText w:val="%1"/>
      <w:numFmt w:val="lowerLetter"/>
      <w:start w:val="1"/>
    </w:lvl>
    <w:lvl w:ilvl="1">
      <w:lvlJc w:val="left"/>
      <w:lvlText w:val="(%2)"/>
      <w:numFmt w:val="lowerLetter"/>
      <w:start w:val="2"/>
    </w:lvl>
  </w:abstractNum>
  <w:abstractNum w:abstractNumId="184">
    <w:nsid w:val="5895F5FA"/>
    <w:multiLevelType w:val="hybridMultilevel"/>
    <w:lvl w:ilvl="0">
      <w:lvlJc w:val="left"/>
      <w:lvlText w:val="(%1)"/>
      <w:numFmt w:val="lowerLetter"/>
      <w:start w:val="35"/>
    </w:lvl>
    <w:lvl w:ilvl="1">
      <w:lvlJc w:val="left"/>
      <w:lvlText w:val="%2"/>
      <w:numFmt w:val="lowerLetter"/>
      <w:start w:val="1"/>
    </w:lvl>
  </w:abstractNum>
  <w:abstractNum w:abstractNumId="185">
    <w:nsid w:val="38A5D054"/>
    <w:multiLevelType w:val="hybridMultilevel"/>
    <w:lvl w:ilvl="0">
      <w:lvlJc w:val="left"/>
      <w:lvlText w:val="(%1)"/>
      <w:numFmt w:val="lowerLetter"/>
      <w:start w:val="1"/>
    </w:lvl>
  </w:abstractNum>
  <w:abstractNum w:abstractNumId="186">
    <w:nsid w:val="F3F09D8"/>
    <w:multiLevelType w:val="hybridMultilevel"/>
    <w:lvl w:ilvl="0">
      <w:lvlJc w:val="left"/>
      <w:lvlText w:val="(%1)"/>
      <w:numFmt w:val="lowerLetter"/>
      <w:start w:val="1"/>
    </w:lvl>
  </w:abstractNum>
  <w:abstractNum w:abstractNumId="187">
    <w:nsid w:val="4B793735"/>
    <w:multiLevelType w:val="hybridMultilevel"/>
    <w:lvl w:ilvl="0">
      <w:lvlJc w:val="left"/>
      <w:lvlText w:val="(%1)"/>
      <w:numFmt w:val="lowerLetter"/>
      <w:start w:val="6"/>
    </w:lvl>
    <w:lvl w:ilvl="1">
      <w:lvlJc w:val="left"/>
      <w:lvlText w:val="(%2)"/>
      <w:numFmt w:val="lowerRoman"/>
      <w:start w:val="1"/>
    </w:lvl>
  </w:abstractNum>
  <w:abstractNum w:abstractNumId="188">
    <w:nsid w:val="4A10B4E8"/>
    <w:multiLevelType w:val="hybridMultilevel"/>
    <w:lvl w:ilvl="0">
      <w:lvlJc w:val="left"/>
      <w:lvlText w:val="(%1)"/>
      <w:numFmt w:val="lowerRoman"/>
      <w:start w:val="1"/>
    </w:lvl>
    <w:lvl w:ilvl="1">
      <w:lvlJc w:val="left"/>
      <w:lvlText w:val="(%2)"/>
      <w:numFmt w:val="lowerRoman"/>
      <w:start w:val="1"/>
    </w:lvl>
  </w:abstractNum>
  <w:abstractNum w:abstractNumId="189">
    <w:nsid w:val="43D3BCD4"/>
    <w:multiLevelType w:val="hybridMultilevel"/>
    <w:lvl w:ilvl="0">
      <w:lvlJc w:val="left"/>
      <w:lvlText w:val="(%1)"/>
      <w:numFmt w:val="lowerLetter"/>
      <w:start w:val="10"/>
    </w:lvl>
  </w:abstractNum>
  <w:abstractNum w:abstractNumId="190">
    <w:nsid w:val="4C2A7166"/>
    <w:multiLevelType w:val="hybridMultilevel"/>
    <w:lvl w:ilvl="0">
      <w:lvlJc w:val="left"/>
      <w:lvlText w:val="(%1)"/>
      <w:numFmt w:val="lowerLetter"/>
      <w:start w:val="1"/>
    </w:lvl>
  </w:abstractNum>
  <w:abstractNum w:abstractNumId="191">
    <w:nsid w:val="2E534A82"/>
    <w:multiLevelType w:val="hybridMultilevel"/>
    <w:lvl w:ilvl="0">
      <w:lvlJc w:val="left"/>
      <w:lvlText w:val="(%1)"/>
      <w:numFmt w:val="decimal"/>
      <w:start w:val="10"/>
    </w:lvl>
  </w:abstractNum>
  <w:abstractNum w:abstractNumId="192">
    <w:nsid w:val="26F2D364"/>
    <w:multiLevelType w:val="hybridMultilevel"/>
    <w:lvl w:ilvl="0">
      <w:lvlJc w:val="left"/>
      <w:lvlText w:val="(%1)"/>
      <w:numFmt w:val="lowerLetter"/>
      <w:start w:val="2"/>
    </w:lvl>
  </w:abstractNum>
  <w:abstractNum w:abstractNumId="193">
    <w:nsid w:val="71C1AF98"/>
    <w:multiLevelType w:val="hybridMultilevel"/>
    <w:lvl w:ilvl="0">
      <w:lvlJc w:val="left"/>
      <w:lvlText w:val="(%1)"/>
      <w:numFmt w:val="lowerLetter"/>
      <w:start w:val="1"/>
    </w:lvl>
    <w:lvl w:ilvl="1">
      <w:lvlJc w:val="left"/>
      <w:lvlText w:val="(%2)"/>
      <w:numFmt w:val="lowerLetter"/>
      <w:start w:val="9"/>
    </w:lvl>
  </w:abstractNum>
  <w:abstractNum w:abstractNumId="194">
    <w:nsid w:val="3D00B9D9"/>
    <w:multiLevelType w:val="hybridMultilevel"/>
    <w:lvl w:ilvl="0">
      <w:lvlJc w:val="left"/>
      <w:lvlText w:val="(%1)"/>
      <w:numFmt w:val="lowerRoman"/>
      <w:start w:val="2"/>
    </w:lvl>
  </w:abstractNum>
  <w:abstractNum w:abstractNumId="195">
    <w:nsid w:val="15BCABA8"/>
    <w:multiLevelType w:val="hybridMultilevel"/>
    <w:lvl w:ilvl="0">
      <w:lvlJc w:val="left"/>
      <w:lvlText w:val="(%1)"/>
      <w:numFmt w:val="lowerLetter"/>
      <w:start w:val="2"/>
    </w:lvl>
  </w:abstractNum>
  <w:abstractNum w:abstractNumId="196">
    <w:nsid w:val="4E0B9A87"/>
    <w:multiLevelType w:val="hybridMultilevel"/>
    <w:lvl w:ilvl="0">
      <w:lvlJc w:val="left"/>
      <w:lvlText w:val="(%1)"/>
      <w:numFmt w:val="lowerLetter"/>
      <w:start w:val="3"/>
    </w:lvl>
  </w:abstractNum>
  <w:abstractNum w:abstractNumId="197">
    <w:nsid w:val="434BAE75"/>
    <w:multiLevelType w:val="hybridMultilevel"/>
    <w:lvl w:ilvl="0">
      <w:lvlJc w:val="left"/>
      <w:lvlText w:val="(%1)"/>
      <w:numFmt w:val="lowerLetter"/>
      <w:start w:val="5"/>
    </w:lvl>
  </w:abstractNum>
  <w:abstractNum w:abstractNumId="198">
    <w:nsid w:val="4F38F265"/>
    <w:multiLevelType w:val="hybridMultilevel"/>
    <w:lvl w:ilvl="0">
      <w:lvlJc w:val="left"/>
      <w:lvlText w:val="(%1)"/>
      <w:numFmt w:val="lowerLetter"/>
      <w:start w:val="1"/>
    </w:lvl>
    <w:lvl w:ilvl="1">
      <w:lvlJc w:val="left"/>
      <w:lvlText w:val="(%2)"/>
      <w:numFmt w:val="lowerRoman"/>
      <w:start w:val="1"/>
    </w:lvl>
  </w:abstractNum>
  <w:abstractNum w:abstractNumId="199">
    <w:nsid w:val="4C502870"/>
    <w:multiLevelType w:val="hybridMultilevel"/>
    <w:lvl w:ilvl="0">
      <w:lvlJc w:val="left"/>
      <w:lvlText w:val="(%1)"/>
      <w:numFmt w:val="lowerLetter"/>
      <w:start w:val="2"/>
    </w:lvl>
  </w:abstractNum>
  <w:abstractNum w:abstractNumId="200">
    <w:nsid w:val="1DE8725A"/>
    <w:multiLevelType w:val="hybridMultilevel"/>
    <w:lvl w:ilvl="0">
      <w:lvlJc w:val="left"/>
      <w:lvlText w:val="(%1)"/>
      <w:numFmt w:val="lowerLetter"/>
      <w:start w:val="3"/>
    </w:lvl>
  </w:abstractNum>
  <w:abstractNum w:abstractNumId="201">
    <w:nsid w:val="6A37288A"/>
    <w:multiLevelType w:val="hybridMultilevel"/>
    <w:lvl w:ilvl="0">
      <w:lvlJc w:val="left"/>
      <w:lvlText w:val="(%1)"/>
      <w:numFmt w:val="lowerLetter"/>
      <w:start w:val="1"/>
    </w:lvl>
  </w:abstractNum>
  <w:abstractNum w:abstractNumId="202">
    <w:nsid w:val="8F8B73F"/>
    <w:multiLevelType w:val="hybridMultilevel"/>
    <w:lvl w:ilvl="0">
      <w:lvlJc w:val="left"/>
      <w:lvlText w:val="(%1)"/>
      <w:numFmt w:val="lowerLetter"/>
      <w:start w:val="3"/>
    </w:lvl>
  </w:abstractNum>
  <w:abstractNum w:abstractNumId="203">
    <w:nsid w:val="CA6B462"/>
    <w:multiLevelType w:val="hybridMultilevel"/>
    <w:lvl w:ilvl="0">
      <w:lvlJc w:val="left"/>
      <w:lvlText w:val="(%1)"/>
      <w:numFmt w:val="lowerLetter"/>
      <w:start w:val="5"/>
    </w:lvl>
  </w:abstractNum>
  <w:abstractNum w:abstractNumId="204">
    <w:nsid w:val="763CB680"/>
    <w:multiLevelType w:val="hybridMultilevel"/>
    <w:lvl w:ilvl="0">
      <w:lvlJc w:val="left"/>
      <w:lvlText w:val="(%1)"/>
      <w:numFmt w:val="lowerLetter"/>
      <w:start w:val="1"/>
    </w:lvl>
  </w:abstractNum>
  <w:abstractNum w:abstractNumId="205">
    <w:nsid w:val="15B71329"/>
    <w:multiLevelType w:val="hybridMultilevel"/>
    <w:lvl w:ilvl="0">
      <w:lvlJc w:val="left"/>
      <w:lvlText w:val="(%1)"/>
      <w:numFmt w:val="lowerLetter"/>
      <w:start w:val="2"/>
    </w:lvl>
    <w:lvl w:ilvl="1">
      <w:lvlJc w:val="left"/>
      <w:lvlText w:val="(%2)"/>
      <w:numFmt w:val="lowerRoman"/>
      <w:start w:val="1"/>
    </w:lvl>
  </w:abstractNum>
  <w:abstractNum w:abstractNumId="206">
    <w:nsid w:val="3DA97044"/>
    <w:multiLevelType w:val="hybridMultilevel"/>
    <w:lvl w:ilvl="0">
      <w:lvlJc w:val="left"/>
      <w:lvlText w:val="(%1)"/>
      <w:numFmt w:val="lowerLetter"/>
      <w:start w:val="3"/>
    </w:lvl>
  </w:abstractNum>
  <w:abstractNum w:abstractNumId="207">
    <w:nsid w:val="1CDCE2DE"/>
    <w:multiLevelType w:val="hybridMultilevel"/>
    <w:lvl w:ilvl="0">
      <w:lvlJc w:val="left"/>
      <w:lvlText w:val="(%1)"/>
      <w:numFmt w:val="lowerLetter"/>
      <w:start w:val="4"/>
    </w:lvl>
  </w:abstractNum>
  <w:abstractNum w:abstractNumId="208">
    <w:nsid w:val="69D3947C"/>
    <w:multiLevelType w:val="hybridMultilevel"/>
    <w:lvl w:ilvl="0">
      <w:lvlJc w:val="left"/>
      <w:lvlText w:val="(%1)"/>
      <w:numFmt w:val="lowerLetter"/>
      <w:start w:val="5"/>
    </w:lvl>
  </w:abstractNum>
  <w:abstractNum w:abstractNumId="209">
    <w:nsid w:val="2539DFA5"/>
    <w:multiLevelType w:val="hybridMultilevel"/>
    <w:lvl w:ilvl="0">
      <w:lvlJc w:val="left"/>
      <w:lvlText w:val="(%1)"/>
      <w:numFmt w:val="lowerLetter"/>
      <w:start w:val="6"/>
    </w:lvl>
  </w:abstractNum>
  <w:abstractNum w:abstractNumId="210">
    <w:nsid w:val="2DB88089"/>
    <w:multiLevelType w:val="hybridMultilevel"/>
    <w:lvl w:ilvl="0">
      <w:lvlJc w:val="left"/>
      <w:lvlText w:val="(%1)"/>
      <w:numFmt w:val="lowerRoman"/>
      <w:start w:val="2"/>
    </w:lvl>
  </w:abstractNum>
  <w:abstractNum w:abstractNumId="211">
    <w:nsid w:val="706B674E"/>
    <w:multiLevelType w:val="hybridMultilevel"/>
    <w:lvl w:ilvl="0">
      <w:lvlJc w:val="left"/>
      <w:lvlText w:val="(%1)"/>
      <w:numFmt w:val="lowerLetter"/>
      <w:start w:val="3"/>
    </w:lvl>
  </w:abstractNum>
  <w:abstractNum w:abstractNumId="212">
    <w:nsid w:val="2C106A57"/>
    <w:multiLevelType w:val="hybridMultilevel"/>
    <w:lvl w:ilvl="0">
      <w:lvlJc w:val="left"/>
      <w:lvlText w:val="(%1)"/>
      <w:numFmt w:val="lowerLetter"/>
      <w:start w:val="61"/>
    </w:lvl>
  </w:abstractNum>
  <w:abstractNum w:abstractNumId="213">
    <w:nsid w:val="684EED59"/>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2020-02-20T21:48:21Z</dcterms:created>
  <dcterms:modified xsi:type="dcterms:W3CDTF">2020-02-20T21:48:21Z</dcterms:modified>
</cp:coreProperties>
</file>