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-226060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-606425</wp:posOffset>
            </wp:positionV>
            <wp:extent cx="57150" cy="61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19050</wp:posOffset>
            </wp:positionV>
            <wp:extent cx="6997700" cy="8122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122920"/>
                    </a:xfrm>
                    <a:prstGeom prst="rect">
                      <a:avLst/>
                    </a:prstGeom>
                    <a:noFill/>
                  </pic:spPr>
                </pic:pic>
              </a:graphicData>
            </a:graphic>
          </wp:anchor>
        </w:drawing>
      </w:r>
    </w:p>
    <w:p>
      <w:pPr>
        <w:spacing w:after="0" w:line="104" w:lineRule="exact"/>
        <w:rPr>
          <w:sz w:val="24"/>
          <w:szCs w:val="24"/>
          <w:color w:val="auto"/>
        </w:rPr>
      </w:pPr>
    </w:p>
    <w:p>
      <w:pPr>
        <w:sectPr>
          <w:pgSz w:w="11900" w:h="16841"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KAFU Holdings (QP), L.P.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AVENUE OF THE STARS, 3RD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w w:val="99"/>
              </w:rPr>
              <w:t>LOS ANGELES</w:t>
            </w:r>
          </w:p>
        </w:tc>
        <w:tc>
          <w:tcPr>
            <w:tcW w:w="880" w:type="dxa"/>
            <w:vAlign w:val="bottom"/>
          </w:tcPr>
          <w:p>
            <w:pPr>
              <w:ind w:left="8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90067</w:t>
            </w:r>
          </w:p>
        </w:tc>
      </w:tr>
      <w:tr>
        <w:trPr>
          <w:trHeight w:val="144"/>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880" w:type="dxa"/>
            <w:vAlign w:val="bottom"/>
          </w:tcPr>
          <w:p>
            <w:pPr>
              <w:ind w:left="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80" w:type="dxa"/>
            <w:vAlign w:val="bottom"/>
            <w:gridSpan w:val="2"/>
          </w:tcPr>
          <w:p>
            <w:pPr>
              <w:spacing w:after="0" w:line="132" w:lineRule="exact"/>
              <w:rPr>
                <w:rFonts w:ascii="Arial" w:cs="Arial" w:eastAsia="Arial" w:hAnsi="Arial"/>
                <w:sz w:val="14"/>
                <w:szCs w:val="14"/>
                <w:color w:val="0000EE"/>
              </w:rPr>
            </w:pPr>
            <w:hyperlink r:id="rId13">
              <w:r>
                <w:rPr>
                  <w:rFonts w:ascii="Arial" w:cs="Arial" w:eastAsia="Arial" w:hAnsi="Arial"/>
                  <w:sz w:val="14"/>
                  <w:szCs w:val="14"/>
                  <w:color w:val="0000EE"/>
                </w:rPr>
                <w:t xml:space="preserve">PLAINS ALL AMERICAN PIPELINE LP </w:t>
              </w:r>
            </w:hyperlink>
            <w:r>
              <w:rPr>
                <w:rFonts w:ascii="Arial" w:cs="Arial" w:eastAsia="Arial" w:hAnsi="Arial"/>
                <w:sz w:val="14"/>
                <w:szCs w:val="14"/>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3780" w:type="dxa"/>
            <w:vAlign w:val="bottom"/>
            <w:gridSpan w:val="2"/>
          </w:tcPr>
          <w:p>
            <w:pPr>
              <w:spacing w:after="0"/>
              <w:rPr>
                <w:sz w:val="3"/>
                <w:szCs w:val="3"/>
                <w:color w:val="auto"/>
              </w:rPr>
            </w:pPr>
          </w:p>
        </w:tc>
        <w:tc>
          <w:tcPr>
            <w:tcW w:w="480" w:type="dxa"/>
            <w:vAlign w:val="bottom"/>
            <w:vMerge w:val="restart"/>
          </w:tcPr>
          <w:p>
            <w:pPr>
              <w:ind w:left="260"/>
              <w:spacing w:after="0" w:line="52" w:lineRule="exact"/>
              <w:rPr>
                <w:sz w:val="20"/>
                <w:szCs w:val="20"/>
                <w:color w:val="auto"/>
              </w:rPr>
            </w:pPr>
            <w:r>
              <w:rPr>
                <w:rFonts w:ascii="Arial" w:cs="Arial" w:eastAsia="Arial" w:hAnsi="Arial"/>
                <w:sz w:val="5"/>
                <w:szCs w:val="5"/>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3"/>
                <w:szCs w:val="3"/>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2"/>
        </w:trPr>
        <w:tc>
          <w:tcPr>
            <w:tcW w:w="60" w:type="dxa"/>
            <w:vAlign w:val="bottom"/>
          </w:tcPr>
          <w:p>
            <w:pPr>
              <w:spacing w:after="0" w:line="20" w:lineRule="exact"/>
              <w:rPr>
                <w:sz w:val="1"/>
                <w:szCs w:val="1"/>
                <w:color w:val="auto"/>
              </w:rPr>
            </w:pPr>
          </w:p>
        </w:tc>
        <w:tc>
          <w:tcPr>
            <w:tcW w:w="346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3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44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ind w:left="100"/>
              <w:spacing w:after="0" w:line="93" w:lineRule="exact"/>
              <w:rPr>
                <w:sz w:val="20"/>
                <w:szCs w:val="20"/>
                <w:color w:val="auto"/>
              </w:rPr>
            </w:pPr>
            <w:r>
              <w:rPr>
                <w:rFonts w:ascii="Arial" w:cs="Arial" w:eastAsia="Arial" w:hAnsi="Arial"/>
                <w:sz w:val="10"/>
                <w:szCs w:val="10"/>
                <w:color w:val="auto"/>
              </w:rPr>
              <w:t>below)</w:t>
            </w:r>
          </w:p>
        </w:tc>
        <w:tc>
          <w:tcPr>
            <w:tcW w:w="440" w:type="dxa"/>
            <w:vAlign w:val="bottom"/>
            <w:vMerge w:val="continue"/>
          </w:tcPr>
          <w:p>
            <w:pPr>
              <w:spacing w:after="0"/>
              <w:rPr>
                <w:sz w:val="8"/>
                <w:szCs w:val="8"/>
                <w:color w:val="auto"/>
              </w:rPr>
            </w:pPr>
          </w:p>
        </w:tc>
        <w:tc>
          <w:tcPr>
            <w:tcW w:w="1180" w:type="dxa"/>
            <w:vAlign w:val="bottom"/>
          </w:tcPr>
          <w:p>
            <w:pPr>
              <w:ind w:left="60"/>
              <w:spacing w:after="0" w:line="93"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16"/>
                <w:szCs w:val="16"/>
                <w:color w:val="auto"/>
              </w:rPr>
            </w:pPr>
          </w:p>
        </w:tc>
        <w:tc>
          <w:tcPr>
            <w:tcW w:w="1620" w:type="dxa"/>
            <w:vAlign w:val="bottom"/>
            <w:gridSpan w:val="2"/>
          </w:tcPr>
          <w:p>
            <w:pPr>
              <w:ind w:left="760"/>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520" w:type="dxa"/>
            <w:vAlign w:val="bottom"/>
            <w:gridSpan w:val="2"/>
          </w:tcPr>
          <w:p>
            <w:pPr>
              <w:ind w:left="60"/>
              <w:spacing w:after="0"/>
              <w:rPr>
                <w:sz w:val="20"/>
                <w:szCs w:val="20"/>
                <w:color w:val="auto"/>
              </w:rPr>
            </w:pPr>
            <w:r>
              <w:rPr>
                <w:rFonts w:ascii="Arial" w:cs="Arial" w:eastAsia="Arial" w:hAnsi="Arial"/>
                <w:sz w:val="16"/>
                <w:szCs w:val="16"/>
                <w:color w:val="0000FF"/>
              </w:rPr>
              <w:t>06/30/2021</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34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6" w:lineRule="exact"/>
        <w:rPr>
          <w:sz w:val="20"/>
          <w:szCs w:val="20"/>
          <w:color w:val="auto"/>
        </w:rPr>
      </w:pPr>
    </w:p>
    <w:p>
      <w:pPr>
        <w:ind w:left="4100"/>
        <w:spacing w:after="0"/>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366" w:lineRule="exact"/>
        <w:rPr>
          <w:sz w:val="20"/>
          <w:szCs w:val="20"/>
          <w:color w:val="auto"/>
        </w:rPr>
      </w:pPr>
    </w:p>
    <w:p>
      <w:pPr>
        <w:sectPr>
          <w:pgSz w:w="11900" w:h="16841"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2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260" w:type="dxa"/>
            <w:vAlign w:val="bottom"/>
            <w:gridSpan w:val="2"/>
          </w:tcPr>
          <w:p>
            <w:pPr>
              <w:ind w:left="34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ind w:left="580"/>
              <w:spacing w:after="0" w:line="122"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Disposed Of (D) (Instr. 3, 4 and</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260" w:type="dxa"/>
            <w:vAlign w:val="bottom"/>
            <w:gridSpan w:val="2"/>
          </w:tcPr>
          <w:p>
            <w:pPr>
              <w:ind w:left="340"/>
              <w:spacing w:after="0" w:line="122"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3"/>
          </w:tcPr>
          <w:p>
            <w:pPr>
              <w:ind w:left="58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2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(D) or Indirect</w:t>
            </w:r>
          </w:p>
        </w:tc>
        <w:tc>
          <w:tcPr>
            <w:tcW w:w="11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340" w:type="dxa"/>
            <w:vAlign w:val="bottom"/>
          </w:tcPr>
          <w:p>
            <w:pPr>
              <w:spacing w:after="0"/>
              <w:rPr>
                <w:sz w:val="10"/>
                <w:szCs w:val="10"/>
                <w:color w:val="auto"/>
              </w:rPr>
            </w:pPr>
          </w:p>
        </w:tc>
        <w:tc>
          <w:tcPr>
            <w:tcW w:w="3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6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vMerge w:val="restart"/>
          </w:tcPr>
          <w:p>
            <w:pPr>
              <w:ind w:left="680"/>
              <w:spacing w:after="0"/>
              <w:rPr>
                <w:sz w:val="20"/>
                <w:szCs w:val="20"/>
                <w:color w:val="auto"/>
              </w:rPr>
            </w:pPr>
            <w:r>
              <w:rPr>
                <w:rFonts w:ascii="Arial" w:cs="Arial" w:eastAsia="Arial" w:hAnsi="Arial"/>
                <w:sz w:val="16"/>
                <w:szCs w:val="16"/>
                <w:color w:val="0000FF"/>
              </w:rPr>
              <w:t>06/30/2021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0000FF"/>
              </w:rPr>
              <w:t>J</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535,009</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0"/>
                <w:szCs w:val="20"/>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0000FF"/>
              </w:rPr>
              <w:t>535,009</w:t>
            </w:r>
          </w:p>
        </w:tc>
        <w:tc>
          <w:tcPr>
            <w:tcW w:w="920" w:type="dxa"/>
            <w:vAlign w:val="bottom"/>
            <w:vMerge w:val="restart"/>
          </w:tcPr>
          <w:p>
            <w:pPr>
              <w:ind w:left="720"/>
              <w:spacing w:after="0"/>
              <w:rPr>
                <w:sz w:val="20"/>
                <w:szCs w:val="20"/>
                <w:color w:val="auto"/>
              </w:rPr>
            </w:pPr>
            <w:r>
              <w:rPr>
                <w:rFonts w:ascii="Arial" w:cs="Arial" w:eastAsia="Arial" w:hAnsi="Arial"/>
                <w:sz w:val="16"/>
                <w:szCs w:val="16"/>
                <w:color w:val="0000FF"/>
              </w:rPr>
              <w:t>I</w:t>
            </w:r>
          </w:p>
        </w:tc>
        <w:tc>
          <w:tcPr>
            <w:tcW w:w="34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0000FF"/>
                <w:w w:val="98"/>
              </w:rPr>
              <w:t>See</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gridSpan w:val="4"/>
            <w:vMerge w:val="restart"/>
          </w:tcPr>
          <w:p>
            <w:pPr>
              <w:ind w:left="20"/>
              <w:spacing w:after="0" w:line="258" w:lineRule="exact"/>
              <w:rPr>
                <w:sz w:val="20"/>
                <w:szCs w:val="20"/>
                <w:color w:val="auto"/>
              </w:rPr>
            </w:pPr>
            <w:r>
              <w:rPr>
                <w:rFonts w:ascii="Arial" w:cs="Arial" w:eastAsia="Arial" w:hAnsi="Arial"/>
                <w:sz w:val="29"/>
                <w:szCs w:val="29"/>
                <w:color w:val="0000FF"/>
                <w:w w:val="94"/>
                <w:vertAlign w:val="subscript"/>
              </w:rPr>
              <w:t>footnotes</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6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8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1580" w:type="dxa"/>
            <w:vAlign w:val="bottom"/>
            <w:tcBorders>
              <w:top w:val="single" w:sz="8" w:color="2C2C2C"/>
            </w:tcBorders>
            <w:gridSpan w:val="2"/>
            <w:vMerge w:val="restart"/>
          </w:tcPr>
          <w:p>
            <w:pPr>
              <w:ind w:left="680"/>
              <w:spacing w:after="0"/>
              <w:rPr>
                <w:sz w:val="20"/>
                <w:szCs w:val="20"/>
                <w:color w:val="auto"/>
              </w:rPr>
            </w:pPr>
            <w:r>
              <w:rPr>
                <w:rFonts w:ascii="Arial" w:cs="Arial" w:eastAsia="Arial" w:hAnsi="Arial"/>
                <w:sz w:val="16"/>
                <w:szCs w:val="16"/>
                <w:color w:val="0000FF"/>
              </w:rPr>
              <w:t>06/30/2021</w:t>
            </w: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color w:val="0000FF"/>
              </w:rPr>
              <w:t>J</w:t>
            </w:r>
          </w:p>
        </w:tc>
        <w:tc>
          <w:tcPr>
            <w:tcW w:w="7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93"/>
              </w:rPr>
              <w:t>535,009</w:t>
            </w:r>
          </w:p>
        </w:tc>
        <w:tc>
          <w:tcPr>
            <w:tcW w:w="5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gridSpan w:val="2"/>
            <w:vMerge w:val="restart"/>
          </w:tcPr>
          <w:p>
            <w:pPr>
              <w:jc w:val="right"/>
              <w:ind w:right="184"/>
              <w:spacing w:after="0"/>
              <w:rPr>
                <w:sz w:val="20"/>
                <w:szCs w:val="20"/>
                <w:color w:val="auto"/>
              </w:rPr>
            </w:pPr>
            <w:r>
              <w:rPr>
                <w:rFonts w:ascii="Arial" w:cs="Arial" w:eastAsia="Arial" w:hAnsi="Arial"/>
                <w:sz w:val="16"/>
                <w:szCs w:val="16"/>
                <w:color w:val="0000FF"/>
              </w:rPr>
              <w:t>0</w:t>
            </w:r>
          </w:p>
        </w:tc>
        <w:tc>
          <w:tcPr>
            <w:tcW w:w="920" w:type="dxa"/>
            <w:vAlign w:val="bottom"/>
            <w:tcBorders>
              <w:top w:val="single" w:sz="8" w:color="2C2C2C"/>
            </w:tcBorders>
            <w:vMerge w:val="restart"/>
          </w:tcPr>
          <w:p>
            <w:pPr>
              <w:ind w:left="720"/>
              <w:spacing w:after="0"/>
              <w:rPr>
                <w:sz w:val="20"/>
                <w:szCs w:val="20"/>
                <w:color w:val="auto"/>
              </w:rPr>
            </w:pPr>
            <w:r>
              <w:rPr>
                <w:rFonts w:ascii="Arial" w:cs="Arial" w:eastAsia="Arial" w:hAnsi="Arial"/>
                <w:sz w:val="16"/>
                <w:szCs w:val="16"/>
                <w:color w:val="0000FF"/>
              </w:rPr>
              <w:t>I</w:t>
            </w:r>
          </w:p>
        </w:tc>
        <w:tc>
          <w:tcPr>
            <w:tcW w:w="3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98"/>
              </w:rPr>
              <w:t>See</w:t>
            </w:r>
          </w:p>
        </w:tc>
        <w:tc>
          <w:tcPr>
            <w:tcW w:w="7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gridSpan w:val="4"/>
            <w:vMerge w:val="restart"/>
          </w:tcPr>
          <w:p>
            <w:pPr>
              <w:ind w:left="20"/>
              <w:spacing w:after="0" w:line="258" w:lineRule="exact"/>
              <w:rPr>
                <w:sz w:val="20"/>
                <w:szCs w:val="20"/>
                <w:color w:val="auto"/>
              </w:rPr>
            </w:pPr>
            <w:r>
              <w:rPr>
                <w:rFonts w:ascii="Arial" w:cs="Arial" w:eastAsia="Arial" w:hAnsi="Arial"/>
                <w:sz w:val="29"/>
                <w:szCs w:val="29"/>
                <w:color w:val="0000FF"/>
                <w:w w:val="94"/>
                <w:vertAlign w:val="subscript"/>
              </w:rPr>
              <w:t>footnotes</w:t>
            </w:r>
            <w:r>
              <w:rPr>
                <w:rFonts w:ascii="Arial" w:cs="Arial" w:eastAsia="Arial" w:hAnsi="Arial"/>
                <w:sz w:val="10"/>
                <w:szCs w:val="10"/>
                <w:color w:val="008000"/>
                <w:w w:val="94"/>
              </w:rPr>
              <w:t>(1)(2)(3)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00" w:type="dxa"/>
            <w:vAlign w:val="bottom"/>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3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Class B</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0" w:type="dxa"/>
            <w:vAlign w:val="bottom"/>
            <w:gridSpan w:val="3"/>
          </w:tcPr>
          <w:p>
            <w:pPr>
              <w:ind w:left="60"/>
              <w:spacing w:after="0" w:line="121" w:lineRule="exact"/>
              <w:rPr>
                <w:sz w:val="20"/>
                <w:szCs w:val="20"/>
                <w:color w:val="auto"/>
              </w:rPr>
            </w:pPr>
            <w:r>
              <w:rPr>
                <w:rFonts w:ascii="Arial" w:cs="Arial" w:eastAsia="Arial" w:hAnsi="Arial"/>
                <w:sz w:val="12"/>
                <w:szCs w:val="12"/>
                <w:color w:val="0000FF"/>
                <w:w w:val="95"/>
              </w:rPr>
              <w:t>Shares/Class</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gridSpan w:val="2"/>
            <w:vMerge w:val="restart"/>
          </w:tcPr>
          <w:p>
            <w:pPr>
              <w:ind w:left="300"/>
              <w:spacing w:after="0"/>
              <w:rPr>
                <w:sz w:val="20"/>
                <w:szCs w:val="20"/>
                <w:color w:val="auto"/>
              </w:rPr>
            </w:pPr>
            <w:r>
              <w:rPr>
                <w:rFonts w:ascii="Arial" w:cs="Arial" w:eastAsia="Arial" w:hAnsi="Arial"/>
                <w:sz w:val="12"/>
                <w:szCs w:val="12"/>
                <w:color w:val="0000FF"/>
              </w:rPr>
              <w:t>06/30/2021</w:t>
            </w:r>
          </w:p>
        </w:tc>
        <w:tc>
          <w:tcPr>
            <w:tcW w:w="1080" w:type="dxa"/>
            <w:vAlign w:val="bottom"/>
          </w:tcPr>
          <w:p>
            <w:pPr>
              <w:spacing w:after="0"/>
              <w:rPr>
                <w:sz w:val="10"/>
                <w:szCs w:val="10"/>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2"/>
                <w:szCs w:val="12"/>
                <w:color w:val="0000FF"/>
              </w:rPr>
              <w:t>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w w:val="92"/>
              </w:rPr>
              <w:t>535,009</w:t>
            </w:r>
          </w:p>
        </w:tc>
        <w:tc>
          <w:tcPr>
            <w:tcW w:w="780" w:type="dxa"/>
            <w:vAlign w:val="bottom"/>
            <w:vMerge w:val="restart"/>
          </w:tcPr>
          <w:p>
            <w:pPr>
              <w:ind w:left="320"/>
              <w:spacing w:after="0"/>
              <w:rPr>
                <w:sz w:val="20"/>
                <w:szCs w:val="20"/>
                <w:color w:val="auto"/>
              </w:rPr>
            </w:pPr>
            <w:r>
              <w:rPr>
                <w:rFonts w:ascii="Arial" w:cs="Arial" w:eastAsia="Arial" w:hAnsi="Arial"/>
                <w:sz w:val="10"/>
                <w:szCs w:val="10"/>
                <w:color w:val="008000"/>
              </w:rPr>
              <w:t>(1)(2)</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w w:val="97"/>
              </w:rPr>
              <w:t>(1)(2)</w:t>
            </w:r>
          </w:p>
        </w:tc>
        <w:tc>
          <w:tcPr>
            <w:tcW w:w="580" w:type="dxa"/>
            <w:vAlign w:val="bottom"/>
          </w:tcPr>
          <w:p>
            <w:pPr>
              <w:ind w:left="80"/>
              <w:spacing w:after="0" w:line="121" w:lineRule="exact"/>
              <w:rPr>
                <w:sz w:val="20"/>
                <w:szCs w:val="20"/>
                <w:color w:val="auto"/>
              </w:rPr>
            </w:pPr>
            <w:r>
              <w:rPr>
                <w:rFonts w:ascii="Arial" w:cs="Arial" w:eastAsia="Arial" w:hAnsi="Arial"/>
                <w:sz w:val="12"/>
                <w:szCs w:val="12"/>
                <w:color w:val="0000FF"/>
                <w:w w:val="98"/>
              </w:rPr>
              <w:t>Common</w:t>
            </w:r>
          </w:p>
        </w:tc>
        <w:tc>
          <w:tcPr>
            <w:tcW w:w="620" w:type="dxa"/>
            <w:vAlign w:val="bottom"/>
            <w:gridSpan w:val="2"/>
            <w:vMerge w:val="restart"/>
          </w:tcPr>
          <w:p>
            <w:pPr>
              <w:ind w:left="100"/>
              <w:spacing w:after="0"/>
              <w:rPr>
                <w:sz w:val="20"/>
                <w:szCs w:val="20"/>
                <w:color w:val="auto"/>
              </w:rPr>
            </w:pPr>
            <w:r>
              <w:rPr>
                <w:rFonts w:ascii="Arial" w:cs="Arial" w:eastAsia="Arial" w:hAnsi="Arial"/>
                <w:sz w:val="16"/>
                <w:szCs w:val="16"/>
                <w:color w:val="0000FF"/>
                <w:w w:val="86"/>
              </w:rPr>
              <w:t>535,009</w:t>
            </w:r>
          </w:p>
        </w:tc>
        <w:tc>
          <w:tcPr>
            <w:tcW w:w="78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60"/>
              <w:spacing w:after="0"/>
              <w:rPr>
                <w:sz w:val="20"/>
                <w:szCs w:val="20"/>
                <w:color w:val="auto"/>
              </w:rPr>
            </w:pPr>
            <w:r>
              <w:rPr>
                <w:rFonts w:ascii="Arial" w:cs="Arial" w:eastAsia="Arial" w:hAnsi="Arial"/>
                <w:sz w:val="12"/>
                <w:szCs w:val="12"/>
                <w:color w:val="0000FF"/>
              </w:rPr>
              <w:t>15,273,461</w:t>
            </w:r>
            <w:r>
              <w:rPr>
                <w:rFonts w:ascii="Arial" w:cs="Arial" w:eastAsia="Arial" w:hAnsi="Arial"/>
                <w:sz w:val="20"/>
                <w:szCs w:val="20"/>
                <w:color w:val="008000"/>
                <w:vertAlign w:val="superscript"/>
              </w:rPr>
              <w:t>(4)</w:t>
            </w:r>
          </w:p>
        </w:tc>
        <w:tc>
          <w:tcPr>
            <w:tcW w:w="34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0"/>
                <w:szCs w:val="10"/>
                <w:color w:val="auto"/>
              </w:rPr>
            </w:pPr>
          </w:p>
        </w:tc>
        <w:tc>
          <w:tcPr>
            <w:tcW w:w="8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A Units/GP</w:t>
            </w:r>
          </w:p>
        </w:tc>
        <w:tc>
          <w:tcPr>
            <w:tcW w:w="70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4"/>
              </w:rPr>
              <w:t>Units</w:t>
            </w:r>
          </w:p>
        </w:tc>
        <w:tc>
          <w:tcPr>
            <w:tcW w:w="62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right w:val="single" w:sz="8" w:color="2C2C2C"/>
            </w:tcBorders>
            <w:gridSpan w:val="3"/>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0000FF"/>
              </w:rPr>
              <w:t>Units</w:t>
            </w: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spacing w:after="0" w:line="207" w:lineRule="exact"/>
              <w:rPr>
                <w:rFonts w:ascii="Arial" w:cs="Arial" w:eastAsia="Arial" w:hAnsi="Arial"/>
                <w:sz w:val="20"/>
                <w:szCs w:val="20"/>
                <w:color w:val="0000EE"/>
              </w:rPr>
            </w:pPr>
            <w:hyperlink r:id="rId12">
              <w:r>
                <w:rPr>
                  <w:rFonts w:ascii="Arial" w:cs="Arial" w:eastAsia="Arial" w:hAnsi="Arial"/>
                  <w:sz w:val="20"/>
                  <w:szCs w:val="20"/>
                  <w:color w:val="0000EE"/>
                </w:rPr>
                <w:t>KAFU Holdings (QP), L.P.</w:t>
              </w:r>
            </w:hyperlink>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tcPr>
          <w:p>
            <w:pPr>
              <w:ind w:left="36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5"/>
          </w:tcPr>
          <w:p>
            <w:pPr>
              <w:spacing w:after="0"/>
              <w:rPr>
                <w:sz w:val="20"/>
                <w:szCs w:val="20"/>
                <w:color w:val="auto"/>
              </w:rPr>
            </w:pPr>
            <w:r>
              <w:rPr>
                <w:rFonts w:ascii="Arial" w:cs="Arial" w:eastAsia="Arial" w:hAnsi="Arial"/>
                <w:sz w:val="16"/>
                <w:szCs w:val="16"/>
                <w:color w:val="0000FF"/>
              </w:rPr>
              <w:t>1800 AVENUE OF THE STARS, 3RD FLOOR</w:t>
            </w: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80" w:type="dxa"/>
            <w:vAlign w:val="bottom"/>
            <w:gridSpan w:val="2"/>
          </w:tcPr>
          <w:p>
            <w:pPr>
              <w:ind w:left="20"/>
              <w:spacing w:after="0"/>
              <w:rPr>
                <w:sz w:val="20"/>
                <w:szCs w:val="20"/>
                <w:color w:val="auto"/>
              </w:rPr>
            </w:pPr>
            <w:r>
              <w:rPr>
                <w:rFonts w:ascii="Arial" w:cs="Arial" w:eastAsia="Arial" w:hAnsi="Arial"/>
                <w:sz w:val="16"/>
                <w:szCs w:val="16"/>
                <w:color w:val="0000FF"/>
              </w:rPr>
              <w:t>CA</w:t>
            </w:r>
          </w:p>
        </w:tc>
        <w:tc>
          <w:tcPr>
            <w:tcW w:w="1080" w:type="dxa"/>
            <w:vAlign w:val="bottom"/>
          </w:tcPr>
          <w:p>
            <w:pPr>
              <w:ind w:left="360"/>
              <w:spacing w:after="0"/>
              <w:rPr>
                <w:sz w:val="20"/>
                <w:szCs w:val="20"/>
                <w:color w:val="auto"/>
              </w:rPr>
            </w:pPr>
            <w:r>
              <w:rPr>
                <w:rFonts w:ascii="Arial" w:cs="Arial" w:eastAsia="Arial" w:hAnsi="Arial"/>
                <w:sz w:val="16"/>
                <w:szCs w:val="16"/>
                <w:color w:val="0000FF"/>
              </w:rPr>
              <w:t>90067</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tcPr>
          <w:p>
            <w:pPr>
              <w:ind w:left="36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gridSpan w:val="7"/>
          </w:tcPr>
          <w:p>
            <w:pPr>
              <w:spacing w:after="0" w:line="207" w:lineRule="exact"/>
              <w:rPr>
                <w:rFonts w:ascii="Arial" w:cs="Arial" w:eastAsia="Arial" w:hAnsi="Arial"/>
                <w:sz w:val="20"/>
                <w:szCs w:val="20"/>
                <w:color w:val="0000EE"/>
                <w:w w:val="97"/>
              </w:rPr>
            </w:pPr>
            <w:hyperlink r:id="rId14">
              <w:r>
                <w:rPr>
                  <w:rFonts w:ascii="Arial" w:cs="Arial" w:eastAsia="Arial" w:hAnsi="Arial"/>
                  <w:sz w:val="20"/>
                  <w:szCs w:val="20"/>
                  <w:color w:val="0000EE"/>
                  <w:w w:val="97"/>
                </w:rPr>
                <w:t>KAYNE ANDERSON CAPITAL ADVISORS LP</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tcPr>
          <w:p>
            <w:pPr>
              <w:ind w:left="36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4"/>
          </w:tcPr>
          <w:p>
            <w:pPr>
              <w:spacing w:after="0"/>
              <w:rPr>
                <w:sz w:val="20"/>
                <w:szCs w:val="20"/>
                <w:color w:val="auto"/>
              </w:rPr>
            </w:pPr>
            <w:r>
              <w:rPr>
                <w:rFonts w:ascii="Arial" w:cs="Arial" w:eastAsia="Arial" w:hAnsi="Arial"/>
                <w:sz w:val="16"/>
                <w:szCs w:val="16"/>
                <w:color w:val="0000FF"/>
              </w:rPr>
              <w:t>1800 AVENUE OF THE STARS</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3RD FLOOR</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0000FF"/>
              </w:rPr>
              <w:t>LOS ANGELES</w:t>
            </w:r>
          </w:p>
        </w:tc>
        <w:tc>
          <w:tcPr>
            <w:tcW w:w="1080" w:type="dxa"/>
            <w:vAlign w:val="bottom"/>
            <w:gridSpan w:val="2"/>
          </w:tcPr>
          <w:p>
            <w:pPr>
              <w:ind w:left="20"/>
              <w:spacing w:after="0"/>
              <w:rPr>
                <w:sz w:val="20"/>
                <w:szCs w:val="20"/>
                <w:color w:val="auto"/>
              </w:rPr>
            </w:pPr>
            <w:r>
              <w:rPr>
                <w:rFonts w:ascii="Arial" w:cs="Arial" w:eastAsia="Arial" w:hAnsi="Arial"/>
                <w:sz w:val="16"/>
                <w:szCs w:val="16"/>
                <w:color w:val="0000FF"/>
              </w:rPr>
              <w:t>CA</w:t>
            </w:r>
          </w:p>
        </w:tc>
        <w:tc>
          <w:tcPr>
            <w:tcW w:w="1080" w:type="dxa"/>
            <w:vAlign w:val="bottom"/>
          </w:tcPr>
          <w:p>
            <w:pPr>
              <w:ind w:left="360"/>
              <w:spacing w:after="0"/>
              <w:rPr>
                <w:sz w:val="20"/>
                <w:szCs w:val="20"/>
                <w:color w:val="auto"/>
              </w:rPr>
            </w:pPr>
            <w:r>
              <w:rPr>
                <w:rFonts w:ascii="Arial" w:cs="Arial" w:eastAsia="Arial" w:hAnsi="Arial"/>
                <w:sz w:val="16"/>
                <w:szCs w:val="16"/>
                <w:color w:val="0000FF"/>
              </w:rPr>
              <w:t>90067</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tcPr>
          <w:p>
            <w:pPr>
              <w:ind w:left="36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-4963160</wp:posOffset>
            </wp:positionV>
            <wp:extent cx="28575" cy="1800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800225"/>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40" w:right="200" w:hanging="3"/>
        <w:spacing w:after="0" w:line="249"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June 30, 2021, KAFU Holdings (QP), L.P. exercised the Redemption Right with respect to an aggregate 535,009 Class A Units.</w:t>
      </w:r>
    </w:p>
    <w:p>
      <w:pPr>
        <w:spacing w:after="0" w:line="26" w:lineRule="exact"/>
        <w:rPr>
          <w:rFonts w:ascii="Arial" w:cs="Arial" w:eastAsia="Arial" w:hAnsi="Arial"/>
          <w:sz w:val="12"/>
          <w:szCs w:val="12"/>
          <w:color w:val="008000"/>
        </w:rPr>
      </w:pPr>
    </w:p>
    <w:p>
      <w:pPr>
        <w:ind w:left="40" w:right="340" w:hanging="3"/>
        <w:spacing w:after="0" w:line="272" w:lineRule="auto"/>
        <w:tabs>
          <w:tab w:leader="none" w:pos="16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KAFU Holdings (QP), L.P. ("KAFU") owns an equivalent number of Class A Units, Class B Shares and GP Units. KACALP is the managing member of the manager of KAFU and may be deemed to beneficially own the Class A Units, Class B Shares and GP Units held by KAFU.</w:t>
      </w:r>
    </w:p>
    <w:p>
      <w:pPr>
        <w:spacing w:after="0" w:line="11" w:lineRule="exact"/>
        <w:rPr>
          <w:rFonts w:ascii="Arial" w:cs="Arial" w:eastAsia="Arial" w:hAnsi="Arial"/>
          <w:sz w:val="12"/>
          <w:szCs w:val="12"/>
          <w:color w:val="008000"/>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involve an in-kind distribution to redeeming limited partners of KAFU Holdings (QP), L.P.</w:t>
      </w:r>
    </w:p>
    <w:p>
      <w:pPr>
        <w:spacing w:after="0" w:line="49" w:lineRule="exact"/>
        <w:rPr>
          <w:rFonts w:ascii="Arial" w:cs="Arial" w:eastAsia="Arial" w:hAnsi="Arial"/>
          <w:sz w:val="12"/>
          <w:szCs w:val="12"/>
          <w:color w:val="008000"/>
        </w:rPr>
      </w:pPr>
    </w:p>
    <w:p>
      <w:pPr>
        <w:ind w:left="40" w:right="280" w:hanging="3"/>
        <w:spacing w:after="0" w:line="300"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 a simultaneous transaction, KAFU exercised the exchange right provided for in the limited partnership agreement of AAP with respect to 25,554 Class A units. As a result, such Class A units were cancelled and 25,554 Class A Shares of PAGP were issued to KAFU. The number of derivative securities owned reflects both the redemption transaction reported herein and the simultaneous exchange transaction.</w:t>
      </w: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41" w:orient="portrait"/>
          <w:cols w:equalWidth="0" w:num="1">
            <w:col w:w="11080"/>
          </w:cols>
          <w:pgMar w:left="460" w:top="220" w:right="359" w:bottom="0" w:gutter="0" w:footer="0" w:header="0"/>
          <w:type w:val="continuous"/>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Kevin McCarthy is a director of the managing general partner of the Issuer. Based on the relationship of Mr. McCarthy and the Reporting Persons, the Reporting Persons may be deemed directors by deputization of the</w:t>
      </w:r>
    </w:p>
    <w:p>
      <w:pPr>
        <w:sectPr>
          <w:pgSz w:w="11900" w:h="16841" w:orient="portrait"/>
          <w:cols w:equalWidth="0" w:num="1">
            <w:col w:w="11080"/>
          </w:cols>
          <w:pgMar w:left="460" w:top="220" w:right="359" w:bottom="0" w:gutter="0" w:footer="0" w:header="0"/>
          <w:type w:val="continuous"/>
        </w:sectPr>
      </w:pPr>
    </w:p>
    <w:bookmarkStart w:id="1" w:name="page2"/>
    <w:bookmarkEnd w:id="1"/>
    <w:p>
      <w:pPr>
        <w:ind w:left="3"/>
        <w:spacing w:after="0" w:line="272" w:lineRule="auto"/>
        <w:rPr>
          <w:sz w:val="20"/>
          <w:szCs w:val="20"/>
          <w:color w:val="auto"/>
        </w:rPr>
      </w:pPr>
      <w:r>
        <w:rPr>
          <w:rFonts w:ascii="Arial" w:cs="Arial" w:eastAsia="Arial" w:hAnsi="Arial"/>
          <w:sz w:val="12"/>
          <w:szCs w:val="12"/>
          <w:color w:val="008000"/>
        </w:rPr>
        <w:t>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24"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5"/>
              </w:rPr>
              <w:t>/s/ Michael O'Neil</w:t>
            </w:r>
          </w:p>
        </w:tc>
        <w:tc>
          <w:tcPr>
            <w:tcW w:w="10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07/02/2021</w:t>
            </w:r>
          </w:p>
        </w:tc>
      </w:tr>
      <w:tr>
        <w:trPr>
          <w:trHeight w:val="216"/>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00" w:hanging="3"/>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3"/>
      </w:cols>
      <w:pgMar w:left="497"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2021-07-02T10:54:47Z</dcterms:created>
  <dcterms:modified xsi:type="dcterms:W3CDTF">2021-07-02T10:54:47Z</dcterms:modified>
</cp:coreProperties>
</file>