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40676p1e425.htm"/>
      <w:bookmarkStart w:id="1" w:name="ksh40676p1e425"/>
      <w:bookmarkEnd w:id="0"/>
      <w:bookmarkEnd w:id="1"/>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Filed by Plains All American Pipeline, L.P. (1-14569)</w:t>
        <w:br/>
        <w:t>Pursuant to Rule 425 under the Securities Act of 1933</w:t>
        <w:br/>
        <w:t>Subject Company: Pacific Energy Partners, L.P. (1-31345)</w:t>
        <w:br/>
        <w:t xml:space="preserve">Commission File No. 333-135712 </w:t>
      </w:r>
    </w:p>
    <w:p>
      <w:pPr>
        <w:pStyle w:val="TextBody"/>
        <w:spacing w:before="360" w:after="283"/>
        <w:jc w:val="left"/>
        <w:rPr/>
      </w:pPr>
      <w:r>
        <w:rPr/>
        <w:t>     </w:t>
      </w:r>
      <w:r>
        <w:rPr>
          <w:rFonts w:ascii="Times New Roman;Times;serif" w:hAnsi="Times New Roman;Times;serif"/>
          <w:sz w:val="17"/>
        </w:rPr>
        <w:t xml:space="preserve">On November 2, 2006, Plains All American Pipeline, L.P. furnished a current report on Form 8-K, which included the text set forth below: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2.02 and Item 7.01. Results of Operations and Financial Condition; Regulation FD Disclosure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Plains All American Pipeline, L.P. (the Partnership) today issued a press release reporting its third quarter 2006 results. We are furnishing the press release, attached as Exhibit 99.1, pursuant to Item 2.02 and Item 7.01 of Form 8-K. Pursuant to Item 7.01 we are providing detailed guidance for financial performance for the fourth quarter (which supersedes guidance in our 8-K furnished on August 1, 2006) of calendar 2006 and resulting financial performance for the full year of calendar 2006. The Partnerships guidance excludes any contribution from the proposed merger with Pacific Energy Partners, L.P. (Pacific Energy) announced June 12, 2006. Note 12 includes the estimated impact of the Pacific Energy acquisition to our fourth quarter, assuming the acquisition closes on November 15, 2006. In accordance with General Instruction B.2. of Form 8-K, the information presented herein under Item 2.02 and Item 7.01 shall not be deemed filed for purposes of Section 18 of the Securities Exchange Act of 1934, as amended, nor shall it be deemed incorporated by reference in any filing under the Securities Act of 1933, as amended, except as expressly set forth by specific reference in such a filing.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Update of Fourth Quarter 2006 Estimates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EBIT and EBITDA (each as defined below in Note 1 to the Operating and Financial Guidance table) are non-GAAP financial measures. Net income and cash flows from operating activities are the most directly comparable GAAP measures to EBIT and EBITDA. In Note 11 below, we reconcile EBITDA and EBIT to net income for the 2006 guidance periods presented. However, it is impractical to reconcile EBIT and EBITDA to cash flows from operating activities for forecasted periods. We encourage you to visit our website at </w:t>
      </w:r>
      <w:r>
        <w:rPr>
          <w:rFonts w:ascii="Times New Roman;Times;serif" w:hAnsi="Times New Roman;Times;serif"/>
          <w:i/>
          <w:sz w:val="17"/>
        </w:rPr>
        <w:t>www.paalp.com</w:t>
      </w:r>
      <w:r>
        <w:rPr>
          <w:rFonts w:ascii="Times New Roman;Times;serif" w:hAnsi="Times New Roman;Times;serif"/>
          <w:sz w:val="17"/>
        </w:rPr>
        <w:t xml:space="preserve">, in particular the section entitled Non-GAAP Reconciliation, which presents a historical reconciliation of certain commonly used non-GAAP financial measures, including EBIT and EBITDA. We present EBIT and EBITDA because we believe they provide additional information with respect to both the performance of our fundamental business activities and our ability to meet our future debt service, capital expenditures and working capital requirements. We also believe that debt holders commonly use EBITDA to analyze partnership performance. In addition, we have highlighted the impact of our long-term incentive plan, the cumulative effect of a change in accounting principle, gains and losses related to SFAS 133 (primarily non-cash, mark-to-market adjustments) to the extent known, interest expense related to our New Senior Notes (as defined in Note 7) and interest income from the investment of the net proceeds from the New Senior Notes on EBITDA, Net Income and Net Income per Basic and Diluted Limited Partner Unit. </w:t>
      </w:r>
    </w:p>
    <w:p>
      <w:pPr>
        <w:pStyle w:val="TextBody"/>
        <w:spacing w:before="120" w:after="283"/>
        <w:jc w:val="left"/>
        <w:rPr/>
      </w:pPr>
      <w:r>
        <w:rPr/>
        <w:t>     </w:t>
      </w:r>
      <w:r>
        <w:rPr>
          <w:rFonts w:ascii="Times New Roman;Times;serif" w:hAnsi="Times New Roman;Times;serif"/>
          <w:sz w:val="17"/>
        </w:rPr>
        <w:t xml:space="preserve">The following guidance for the three month period ending December 31, 2006 is based on assumptions and estimates that we believe are reasonable given our assessment of historical trends, business cycles and other information reasonably available. However, our assumptions and future performance are both subject to a wide range of business risks and uncertainties, so no assurance can be provided that actual performance will fall within the guidance ranges. Please refer to the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November 1, 2006. We undertake no obligation to publicly update or revise any forward-looking statements.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w:t>
        <w:br/>
        <w:t>Operating and Financial Guidance</w:t>
        <w:br/>
        <w:t>(in millions, except per unit data)</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852"/>
        <w:gridCol w:w="237"/>
        <w:gridCol w:w="242"/>
        <w:gridCol w:w="1117"/>
        <w:gridCol w:w="117"/>
        <w:gridCol w:w="88"/>
        <w:gridCol w:w="211"/>
        <w:gridCol w:w="921"/>
        <w:gridCol w:w="155"/>
        <w:gridCol w:w="186"/>
        <w:gridCol w:w="211"/>
        <w:gridCol w:w="924"/>
        <w:gridCol w:w="117"/>
        <w:gridCol w:w="88"/>
        <w:gridCol w:w="204"/>
        <w:gridCol w:w="982"/>
        <w:gridCol w:w="150"/>
        <w:gridCol w:w="108"/>
        <w:gridCol w:w="204"/>
        <w:gridCol w:w="984"/>
        <w:gridCol w:w="107"/>
      </w:tblGrid>
      <w:tr>
        <w:trPr/>
        <w:tc>
          <w:tcPr>
            <w:tcW w:w="285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285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35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Actual</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5445"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Guidance*</w:t>
            </w:r>
          </w:p>
        </w:tc>
        <w:tc>
          <w:tcPr>
            <w:tcW w:w="107" w:type="dxa"/>
            <w:tcBorders/>
            <w:shd w:fill="auto" w:val="clear"/>
            <w:vAlign w:val="bottom"/>
          </w:tcPr>
          <w:p>
            <w:pPr>
              <w:pStyle w:val="TableContents"/>
              <w:spacing w:before="0" w:after="283"/>
              <w:rPr/>
            </w:pPr>
            <w:r>
              <w:rPr/>
              <w:t> </w:t>
            </w:r>
          </w:p>
        </w:tc>
      </w:tr>
      <w:tr>
        <w:trPr/>
        <w:tc>
          <w:tcPr>
            <w:tcW w:w="285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359" w:type="dxa"/>
            <w:gridSpan w:val="2"/>
            <w:tcBorders/>
            <w:shd w:fill="auto" w:val="clear"/>
            <w:vAlign w:val="bottom"/>
          </w:tcPr>
          <w:p>
            <w:pPr>
              <w:pStyle w:val="TableContents"/>
              <w:spacing w:before="0" w:after="283"/>
              <w:jc w:val="center"/>
              <w:rPr>
                <w:b/>
              </w:rPr>
            </w:pPr>
            <w:r>
              <w:rPr>
                <w:b/>
              </w:rPr>
              <w:t>Nine Months</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608" w:type="dxa"/>
            <w:gridSpan w:val="6"/>
            <w:tcBorders/>
            <w:shd w:fill="auto" w:val="clear"/>
            <w:vAlign w:val="bottom"/>
          </w:tcPr>
          <w:p>
            <w:pPr>
              <w:pStyle w:val="TableContents"/>
              <w:spacing w:before="0" w:after="283"/>
              <w:jc w:val="center"/>
              <w:rPr>
                <w:b/>
              </w:rPr>
            </w:pPr>
            <w:r>
              <w:rPr>
                <w:b/>
              </w:rPr>
              <w:t>Three Months Ending</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632" w:type="dxa"/>
            <w:gridSpan w:val="6"/>
            <w:tcBorders/>
            <w:shd w:fill="auto" w:val="clear"/>
            <w:vAlign w:val="bottom"/>
          </w:tcPr>
          <w:p>
            <w:pPr>
              <w:pStyle w:val="TableContents"/>
              <w:spacing w:before="0" w:after="283"/>
              <w:jc w:val="center"/>
              <w:rPr>
                <w:b/>
              </w:rPr>
            </w:pPr>
            <w:r>
              <w:rPr>
                <w:b/>
              </w:rPr>
              <w:t>Twelve Months Ending</w:t>
            </w:r>
          </w:p>
        </w:tc>
        <w:tc>
          <w:tcPr>
            <w:tcW w:w="107" w:type="dxa"/>
            <w:tcBorders/>
            <w:shd w:fill="auto" w:val="clear"/>
            <w:vAlign w:val="bottom"/>
          </w:tcPr>
          <w:p>
            <w:pPr>
              <w:pStyle w:val="TableContents"/>
              <w:spacing w:before="0" w:after="283"/>
              <w:rPr/>
            </w:pPr>
            <w:r>
              <w:rPr/>
              <w:t> </w:t>
            </w:r>
          </w:p>
        </w:tc>
      </w:tr>
      <w:tr>
        <w:trPr/>
        <w:tc>
          <w:tcPr>
            <w:tcW w:w="285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35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Ended</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60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2006</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63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2006</w:t>
            </w:r>
          </w:p>
        </w:tc>
        <w:tc>
          <w:tcPr>
            <w:tcW w:w="107" w:type="dxa"/>
            <w:tcBorders/>
            <w:shd w:fill="auto" w:val="clear"/>
            <w:vAlign w:val="bottom"/>
          </w:tcPr>
          <w:p>
            <w:pPr>
              <w:pStyle w:val="TableContents"/>
              <w:spacing w:before="0" w:after="283"/>
              <w:rPr/>
            </w:pPr>
            <w:r>
              <w:rPr/>
              <w:t> </w:t>
            </w:r>
          </w:p>
        </w:tc>
      </w:tr>
      <w:tr>
        <w:trPr/>
        <w:tc>
          <w:tcPr>
            <w:tcW w:w="285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35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09/30/06</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13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13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18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5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18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07" w:type="dxa"/>
            <w:tcBorders/>
            <w:shd w:fill="auto" w:val="clear"/>
            <w:vAlign w:val="bottom"/>
          </w:tcPr>
          <w:p>
            <w:pPr>
              <w:pStyle w:val="TableContents"/>
              <w:spacing w:before="0" w:after="283"/>
              <w:rPr/>
            </w:pPr>
            <w:r>
              <w:rPr/>
              <w:t> </w:t>
            </w:r>
          </w:p>
        </w:tc>
      </w:tr>
      <w:tr>
        <w:trPr/>
        <w:tc>
          <w:tcPr>
            <w:tcW w:w="2852" w:type="dxa"/>
            <w:tcBorders/>
            <w:shd w:fill="CCEEFF" w:val="clear"/>
            <w:vAlign w:val="bottom"/>
          </w:tcPr>
          <w:p>
            <w:pPr>
              <w:pStyle w:val="TableContents"/>
              <w:spacing w:before="0" w:after="0"/>
              <w:ind w:left="225" w:right="0" w:hanging="225"/>
              <w:rPr>
                <w:b/>
              </w:rPr>
            </w:pPr>
            <w:r>
              <w:rPr>
                <w:b/>
              </w:rPr>
              <w:t>Pipeline</w:t>
            </w:r>
          </w:p>
        </w:tc>
        <w:tc>
          <w:tcPr>
            <w:tcW w:w="23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r>
      <w:tr>
        <w:trPr/>
        <w:tc>
          <w:tcPr>
            <w:tcW w:w="2852" w:type="dxa"/>
            <w:tcBorders/>
            <w:shd w:fill="auto" w:val="clear"/>
            <w:vAlign w:val="bottom"/>
          </w:tcPr>
          <w:p>
            <w:pPr>
              <w:pStyle w:val="TableContents"/>
              <w:spacing w:before="0" w:after="0"/>
              <w:ind w:left="450" w:right="0" w:hanging="225"/>
              <w:rPr/>
            </w:pPr>
            <w:r>
              <w:rPr/>
              <w:t>Net revenues</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left"/>
              <w:rPr/>
            </w:pPr>
            <w:r>
              <w:rPr/>
              <w:t>$</w:t>
            </w:r>
          </w:p>
        </w:tc>
        <w:tc>
          <w:tcPr>
            <w:tcW w:w="1117" w:type="dxa"/>
            <w:tcBorders/>
            <w:shd w:fill="auto" w:val="clear"/>
            <w:vAlign w:val="bottom"/>
          </w:tcPr>
          <w:p>
            <w:pPr>
              <w:pStyle w:val="TableContents"/>
              <w:spacing w:before="0" w:after="283"/>
              <w:jc w:val="right"/>
              <w:rPr/>
            </w:pPr>
            <w:r>
              <w:rPr/>
              <w:t>319.4</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921" w:type="dxa"/>
            <w:tcBorders/>
            <w:shd w:fill="auto" w:val="clear"/>
            <w:vAlign w:val="bottom"/>
          </w:tcPr>
          <w:p>
            <w:pPr>
              <w:pStyle w:val="TableContents"/>
              <w:spacing w:before="0" w:after="283"/>
              <w:jc w:val="right"/>
              <w:rPr/>
            </w:pPr>
            <w:r>
              <w:rPr/>
              <w:t>110.3</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924" w:type="dxa"/>
            <w:tcBorders/>
            <w:shd w:fill="auto" w:val="clear"/>
            <w:vAlign w:val="bottom"/>
          </w:tcPr>
          <w:p>
            <w:pPr>
              <w:pStyle w:val="TableContents"/>
              <w:spacing w:before="0" w:after="283"/>
              <w:jc w:val="right"/>
              <w:rPr/>
            </w:pPr>
            <w:r>
              <w:rPr/>
              <w:t>111.7</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982" w:type="dxa"/>
            <w:tcBorders/>
            <w:shd w:fill="auto" w:val="clear"/>
            <w:vAlign w:val="bottom"/>
          </w:tcPr>
          <w:p>
            <w:pPr>
              <w:pStyle w:val="TableContents"/>
              <w:spacing w:before="0" w:after="283"/>
              <w:jc w:val="right"/>
              <w:rPr/>
            </w:pPr>
            <w:r>
              <w:rPr/>
              <w:t>429.7</w:t>
            </w:r>
          </w:p>
        </w:tc>
        <w:tc>
          <w:tcPr>
            <w:tcW w:w="15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984" w:type="dxa"/>
            <w:tcBorders/>
            <w:shd w:fill="auto" w:val="clear"/>
            <w:vAlign w:val="bottom"/>
          </w:tcPr>
          <w:p>
            <w:pPr>
              <w:pStyle w:val="TableContents"/>
              <w:spacing w:before="0" w:after="283"/>
              <w:jc w:val="right"/>
              <w:rPr/>
            </w:pPr>
            <w:r>
              <w:rPr/>
              <w:t>431.1</w:t>
            </w:r>
          </w:p>
        </w:tc>
        <w:tc>
          <w:tcPr>
            <w:tcW w:w="107" w:type="dxa"/>
            <w:tcBorders/>
            <w:shd w:fill="auto" w:val="clear"/>
            <w:vAlign w:val="bottom"/>
          </w:tcPr>
          <w:p>
            <w:pPr>
              <w:pStyle w:val="TableContents"/>
              <w:spacing w:before="0" w:after="283"/>
              <w:rPr/>
            </w:pPr>
            <w:r>
              <w:rPr/>
              <w:t> </w:t>
            </w:r>
          </w:p>
        </w:tc>
      </w:tr>
      <w:tr>
        <w:trPr/>
        <w:tc>
          <w:tcPr>
            <w:tcW w:w="2852" w:type="dxa"/>
            <w:tcBorders/>
            <w:shd w:fill="CCEEFF" w:val="clear"/>
            <w:vAlign w:val="bottom"/>
          </w:tcPr>
          <w:p>
            <w:pPr>
              <w:pStyle w:val="TableContents"/>
              <w:spacing w:before="0" w:after="0"/>
              <w:ind w:left="450" w:right="0" w:hanging="225"/>
              <w:rPr/>
            </w:pPr>
            <w:r>
              <w:rPr/>
              <w:t>Field operating costs</w:t>
            </w:r>
          </w:p>
        </w:tc>
        <w:tc>
          <w:tcPr>
            <w:tcW w:w="23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pPr>
            <w:r>
              <w:rPr/>
              <w:t>(138.1</w:t>
            </w:r>
          </w:p>
        </w:tc>
        <w:tc>
          <w:tcPr>
            <w:tcW w:w="117" w:type="dxa"/>
            <w:tcBorders/>
            <w:shd w:fill="CCEEFF" w:val="clear"/>
            <w:vAlign w:val="bottom"/>
          </w:tcPr>
          <w:p>
            <w:pPr>
              <w:pStyle w:val="TableContents"/>
              <w:spacing w:before="0" w:after="283"/>
              <w:rPr/>
            </w:pPr>
            <w:r>
              <w:rPr/>
              <w:t>)</w:t>
            </w:r>
          </w:p>
        </w:tc>
        <w:tc>
          <w:tcPr>
            <w:tcW w:w="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 </w:t>
            </w:r>
          </w:p>
        </w:tc>
        <w:tc>
          <w:tcPr>
            <w:tcW w:w="921" w:type="dxa"/>
            <w:tcBorders/>
            <w:shd w:fill="CCEEFF" w:val="clear"/>
            <w:vAlign w:val="bottom"/>
          </w:tcPr>
          <w:p>
            <w:pPr>
              <w:pStyle w:val="TableContents"/>
              <w:spacing w:before="0" w:after="283"/>
              <w:jc w:val="right"/>
              <w:rPr/>
            </w:pPr>
            <w:r>
              <w:rPr/>
              <w:t>(47.2</w:t>
            </w:r>
          </w:p>
        </w:tc>
        <w:tc>
          <w:tcPr>
            <w:tcW w:w="155" w:type="dxa"/>
            <w:tcBorders/>
            <w:shd w:fill="CCEEFF" w:val="clear"/>
            <w:vAlign w:val="bottom"/>
          </w:tcPr>
          <w:p>
            <w:pPr>
              <w:pStyle w:val="TableContents"/>
              <w:spacing w:before="0" w:after="283"/>
              <w:rPr/>
            </w:pPr>
            <w:r>
              <w:rPr/>
              <w:t>)</w:t>
            </w:r>
          </w:p>
        </w:tc>
        <w:tc>
          <w:tcPr>
            <w:tcW w:w="18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 </w:t>
            </w:r>
          </w:p>
        </w:tc>
        <w:tc>
          <w:tcPr>
            <w:tcW w:w="924" w:type="dxa"/>
            <w:tcBorders/>
            <w:shd w:fill="CCEEFF" w:val="clear"/>
            <w:vAlign w:val="bottom"/>
          </w:tcPr>
          <w:p>
            <w:pPr>
              <w:pStyle w:val="TableContents"/>
              <w:spacing w:before="0" w:after="283"/>
              <w:jc w:val="right"/>
              <w:rPr/>
            </w:pPr>
            <w:r>
              <w:rPr/>
              <w:t>(46.6</w:t>
            </w:r>
          </w:p>
        </w:tc>
        <w:tc>
          <w:tcPr>
            <w:tcW w:w="117" w:type="dxa"/>
            <w:tcBorders/>
            <w:shd w:fill="CCEEFF" w:val="clear"/>
            <w:vAlign w:val="bottom"/>
          </w:tcPr>
          <w:p>
            <w:pPr>
              <w:pStyle w:val="TableContents"/>
              <w:spacing w:before="0" w:after="283"/>
              <w:rPr/>
            </w:pPr>
            <w:r>
              <w:rPr/>
              <w:t>)</w:t>
            </w:r>
          </w:p>
        </w:tc>
        <w:tc>
          <w:tcPr>
            <w:tcW w:w="8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(185.3</w:t>
            </w:r>
          </w:p>
        </w:tc>
        <w:tc>
          <w:tcPr>
            <w:tcW w:w="150" w:type="dxa"/>
            <w:tcBorders/>
            <w:shd w:fill="CCEEFF" w:val="clear"/>
            <w:vAlign w:val="bottom"/>
          </w:tcPr>
          <w:p>
            <w:pPr>
              <w:pStyle w:val="TableContents"/>
              <w:spacing w:before="0" w:after="283"/>
              <w:rPr/>
            </w:pPr>
            <w:r>
              <w:rPr/>
              <w:t>)</w:t>
            </w:r>
          </w:p>
        </w:tc>
        <w:tc>
          <w:tcPr>
            <w:tcW w:w="1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(184.7</w:t>
            </w:r>
          </w:p>
        </w:tc>
        <w:tc>
          <w:tcPr>
            <w:tcW w:w="107" w:type="dxa"/>
            <w:tcBorders/>
            <w:shd w:fill="CCEEFF" w:val="clear"/>
            <w:vAlign w:val="bottom"/>
          </w:tcPr>
          <w:p>
            <w:pPr>
              <w:pStyle w:val="TableContents"/>
              <w:spacing w:before="0" w:after="283"/>
              <w:rPr/>
            </w:pPr>
            <w:r>
              <w:rPr/>
              <w:t>)</w:t>
            </w:r>
          </w:p>
        </w:tc>
      </w:tr>
      <w:tr>
        <w:trPr/>
        <w:tc>
          <w:tcPr>
            <w:tcW w:w="2852" w:type="dxa"/>
            <w:tcBorders/>
            <w:shd w:fill="auto" w:val="clear"/>
            <w:vAlign w:val="bottom"/>
          </w:tcPr>
          <w:p>
            <w:pPr>
              <w:pStyle w:val="TableContents"/>
              <w:spacing w:before="0" w:after="0"/>
              <w:ind w:left="450" w:right="0" w:hanging="225"/>
              <w:rPr/>
            </w:pPr>
            <w:r>
              <w:rPr/>
              <w:t>General and administrative expenses</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left"/>
              <w:rPr/>
            </w:pPr>
            <w:r>
              <w:rPr/>
              <w:t> </w:t>
            </w:r>
          </w:p>
        </w:tc>
        <w:tc>
          <w:tcPr>
            <w:tcW w:w="1117" w:type="dxa"/>
            <w:tcBorders/>
            <w:shd w:fill="auto" w:val="clear"/>
            <w:vAlign w:val="bottom"/>
          </w:tcPr>
          <w:p>
            <w:pPr>
              <w:pStyle w:val="TableContents"/>
              <w:spacing w:before="0" w:after="283"/>
              <w:jc w:val="right"/>
              <w:rPr/>
            </w:pPr>
            <w:r>
              <w:rPr/>
              <w:t>(38.0</w:t>
            </w:r>
          </w:p>
        </w:tc>
        <w:tc>
          <w:tcPr>
            <w:tcW w:w="117" w:type="dxa"/>
            <w:tcBorders/>
            <w:shd w:fill="auto" w:val="clear"/>
            <w:vAlign w:val="bottom"/>
          </w:tcPr>
          <w:p>
            <w:pPr>
              <w:pStyle w:val="TableContents"/>
              <w:spacing w:before="0" w:after="283"/>
              <w:rPr/>
            </w:pPr>
            <w:r>
              <w:rPr/>
              <w:t>)</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 </w:t>
            </w:r>
          </w:p>
        </w:tc>
        <w:tc>
          <w:tcPr>
            <w:tcW w:w="921" w:type="dxa"/>
            <w:tcBorders/>
            <w:shd w:fill="auto" w:val="clear"/>
            <w:vAlign w:val="bottom"/>
          </w:tcPr>
          <w:p>
            <w:pPr>
              <w:pStyle w:val="TableContents"/>
              <w:spacing w:before="0" w:after="283"/>
              <w:jc w:val="right"/>
              <w:rPr/>
            </w:pPr>
            <w:r>
              <w:rPr/>
              <w:t>(12.4</w:t>
            </w:r>
          </w:p>
        </w:tc>
        <w:tc>
          <w:tcPr>
            <w:tcW w:w="155" w:type="dxa"/>
            <w:tcBorders/>
            <w:shd w:fill="auto" w:val="clear"/>
            <w:vAlign w:val="bottom"/>
          </w:tcPr>
          <w:p>
            <w:pPr>
              <w:pStyle w:val="TableContents"/>
              <w:spacing w:before="0" w:after="283"/>
              <w:rPr/>
            </w:pPr>
            <w:r>
              <w:rPr/>
              <w:t>)</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 </w:t>
            </w:r>
          </w:p>
        </w:tc>
        <w:tc>
          <w:tcPr>
            <w:tcW w:w="924" w:type="dxa"/>
            <w:tcBorders/>
            <w:shd w:fill="auto" w:val="clear"/>
            <w:vAlign w:val="bottom"/>
          </w:tcPr>
          <w:p>
            <w:pPr>
              <w:pStyle w:val="TableContents"/>
              <w:spacing w:before="0" w:after="283"/>
              <w:jc w:val="right"/>
              <w:rPr/>
            </w:pPr>
            <w:r>
              <w:rPr/>
              <w:t>(12.2</w:t>
            </w:r>
          </w:p>
        </w:tc>
        <w:tc>
          <w:tcPr>
            <w:tcW w:w="117" w:type="dxa"/>
            <w:tcBorders/>
            <w:shd w:fill="auto" w:val="clear"/>
            <w:vAlign w:val="bottom"/>
          </w:tcPr>
          <w:p>
            <w:pPr>
              <w:pStyle w:val="TableContents"/>
              <w:spacing w:before="0" w:after="283"/>
              <w:rPr/>
            </w:pPr>
            <w:r>
              <w:rPr/>
              <w:t>)</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982" w:type="dxa"/>
            <w:tcBorders/>
            <w:shd w:fill="auto" w:val="clear"/>
            <w:vAlign w:val="bottom"/>
          </w:tcPr>
          <w:p>
            <w:pPr>
              <w:pStyle w:val="TableContents"/>
              <w:spacing w:before="0" w:after="283"/>
              <w:jc w:val="right"/>
              <w:rPr/>
            </w:pPr>
            <w:r>
              <w:rPr/>
              <w:t>(50.4</w:t>
            </w:r>
          </w:p>
        </w:tc>
        <w:tc>
          <w:tcPr>
            <w:tcW w:w="150" w:type="dxa"/>
            <w:tcBorders/>
            <w:shd w:fill="auto" w:val="clear"/>
            <w:vAlign w:val="bottom"/>
          </w:tcPr>
          <w:p>
            <w:pPr>
              <w:pStyle w:val="TableContents"/>
              <w:spacing w:before="0" w:after="283"/>
              <w:rPr/>
            </w:pPr>
            <w:r>
              <w:rPr/>
              <w:t>)</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283"/>
              <w:jc w:val="right"/>
              <w:rPr/>
            </w:pPr>
            <w:r>
              <w:rPr/>
              <w:t>(50.2</w:t>
            </w:r>
          </w:p>
        </w:tc>
        <w:tc>
          <w:tcPr>
            <w:tcW w:w="107" w:type="dxa"/>
            <w:tcBorders/>
            <w:shd w:fill="auto" w:val="clear"/>
            <w:vAlign w:val="bottom"/>
          </w:tcPr>
          <w:p>
            <w:pPr>
              <w:pStyle w:val="TableContents"/>
              <w:spacing w:before="0" w:after="283"/>
              <w:rPr/>
            </w:pPr>
            <w:r>
              <w:rPr/>
              <w:t>)</w:t>
            </w:r>
          </w:p>
        </w:tc>
      </w:tr>
      <w:tr>
        <w:trPr/>
        <w:tc>
          <w:tcPr>
            <w:tcW w:w="2852" w:type="dxa"/>
            <w:tcBorders/>
            <w:shd w:fill="auto" w:val="clear"/>
            <w:vAlign w:val="center"/>
          </w:tcPr>
          <w:p>
            <w:pPr>
              <w:pStyle w:val="TableContents"/>
              <w:spacing w:before="0" w:after="0"/>
              <w:ind w:left="225" w:right="0" w:hanging="225"/>
              <w:rPr/>
            </w:pPr>
            <w:r>
              <w:rPr/>
              <w:t> </w:t>
            </w:r>
          </w:p>
        </w:tc>
        <w:tc>
          <w:tcPr>
            <w:tcW w:w="237" w:type="dxa"/>
            <w:tcBorders/>
            <w:shd w:fill="auto" w:val="clear"/>
            <w:vAlign w:val="center"/>
          </w:tcPr>
          <w:p>
            <w:pPr>
              <w:pStyle w:val="TableContents"/>
              <w:spacing w:before="0" w:after="283"/>
              <w:rPr/>
            </w:pPr>
            <w:r>
              <w:rPr/>
              <w:t> </w:t>
            </w:r>
          </w:p>
        </w:tc>
        <w:tc>
          <w:tcPr>
            <w:tcW w:w="13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1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11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r>
        <w:trPr/>
        <w:tc>
          <w:tcPr>
            <w:tcW w:w="2852" w:type="dxa"/>
            <w:tcBorders/>
            <w:shd w:fill="CCEEFF" w:val="clear"/>
            <w:vAlign w:val="bottom"/>
          </w:tcPr>
          <w:p>
            <w:pPr>
              <w:pStyle w:val="TableContents"/>
              <w:spacing w:before="0" w:after="0"/>
              <w:ind w:left="225" w:right="0" w:hanging="225"/>
              <w:rPr/>
            </w:pPr>
            <w:r>
              <w:rPr/>
              <w:t> </w:t>
            </w:r>
          </w:p>
        </w:tc>
        <w:tc>
          <w:tcPr>
            <w:tcW w:w="23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143.3</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50.7</w:t>
            </w:r>
          </w:p>
        </w:tc>
        <w:tc>
          <w:tcPr>
            <w:tcW w:w="15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jc w:val="right"/>
              <w:rPr/>
            </w:pPr>
            <w:r>
              <w:rPr/>
              <w:t>52.9</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194.0</w:t>
            </w:r>
          </w:p>
        </w:tc>
        <w:tc>
          <w:tcPr>
            <w:tcW w:w="15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196.2</w:t>
            </w:r>
          </w:p>
        </w:tc>
        <w:tc>
          <w:tcPr>
            <w:tcW w:w="107" w:type="dxa"/>
            <w:tcBorders/>
            <w:shd w:fill="CCEEFF" w:val="clear"/>
            <w:vAlign w:val="bottom"/>
          </w:tcPr>
          <w:p>
            <w:pPr>
              <w:pStyle w:val="TableContents"/>
              <w:spacing w:before="0" w:after="283"/>
              <w:rPr/>
            </w:pPr>
            <w:r>
              <w:rPr/>
              <w:t> </w:t>
            </w:r>
          </w:p>
        </w:tc>
      </w:tr>
      <w:tr>
        <w:trPr/>
        <w:tc>
          <w:tcPr>
            <w:tcW w:w="2852" w:type="dxa"/>
            <w:tcBorders/>
            <w:shd w:fill="auto" w:val="clear"/>
            <w:vAlign w:val="center"/>
          </w:tcPr>
          <w:p>
            <w:pPr>
              <w:pStyle w:val="TableContents"/>
              <w:spacing w:before="0" w:after="0"/>
              <w:ind w:left="225" w:right="0" w:hanging="225"/>
              <w:rPr/>
            </w:pPr>
            <w:r>
              <w:rPr/>
              <w:t> </w:t>
            </w:r>
          </w:p>
        </w:tc>
        <w:tc>
          <w:tcPr>
            <w:tcW w:w="237" w:type="dxa"/>
            <w:tcBorders/>
            <w:shd w:fill="auto" w:val="clear"/>
            <w:vAlign w:val="center"/>
          </w:tcPr>
          <w:p>
            <w:pPr>
              <w:pStyle w:val="TableContents"/>
              <w:spacing w:before="0" w:after="283"/>
              <w:rPr/>
            </w:pPr>
            <w:r>
              <w:rPr/>
              <w:t> </w:t>
            </w:r>
          </w:p>
        </w:tc>
        <w:tc>
          <w:tcPr>
            <w:tcW w:w="13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1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11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r>
        <w:trPr/>
        <w:tc>
          <w:tcPr>
            <w:tcW w:w="2852" w:type="dxa"/>
            <w:tcBorders/>
            <w:shd w:fill="auto" w:val="clear"/>
            <w:vAlign w:val="bottom"/>
          </w:tcPr>
          <w:p>
            <w:pPr>
              <w:pStyle w:val="TableContents"/>
              <w:spacing w:before="0" w:after="0"/>
              <w:ind w:left="225" w:right="0" w:hanging="225"/>
              <w:rPr/>
            </w:pPr>
            <w:r>
              <w:rPr/>
              <w:t> </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2852" w:type="dxa"/>
            <w:tcBorders/>
            <w:shd w:fill="auto" w:val="clear"/>
            <w:vAlign w:val="bottom"/>
          </w:tcPr>
          <w:p>
            <w:pPr>
              <w:pStyle w:val="TableContents"/>
              <w:spacing w:before="0" w:after="0"/>
              <w:ind w:left="225" w:right="0" w:hanging="225"/>
              <w:rPr>
                <w:b/>
              </w:rPr>
            </w:pPr>
            <w:r>
              <w:rPr>
                <w:b/>
              </w:rPr>
              <w:t>Gathering, Marketing, Terminalling &amp; Storage</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2852" w:type="dxa"/>
            <w:tcBorders/>
            <w:shd w:fill="CCEEFF" w:val="clear"/>
            <w:vAlign w:val="bottom"/>
          </w:tcPr>
          <w:p>
            <w:pPr>
              <w:pStyle w:val="TableContents"/>
              <w:spacing w:before="0" w:after="0"/>
              <w:ind w:left="450" w:right="0" w:hanging="225"/>
              <w:rPr/>
            </w:pPr>
            <w:r>
              <w:rPr/>
              <w:t>Net revenues</w:t>
            </w:r>
          </w:p>
        </w:tc>
        <w:tc>
          <w:tcPr>
            <w:tcW w:w="23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382.8</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115.0</w:t>
            </w:r>
          </w:p>
        </w:tc>
        <w:tc>
          <w:tcPr>
            <w:tcW w:w="15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jc w:val="right"/>
              <w:rPr/>
            </w:pPr>
            <w:r>
              <w:rPr/>
              <w:t>121.4</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497.8</w:t>
            </w:r>
          </w:p>
        </w:tc>
        <w:tc>
          <w:tcPr>
            <w:tcW w:w="15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504.2</w:t>
            </w:r>
          </w:p>
        </w:tc>
        <w:tc>
          <w:tcPr>
            <w:tcW w:w="107" w:type="dxa"/>
            <w:tcBorders/>
            <w:shd w:fill="CCEEFF" w:val="clear"/>
            <w:vAlign w:val="bottom"/>
          </w:tcPr>
          <w:p>
            <w:pPr>
              <w:pStyle w:val="TableContents"/>
              <w:spacing w:before="0" w:after="283"/>
              <w:rPr/>
            </w:pPr>
            <w:r>
              <w:rPr/>
              <w:t> </w:t>
            </w:r>
          </w:p>
        </w:tc>
      </w:tr>
      <w:tr>
        <w:trPr/>
        <w:tc>
          <w:tcPr>
            <w:tcW w:w="2852" w:type="dxa"/>
            <w:tcBorders/>
            <w:shd w:fill="auto" w:val="clear"/>
            <w:vAlign w:val="bottom"/>
          </w:tcPr>
          <w:p>
            <w:pPr>
              <w:pStyle w:val="TableContents"/>
              <w:spacing w:before="0" w:after="0"/>
              <w:ind w:left="450" w:right="0" w:hanging="225"/>
              <w:rPr/>
            </w:pPr>
            <w:r>
              <w:rPr/>
              <w:t>Field operating costs</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left"/>
              <w:rPr/>
            </w:pPr>
            <w:r>
              <w:rPr/>
              <w:t> </w:t>
            </w:r>
          </w:p>
        </w:tc>
        <w:tc>
          <w:tcPr>
            <w:tcW w:w="1117" w:type="dxa"/>
            <w:tcBorders/>
            <w:shd w:fill="auto" w:val="clear"/>
            <w:vAlign w:val="bottom"/>
          </w:tcPr>
          <w:p>
            <w:pPr>
              <w:pStyle w:val="TableContents"/>
              <w:spacing w:before="0" w:after="283"/>
              <w:jc w:val="right"/>
              <w:rPr/>
            </w:pPr>
            <w:r>
              <w:rPr/>
              <w:t>(122.4</w:t>
            </w:r>
          </w:p>
        </w:tc>
        <w:tc>
          <w:tcPr>
            <w:tcW w:w="117" w:type="dxa"/>
            <w:tcBorders/>
            <w:shd w:fill="auto" w:val="clear"/>
            <w:vAlign w:val="bottom"/>
          </w:tcPr>
          <w:p>
            <w:pPr>
              <w:pStyle w:val="TableContents"/>
              <w:spacing w:before="0" w:after="283"/>
              <w:rPr/>
            </w:pPr>
            <w:r>
              <w:rPr/>
              <w:t>)</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 </w:t>
            </w:r>
          </w:p>
        </w:tc>
        <w:tc>
          <w:tcPr>
            <w:tcW w:w="921" w:type="dxa"/>
            <w:tcBorders/>
            <w:shd w:fill="auto" w:val="clear"/>
            <w:vAlign w:val="bottom"/>
          </w:tcPr>
          <w:p>
            <w:pPr>
              <w:pStyle w:val="TableContents"/>
              <w:spacing w:before="0" w:after="283"/>
              <w:jc w:val="right"/>
              <w:rPr/>
            </w:pPr>
            <w:r>
              <w:rPr/>
              <w:t>(43.0</w:t>
            </w:r>
          </w:p>
        </w:tc>
        <w:tc>
          <w:tcPr>
            <w:tcW w:w="155" w:type="dxa"/>
            <w:tcBorders/>
            <w:shd w:fill="auto" w:val="clear"/>
            <w:vAlign w:val="bottom"/>
          </w:tcPr>
          <w:p>
            <w:pPr>
              <w:pStyle w:val="TableContents"/>
              <w:spacing w:before="0" w:after="283"/>
              <w:rPr/>
            </w:pPr>
            <w:r>
              <w:rPr/>
              <w:t>)</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 </w:t>
            </w:r>
          </w:p>
        </w:tc>
        <w:tc>
          <w:tcPr>
            <w:tcW w:w="924" w:type="dxa"/>
            <w:tcBorders/>
            <w:shd w:fill="auto" w:val="clear"/>
            <w:vAlign w:val="bottom"/>
          </w:tcPr>
          <w:p>
            <w:pPr>
              <w:pStyle w:val="TableContents"/>
              <w:spacing w:before="0" w:after="283"/>
              <w:jc w:val="right"/>
              <w:rPr/>
            </w:pPr>
            <w:r>
              <w:rPr/>
              <w:t>(42.4</w:t>
            </w:r>
          </w:p>
        </w:tc>
        <w:tc>
          <w:tcPr>
            <w:tcW w:w="117" w:type="dxa"/>
            <w:tcBorders/>
            <w:shd w:fill="auto" w:val="clear"/>
            <w:vAlign w:val="bottom"/>
          </w:tcPr>
          <w:p>
            <w:pPr>
              <w:pStyle w:val="TableContents"/>
              <w:spacing w:before="0" w:after="283"/>
              <w:rPr/>
            </w:pPr>
            <w:r>
              <w:rPr/>
              <w:t>)</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982" w:type="dxa"/>
            <w:tcBorders/>
            <w:shd w:fill="auto" w:val="clear"/>
            <w:vAlign w:val="bottom"/>
          </w:tcPr>
          <w:p>
            <w:pPr>
              <w:pStyle w:val="TableContents"/>
              <w:spacing w:before="0" w:after="283"/>
              <w:jc w:val="right"/>
              <w:rPr/>
            </w:pPr>
            <w:r>
              <w:rPr/>
              <w:t>(165.4</w:t>
            </w:r>
          </w:p>
        </w:tc>
        <w:tc>
          <w:tcPr>
            <w:tcW w:w="150" w:type="dxa"/>
            <w:tcBorders/>
            <w:shd w:fill="auto" w:val="clear"/>
            <w:vAlign w:val="bottom"/>
          </w:tcPr>
          <w:p>
            <w:pPr>
              <w:pStyle w:val="TableContents"/>
              <w:spacing w:before="0" w:after="283"/>
              <w:rPr/>
            </w:pPr>
            <w:r>
              <w:rPr/>
              <w:t>)</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283"/>
              <w:jc w:val="right"/>
              <w:rPr/>
            </w:pPr>
            <w:r>
              <w:rPr/>
              <w:t>(164.8</w:t>
            </w:r>
          </w:p>
        </w:tc>
        <w:tc>
          <w:tcPr>
            <w:tcW w:w="107" w:type="dxa"/>
            <w:tcBorders/>
            <w:shd w:fill="auto" w:val="clear"/>
            <w:vAlign w:val="bottom"/>
          </w:tcPr>
          <w:p>
            <w:pPr>
              <w:pStyle w:val="TableContents"/>
              <w:spacing w:before="0" w:after="283"/>
              <w:rPr/>
            </w:pPr>
            <w:r>
              <w:rPr/>
              <w:t>)</w:t>
            </w:r>
          </w:p>
        </w:tc>
      </w:tr>
      <w:tr>
        <w:trPr/>
        <w:tc>
          <w:tcPr>
            <w:tcW w:w="2852" w:type="dxa"/>
            <w:tcBorders/>
            <w:shd w:fill="CCEEFF" w:val="clear"/>
            <w:vAlign w:val="bottom"/>
          </w:tcPr>
          <w:p>
            <w:pPr>
              <w:pStyle w:val="TableContents"/>
              <w:spacing w:before="0" w:after="0"/>
              <w:ind w:left="450" w:right="0" w:hanging="225"/>
              <w:rPr/>
            </w:pPr>
            <w:r>
              <w:rPr/>
              <w:t>General and administrative expenses</w:t>
            </w:r>
          </w:p>
        </w:tc>
        <w:tc>
          <w:tcPr>
            <w:tcW w:w="23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pPr>
            <w:r>
              <w:rPr/>
              <w:t>(54.2</w:t>
            </w:r>
          </w:p>
        </w:tc>
        <w:tc>
          <w:tcPr>
            <w:tcW w:w="117" w:type="dxa"/>
            <w:tcBorders/>
            <w:shd w:fill="CCEEFF" w:val="clear"/>
            <w:vAlign w:val="bottom"/>
          </w:tcPr>
          <w:p>
            <w:pPr>
              <w:pStyle w:val="TableContents"/>
              <w:spacing w:before="0" w:after="283"/>
              <w:rPr/>
            </w:pPr>
            <w:r>
              <w:rPr/>
              <w:t>)</w:t>
            </w:r>
          </w:p>
        </w:tc>
        <w:tc>
          <w:tcPr>
            <w:tcW w:w="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 </w:t>
            </w:r>
          </w:p>
        </w:tc>
        <w:tc>
          <w:tcPr>
            <w:tcW w:w="921" w:type="dxa"/>
            <w:tcBorders/>
            <w:shd w:fill="CCEEFF" w:val="clear"/>
            <w:vAlign w:val="bottom"/>
          </w:tcPr>
          <w:p>
            <w:pPr>
              <w:pStyle w:val="TableContents"/>
              <w:spacing w:before="0" w:after="283"/>
              <w:jc w:val="right"/>
              <w:rPr/>
            </w:pPr>
            <w:r>
              <w:rPr/>
              <w:t>(19.9</w:t>
            </w:r>
          </w:p>
        </w:tc>
        <w:tc>
          <w:tcPr>
            <w:tcW w:w="155" w:type="dxa"/>
            <w:tcBorders/>
            <w:shd w:fill="CCEEFF" w:val="clear"/>
            <w:vAlign w:val="bottom"/>
          </w:tcPr>
          <w:p>
            <w:pPr>
              <w:pStyle w:val="TableContents"/>
              <w:spacing w:before="0" w:after="283"/>
              <w:rPr/>
            </w:pPr>
            <w:r>
              <w:rPr/>
              <w:t>)</w:t>
            </w:r>
          </w:p>
        </w:tc>
        <w:tc>
          <w:tcPr>
            <w:tcW w:w="18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 </w:t>
            </w:r>
          </w:p>
        </w:tc>
        <w:tc>
          <w:tcPr>
            <w:tcW w:w="924" w:type="dxa"/>
            <w:tcBorders/>
            <w:shd w:fill="CCEEFF" w:val="clear"/>
            <w:vAlign w:val="bottom"/>
          </w:tcPr>
          <w:p>
            <w:pPr>
              <w:pStyle w:val="TableContents"/>
              <w:spacing w:before="0" w:after="283"/>
              <w:jc w:val="right"/>
              <w:rPr/>
            </w:pPr>
            <w:r>
              <w:rPr/>
              <w:t>(19.6</w:t>
            </w:r>
          </w:p>
        </w:tc>
        <w:tc>
          <w:tcPr>
            <w:tcW w:w="117" w:type="dxa"/>
            <w:tcBorders/>
            <w:shd w:fill="CCEEFF" w:val="clear"/>
            <w:vAlign w:val="bottom"/>
          </w:tcPr>
          <w:p>
            <w:pPr>
              <w:pStyle w:val="TableContents"/>
              <w:spacing w:before="0" w:after="283"/>
              <w:rPr/>
            </w:pPr>
            <w:r>
              <w:rPr/>
              <w:t>)</w:t>
            </w:r>
          </w:p>
        </w:tc>
        <w:tc>
          <w:tcPr>
            <w:tcW w:w="8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(74.1</w:t>
            </w:r>
          </w:p>
        </w:tc>
        <w:tc>
          <w:tcPr>
            <w:tcW w:w="150" w:type="dxa"/>
            <w:tcBorders/>
            <w:shd w:fill="CCEEFF" w:val="clear"/>
            <w:vAlign w:val="bottom"/>
          </w:tcPr>
          <w:p>
            <w:pPr>
              <w:pStyle w:val="TableContents"/>
              <w:spacing w:before="0" w:after="283"/>
              <w:rPr/>
            </w:pPr>
            <w:r>
              <w:rPr/>
              <w:t>)</w:t>
            </w:r>
          </w:p>
        </w:tc>
        <w:tc>
          <w:tcPr>
            <w:tcW w:w="1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(73.8</w:t>
            </w:r>
          </w:p>
        </w:tc>
        <w:tc>
          <w:tcPr>
            <w:tcW w:w="107" w:type="dxa"/>
            <w:tcBorders/>
            <w:shd w:fill="CCEEFF" w:val="clear"/>
            <w:vAlign w:val="bottom"/>
          </w:tcPr>
          <w:p>
            <w:pPr>
              <w:pStyle w:val="TableContents"/>
              <w:spacing w:before="0" w:after="283"/>
              <w:rPr/>
            </w:pPr>
            <w:r>
              <w:rPr/>
              <w:t>)</w:t>
            </w:r>
          </w:p>
        </w:tc>
      </w:tr>
      <w:tr>
        <w:trPr/>
        <w:tc>
          <w:tcPr>
            <w:tcW w:w="2852" w:type="dxa"/>
            <w:tcBorders/>
            <w:shd w:fill="auto" w:val="clear"/>
            <w:vAlign w:val="center"/>
          </w:tcPr>
          <w:p>
            <w:pPr>
              <w:pStyle w:val="TableContents"/>
              <w:spacing w:before="0" w:after="0"/>
              <w:ind w:left="225" w:right="0" w:hanging="225"/>
              <w:rPr/>
            </w:pPr>
            <w:r>
              <w:rPr/>
              <w:t> </w:t>
            </w:r>
          </w:p>
        </w:tc>
        <w:tc>
          <w:tcPr>
            <w:tcW w:w="237" w:type="dxa"/>
            <w:tcBorders/>
            <w:shd w:fill="auto" w:val="clear"/>
            <w:vAlign w:val="center"/>
          </w:tcPr>
          <w:p>
            <w:pPr>
              <w:pStyle w:val="TableContents"/>
              <w:spacing w:before="0" w:after="283"/>
              <w:rPr/>
            </w:pPr>
            <w:r>
              <w:rPr/>
              <w:t> </w:t>
            </w:r>
          </w:p>
        </w:tc>
        <w:tc>
          <w:tcPr>
            <w:tcW w:w="13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1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11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r>
        <w:trPr/>
        <w:tc>
          <w:tcPr>
            <w:tcW w:w="2852" w:type="dxa"/>
            <w:tcBorders/>
            <w:shd w:fill="auto" w:val="clear"/>
            <w:vAlign w:val="bottom"/>
          </w:tcPr>
          <w:p>
            <w:pPr>
              <w:pStyle w:val="TableContents"/>
              <w:spacing w:before="0" w:after="0"/>
              <w:ind w:left="225" w:right="0" w:hanging="225"/>
              <w:rPr/>
            </w:pPr>
            <w:r>
              <w:rPr/>
              <w:t> </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206.2</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52.1</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59.4</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258.3</w:t>
            </w:r>
          </w:p>
        </w:tc>
        <w:tc>
          <w:tcPr>
            <w:tcW w:w="15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265.6</w:t>
            </w:r>
          </w:p>
        </w:tc>
        <w:tc>
          <w:tcPr>
            <w:tcW w:w="107" w:type="dxa"/>
            <w:tcBorders/>
            <w:shd w:fill="auto" w:val="clear"/>
            <w:vAlign w:val="bottom"/>
          </w:tcPr>
          <w:p>
            <w:pPr>
              <w:pStyle w:val="TableContents"/>
              <w:spacing w:before="0" w:after="283"/>
              <w:rPr/>
            </w:pPr>
            <w:r>
              <w:rPr/>
              <w:t> </w:t>
            </w:r>
          </w:p>
        </w:tc>
      </w:tr>
      <w:tr>
        <w:trPr/>
        <w:tc>
          <w:tcPr>
            <w:tcW w:w="2852" w:type="dxa"/>
            <w:tcBorders/>
            <w:shd w:fill="auto" w:val="clear"/>
            <w:vAlign w:val="center"/>
          </w:tcPr>
          <w:p>
            <w:pPr>
              <w:pStyle w:val="TableContents"/>
              <w:spacing w:before="0" w:after="0"/>
              <w:ind w:left="225" w:right="0" w:hanging="225"/>
              <w:rPr/>
            </w:pPr>
            <w:r>
              <w:rPr/>
              <w:t> </w:t>
            </w:r>
          </w:p>
        </w:tc>
        <w:tc>
          <w:tcPr>
            <w:tcW w:w="237" w:type="dxa"/>
            <w:tcBorders/>
            <w:shd w:fill="auto" w:val="clear"/>
            <w:vAlign w:val="center"/>
          </w:tcPr>
          <w:p>
            <w:pPr>
              <w:pStyle w:val="TableContents"/>
              <w:spacing w:before="0" w:after="283"/>
              <w:rPr/>
            </w:pPr>
            <w:r>
              <w:rPr/>
              <w:t> </w:t>
            </w:r>
          </w:p>
        </w:tc>
        <w:tc>
          <w:tcPr>
            <w:tcW w:w="13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1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11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r>
        <w:trPr/>
        <w:tc>
          <w:tcPr>
            <w:tcW w:w="2852" w:type="dxa"/>
            <w:tcBorders/>
            <w:shd w:fill="CCEEFF" w:val="clear"/>
            <w:vAlign w:val="bottom"/>
          </w:tcPr>
          <w:p>
            <w:pPr>
              <w:pStyle w:val="TableContents"/>
              <w:spacing w:before="0" w:after="0"/>
              <w:ind w:left="225" w:right="0" w:hanging="225"/>
              <w:rPr>
                <w:b/>
              </w:rPr>
            </w:pPr>
            <w:r>
              <w:rPr>
                <w:b/>
              </w:rPr>
              <w:t>Segment Profit</w:t>
            </w:r>
          </w:p>
        </w:tc>
        <w:tc>
          <w:tcPr>
            <w:tcW w:w="23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349.5</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102.8</w:t>
            </w:r>
          </w:p>
        </w:tc>
        <w:tc>
          <w:tcPr>
            <w:tcW w:w="15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jc w:val="right"/>
              <w:rPr/>
            </w:pPr>
            <w:r>
              <w:rPr/>
              <w:t>112.3</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452.3</w:t>
            </w:r>
          </w:p>
        </w:tc>
        <w:tc>
          <w:tcPr>
            <w:tcW w:w="15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461.8</w:t>
            </w:r>
          </w:p>
        </w:tc>
        <w:tc>
          <w:tcPr>
            <w:tcW w:w="107" w:type="dxa"/>
            <w:tcBorders/>
            <w:shd w:fill="CCEEFF" w:val="clear"/>
            <w:vAlign w:val="bottom"/>
          </w:tcPr>
          <w:p>
            <w:pPr>
              <w:pStyle w:val="TableContents"/>
              <w:spacing w:before="0" w:after="283"/>
              <w:rPr/>
            </w:pPr>
            <w:r>
              <w:rPr/>
              <w:t> </w:t>
            </w:r>
          </w:p>
        </w:tc>
      </w:tr>
      <w:tr>
        <w:trPr/>
        <w:tc>
          <w:tcPr>
            <w:tcW w:w="2852" w:type="dxa"/>
            <w:tcBorders/>
            <w:shd w:fill="auto" w:val="clear"/>
            <w:vAlign w:val="bottom"/>
          </w:tcPr>
          <w:p>
            <w:pPr>
              <w:pStyle w:val="TableContents"/>
              <w:spacing w:before="0" w:after="0"/>
              <w:ind w:left="225" w:right="0" w:hanging="225"/>
              <w:rPr/>
            </w:pPr>
            <w:r>
              <w:rPr/>
              <w:t>Depreciation and amortization expense</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left"/>
              <w:rPr/>
            </w:pPr>
            <w:r>
              <w:rPr/>
              <w:t> </w:t>
            </w:r>
          </w:p>
        </w:tc>
        <w:tc>
          <w:tcPr>
            <w:tcW w:w="1117" w:type="dxa"/>
            <w:tcBorders/>
            <w:shd w:fill="auto" w:val="clear"/>
            <w:vAlign w:val="bottom"/>
          </w:tcPr>
          <w:p>
            <w:pPr>
              <w:pStyle w:val="TableContents"/>
              <w:spacing w:before="0" w:after="283"/>
              <w:jc w:val="right"/>
              <w:rPr/>
            </w:pPr>
            <w:r>
              <w:rPr/>
              <w:t>(67.1</w:t>
            </w:r>
          </w:p>
        </w:tc>
        <w:tc>
          <w:tcPr>
            <w:tcW w:w="117" w:type="dxa"/>
            <w:tcBorders/>
            <w:shd w:fill="auto" w:val="clear"/>
            <w:vAlign w:val="bottom"/>
          </w:tcPr>
          <w:p>
            <w:pPr>
              <w:pStyle w:val="TableContents"/>
              <w:spacing w:before="0" w:after="283"/>
              <w:rPr/>
            </w:pPr>
            <w:r>
              <w:rPr/>
              <w:t>)</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 </w:t>
            </w:r>
          </w:p>
        </w:tc>
        <w:tc>
          <w:tcPr>
            <w:tcW w:w="921" w:type="dxa"/>
            <w:tcBorders/>
            <w:shd w:fill="auto" w:val="clear"/>
            <w:vAlign w:val="bottom"/>
          </w:tcPr>
          <w:p>
            <w:pPr>
              <w:pStyle w:val="TableContents"/>
              <w:spacing w:before="0" w:after="283"/>
              <w:jc w:val="right"/>
              <w:rPr/>
            </w:pPr>
            <w:r>
              <w:rPr/>
              <w:t>(27.0</w:t>
            </w:r>
          </w:p>
        </w:tc>
        <w:tc>
          <w:tcPr>
            <w:tcW w:w="155" w:type="dxa"/>
            <w:tcBorders/>
            <w:shd w:fill="auto" w:val="clear"/>
            <w:vAlign w:val="bottom"/>
          </w:tcPr>
          <w:p>
            <w:pPr>
              <w:pStyle w:val="TableContents"/>
              <w:spacing w:before="0" w:after="283"/>
              <w:rPr/>
            </w:pPr>
            <w:r>
              <w:rPr/>
              <w:t>)</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 </w:t>
            </w:r>
          </w:p>
        </w:tc>
        <w:tc>
          <w:tcPr>
            <w:tcW w:w="924" w:type="dxa"/>
            <w:tcBorders/>
            <w:shd w:fill="auto" w:val="clear"/>
            <w:vAlign w:val="bottom"/>
          </w:tcPr>
          <w:p>
            <w:pPr>
              <w:pStyle w:val="TableContents"/>
              <w:spacing w:before="0" w:after="283"/>
              <w:jc w:val="right"/>
              <w:rPr/>
            </w:pPr>
            <w:r>
              <w:rPr/>
              <w:t>(26.6</w:t>
            </w:r>
          </w:p>
        </w:tc>
        <w:tc>
          <w:tcPr>
            <w:tcW w:w="117" w:type="dxa"/>
            <w:tcBorders/>
            <w:shd w:fill="auto" w:val="clear"/>
            <w:vAlign w:val="bottom"/>
          </w:tcPr>
          <w:p>
            <w:pPr>
              <w:pStyle w:val="TableContents"/>
              <w:spacing w:before="0" w:after="283"/>
              <w:rPr/>
            </w:pPr>
            <w:r>
              <w:rPr/>
              <w:t>)</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982" w:type="dxa"/>
            <w:tcBorders/>
            <w:shd w:fill="auto" w:val="clear"/>
            <w:vAlign w:val="bottom"/>
          </w:tcPr>
          <w:p>
            <w:pPr>
              <w:pStyle w:val="TableContents"/>
              <w:spacing w:before="0" w:after="283"/>
              <w:jc w:val="right"/>
              <w:rPr/>
            </w:pPr>
            <w:r>
              <w:rPr/>
              <w:t>(94.1</w:t>
            </w:r>
          </w:p>
        </w:tc>
        <w:tc>
          <w:tcPr>
            <w:tcW w:w="150" w:type="dxa"/>
            <w:tcBorders/>
            <w:shd w:fill="auto" w:val="clear"/>
            <w:vAlign w:val="bottom"/>
          </w:tcPr>
          <w:p>
            <w:pPr>
              <w:pStyle w:val="TableContents"/>
              <w:spacing w:before="0" w:after="283"/>
              <w:rPr/>
            </w:pPr>
            <w:r>
              <w:rPr/>
              <w:t>)</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283"/>
              <w:jc w:val="right"/>
              <w:rPr/>
            </w:pPr>
            <w:r>
              <w:rPr/>
              <w:t>(93.7</w:t>
            </w:r>
          </w:p>
        </w:tc>
        <w:tc>
          <w:tcPr>
            <w:tcW w:w="107" w:type="dxa"/>
            <w:tcBorders/>
            <w:shd w:fill="auto" w:val="clear"/>
            <w:vAlign w:val="bottom"/>
          </w:tcPr>
          <w:p>
            <w:pPr>
              <w:pStyle w:val="TableContents"/>
              <w:spacing w:before="0" w:after="283"/>
              <w:rPr/>
            </w:pPr>
            <w:r>
              <w:rPr/>
              <w:t>)</w:t>
            </w:r>
          </w:p>
        </w:tc>
      </w:tr>
      <w:tr>
        <w:trPr/>
        <w:tc>
          <w:tcPr>
            <w:tcW w:w="2852" w:type="dxa"/>
            <w:tcBorders/>
            <w:shd w:fill="CCEEFF" w:val="clear"/>
            <w:vAlign w:val="bottom"/>
          </w:tcPr>
          <w:p>
            <w:pPr>
              <w:pStyle w:val="TableContents"/>
              <w:spacing w:before="0" w:after="0"/>
              <w:ind w:left="225" w:right="0" w:hanging="225"/>
              <w:rPr/>
            </w:pPr>
            <w:r>
              <w:rPr/>
              <w:t>Interest expense  existing notes and facilities</w:t>
            </w:r>
          </w:p>
        </w:tc>
        <w:tc>
          <w:tcPr>
            <w:tcW w:w="23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pPr>
            <w:r>
              <w:rPr/>
              <w:t>(52.5</w:t>
            </w:r>
          </w:p>
        </w:tc>
        <w:tc>
          <w:tcPr>
            <w:tcW w:w="117" w:type="dxa"/>
            <w:tcBorders/>
            <w:shd w:fill="CCEEFF" w:val="clear"/>
            <w:vAlign w:val="bottom"/>
          </w:tcPr>
          <w:p>
            <w:pPr>
              <w:pStyle w:val="TableContents"/>
              <w:spacing w:before="0" w:after="283"/>
              <w:rPr/>
            </w:pPr>
            <w:r>
              <w:rPr/>
              <w:t>)</w:t>
            </w:r>
          </w:p>
        </w:tc>
        <w:tc>
          <w:tcPr>
            <w:tcW w:w="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 </w:t>
            </w:r>
          </w:p>
        </w:tc>
        <w:tc>
          <w:tcPr>
            <w:tcW w:w="921" w:type="dxa"/>
            <w:tcBorders/>
            <w:shd w:fill="CCEEFF" w:val="clear"/>
            <w:vAlign w:val="bottom"/>
          </w:tcPr>
          <w:p>
            <w:pPr>
              <w:pStyle w:val="TableContents"/>
              <w:spacing w:before="0" w:after="283"/>
              <w:jc w:val="right"/>
              <w:rPr/>
            </w:pPr>
            <w:r>
              <w:rPr/>
              <w:t>(20.1</w:t>
            </w:r>
          </w:p>
        </w:tc>
        <w:tc>
          <w:tcPr>
            <w:tcW w:w="155" w:type="dxa"/>
            <w:tcBorders/>
            <w:shd w:fill="CCEEFF" w:val="clear"/>
            <w:vAlign w:val="bottom"/>
          </w:tcPr>
          <w:p>
            <w:pPr>
              <w:pStyle w:val="TableContents"/>
              <w:spacing w:before="0" w:after="283"/>
              <w:rPr/>
            </w:pPr>
            <w:r>
              <w:rPr/>
              <w:t>)</w:t>
            </w:r>
          </w:p>
        </w:tc>
        <w:tc>
          <w:tcPr>
            <w:tcW w:w="18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 </w:t>
            </w:r>
          </w:p>
        </w:tc>
        <w:tc>
          <w:tcPr>
            <w:tcW w:w="924" w:type="dxa"/>
            <w:tcBorders/>
            <w:shd w:fill="CCEEFF" w:val="clear"/>
            <w:vAlign w:val="bottom"/>
          </w:tcPr>
          <w:p>
            <w:pPr>
              <w:pStyle w:val="TableContents"/>
              <w:spacing w:before="0" w:after="283"/>
              <w:jc w:val="right"/>
              <w:rPr/>
            </w:pPr>
            <w:r>
              <w:rPr/>
              <w:t>(19.3</w:t>
            </w:r>
          </w:p>
        </w:tc>
        <w:tc>
          <w:tcPr>
            <w:tcW w:w="117" w:type="dxa"/>
            <w:tcBorders/>
            <w:shd w:fill="CCEEFF" w:val="clear"/>
            <w:vAlign w:val="bottom"/>
          </w:tcPr>
          <w:p>
            <w:pPr>
              <w:pStyle w:val="TableContents"/>
              <w:spacing w:before="0" w:after="283"/>
              <w:rPr/>
            </w:pPr>
            <w:r>
              <w:rPr/>
              <w:t>)</w:t>
            </w:r>
          </w:p>
        </w:tc>
        <w:tc>
          <w:tcPr>
            <w:tcW w:w="8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(72.6</w:t>
            </w:r>
          </w:p>
        </w:tc>
        <w:tc>
          <w:tcPr>
            <w:tcW w:w="150" w:type="dxa"/>
            <w:tcBorders/>
            <w:shd w:fill="CCEEFF" w:val="clear"/>
            <w:vAlign w:val="bottom"/>
          </w:tcPr>
          <w:p>
            <w:pPr>
              <w:pStyle w:val="TableContents"/>
              <w:spacing w:before="0" w:after="283"/>
              <w:rPr/>
            </w:pPr>
            <w:r>
              <w:rPr/>
              <w:t>)</w:t>
            </w:r>
          </w:p>
        </w:tc>
        <w:tc>
          <w:tcPr>
            <w:tcW w:w="1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(71.8</w:t>
            </w:r>
          </w:p>
        </w:tc>
        <w:tc>
          <w:tcPr>
            <w:tcW w:w="107" w:type="dxa"/>
            <w:tcBorders/>
            <w:shd w:fill="CCEEFF" w:val="clear"/>
            <w:vAlign w:val="bottom"/>
          </w:tcPr>
          <w:p>
            <w:pPr>
              <w:pStyle w:val="TableContents"/>
              <w:spacing w:before="0" w:after="283"/>
              <w:rPr/>
            </w:pPr>
            <w:r>
              <w:rPr/>
              <w:t>)</w:t>
            </w:r>
          </w:p>
        </w:tc>
      </w:tr>
      <w:tr>
        <w:trPr/>
        <w:tc>
          <w:tcPr>
            <w:tcW w:w="2852" w:type="dxa"/>
            <w:tcBorders/>
            <w:shd w:fill="auto" w:val="clear"/>
            <w:vAlign w:val="bottom"/>
          </w:tcPr>
          <w:p>
            <w:pPr>
              <w:pStyle w:val="TableContents"/>
              <w:spacing w:before="0" w:after="0"/>
              <w:ind w:left="225" w:right="0" w:hanging="225"/>
              <w:rPr/>
            </w:pPr>
            <w:r>
              <w:rPr/>
              <w:t>Interest expense  New Senior Notes (See Note 7 &amp; 8)</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 </w:t>
            </w:r>
          </w:p>
        </w:tc>
        <w:tc>
          <w:tcPr>
            <w:tcW w:w="921" w:type="dxa"/>
            <w:tcBorders/>
            <w:shd w:fill="auto" w:val="clear"/>
            <w:vAlign w:val="bottom"/>
          </w:tcPr>
          <w:p>
            <w:pPr>
              <w:pStyle w:val="TableContents"/>
              <w:spacing w:before="0" w:after="283"/>
              <w:jc w:val="right"/>
              <w:rPr/>
            </w:pPr>
            <w:r>
              <w:rPr/>
              <w:t>(10.8</w:t>
            </w:r>
          </w:p>
        </w:tc>
        <w:tc>
          <w:tcPr>
            <w:tcW w:w="155" w:type="dxa"/>
            <w:tcBorders/>
            <w:shd w:fill="auto" w:val="clear"/>
            <w:vAlign w:val="bottom"/>
          </w:tcPr>
          <w:p>
            <w:pPr>
              <w:pStyle w:val="TableContents"/>
              <w:spacing w:before="0" w:after="283"/>
              <w:rPr/>
            </w:pPr>
            <w:r>
              <w:rPr/>
              <w:t>)</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 </w:t>
            </w:r>
          </w:p>
        </w:tc>
        <w:tc>
          <w:tcPr>
            <w:tcW w:w="924" w:type="dxa"/>
            <w:tcBorders/>
            <w:shd w:fill="auto" w:val="clear"/>
            <w:vAlign w:val="bottom"/>
          </w:tcPr>
          <w:p>
            <w:pPr>
              <w:pStyle w:val="TableContents"/>
              <w:spacing w:before="0" w:after="283"/>
              <w:jc w:val="right"/>
              <w:rPr/>
            </w:pPr>
            <w:r>
              <w:rPr/>
              <w:t>(10.8</w:t>
            </w:r>
          </w:p>
        </w:tc>
        <w:tc>
          <w:tcPr>
            <w:tcW w:w="117" w:type="dxa"/>
            <w:tcBorders/>
            <w:shd w:fill="auto" w:val="clear"/>
            <w:vAlign w:val="bottom"/>
          </w:tcPr>
          <w:p>
            <w:pPr>
              <w:pStyle w:val="TableContents"/>
              <w:spacing w:before="0" w:after="283"/>
              <w:rPr/>
            </w:pPr>
            <w:r>
              <w:rPr/>
              <w:t>)</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982" w:type="dxa"/>
            <w:tcBorders/>
            <w:shd w:fill="auto" w:val="clear"/>
            <w:vAlign w:val="bottom"/>
          </w:tcPr>
          <w:p>
            <w:pPr>
              <w:pStyle w:val="TableContents"/>
              <w:spacing w:before="0" w:after="283"/>
              <w:jc w:val="right"/>
              <w:rPr/>
            </w:pPr>
            <w:r>
              <w:rPr/>
              <w:t>(10.8</w:t>
            </w:r>
          </w:p>
        </w:tc>
        <w:tc>
          <w:tcPr>
            <w:tcW w:w="150" w:type="dxa"/>
            <w:tcBorders/>
            <w:shd w:fill="auto" w:val="clear"/>
            <w:vAlign w:val="bottom"/>
          </w:tcPr>
          <w:p>
            <w:pPr>
              <w:pStyle w:val="TableContents"/>
              <w:spacing w:before="0" w:after="283"/>
              <w:rPr/>
            </w:pPr>
            <w:r>
              <w:rPr/>
              <w:t>)</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283"/>
              <w:jc w:val="right"/>
              <w:rPr/>
            </w:pPr>
            <w:r>
              <w:rPr/>
              <w:t>(10.8</w:t>
            </w:r>
          </w:p>
        </w:tc>
        <w:tc>
          <w:tcPr>
            <w:tcW w:w="107" w:type="dxa"/>
            <w:tcBorders/>
            <w:shd w:fill="auto" w:val="clear"/>
            <w:vAlign w:val="bottom"/>
          </w:tcPr>
          <w:p>
            <w:pPr>
              <w:pStyle w:val="TableContents"/>
              <w:spacing w:before="0" w:after="283"/>
              <w:rPr/>
            </w:pPr>
            <w:r>
              <w:rPr/>
              <w:t>)</w:t>
            </w:r>
          </w:p>
        </w:tc>
      </w:tr>
      <w:tr>
        <w:trPr/>
        <w:tc>
          <w:tcPr>
            <w:tcW w:w="2852" w:type="dxa"/>
            <w:tcBorders/>
            <w:shd w:fill="CCEEFF" w:val="clear"/>
            <w:vAlign w:val="bottom"/>
          </w:tcPr>
          <w:p>
            <w:pPr>
              <w:pStyle w:val="TableContents"/>
              <w:spacing w:before="0" w:after="0"/>
              <w:ind w:left="225" w:right="0" w:hanging="225"/>
              <w:rPr/>
            </w:pPr>
            <w:r>
              <w:rPr/>
              <w:t>Interest income  New Senior Notes (See Note 7 &amp; 8)</w:t>
            </w:r>
          </w:p>
        </w:tc>
        <w:tc>
          <w:tcPr>
            <w:tcW w:w="23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8.7</w:t>
            </w:r>
          </w:p>
        </w:tc>
        <w:tc>
          <w:tcPr>
            <w:tcW w:w="15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jc w:val="right"/>
              <w:rPr/>
            </w:pPr>
            <w:r>
              <w:rPr/>
              <w:t>8.7</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8.7</w:t>
            </w:r>
          </w:p>
        </w:tc>
        <w:tc>
          <w:tcPr>
            <w:tcW w:w="15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8.7</w:t>
            </w:r>
          </w:p>
        </w:tc>
        <w:tc>
          <w:tcPr>
            <w:tcW w:w="107" w:type="dxa"/>
            <w:tcBorders/>
            <w:shd w:fill="CCEEFF" w:val="clear"/>
            <w:vAlign w:val="bottom"/>
          </w:tcPr>
          <w:p>
            <w:pPr>
              <w:pStyle w:val="TableContents"/>
              <w:spacing w:before="0" w:after="283"/>
              <w:rPr/>
            </w:pPr>
            <w:r>
              <w:rPr/>
              <w:t> </w:t>
            </w:r>
          </w:p>
        </w:tc>
      </w:tr>
      <w:tr>
        <w:trPr/>
        <w:tc>
          <w:tcPr>
            <w:tcW w:w="2852" w:type="dxa"/>
            <w:tcBorders/>
            <w:shd w:fill="auto" w:val="clear"/>
            <w:vAlign w:val="bottom"/>
          </w:tcPr>
          <w:p>
            <w:pPr>
              <w:pStyle w:val="TableContents"/>
              <w:spacing w:before="0" w:after="0"/>
              <w:ind w:left="225" w:right="0" w:hanging="225"/>
              <w:rPr/>
            </w:pPr>
            <w:r>
              <w:rPr/>
              <w:t>Equity earnings (loss) in PAA / Vulcan Gas Storage, LLC</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2.2</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2.8</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3.3</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5.0</w:t>
            </w:r>
          </w:p>
        </w:tc>
        <w:tc>
          <w:tcPr>
            <w:tcW w:w="15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5.5</w:t>
            </w:r>
          </w:p>
        </w:tc>
        <w:tc>
          <w:tcPr>
            <w:tcW w:w="107" w:type="dxa"/>
            <w:tcBorders/>
            <w:shd w:fill="auto" w:val="clear"/>
            <w:vAlign w:val="bottom"/>
          </w:tcPr>
          <w:p>
            <w:pPr>
              <w:pStyle w:val="TableContents"/>
              <w:spacing w:before="0" w:after="283"/>
              <w:rPr/>
            </w:pPr>
            <w:r>
              <w:rPr/>
              <w:t> </w:t>
            </w:r>
          </w:p>
        </w:tc>
      </w:tr>
      <w:tr>
        <w:trPr/>
        <w:tc>
          <w:tcPr>
            <w:tcW w:w="2852" w:type="dxa"/>
            <w:tcBorders/>
            <w:shd w:fill="CCEEFF" w:val="clear"/>
            <w:vAlign w:val="bottom"/>
          </w:tcPr>
          <w:p>
            <w:pPr>
              <w:pStyle w:val="TableContents"/>
              <w:spacing w:before="0" w:after="0"/>
              <w:ind w:left="225" w:right="0" w:hanging="225"/>
              <w:rPr/>
            </w:pPr>
            <w:r>
              <w:rPr/>
              <w:t>Other Income (Expense)</w:t>
            </w:r>
          </w:p>
        </w:tc>
        <w:tc>
          <w:tcPr>
            <w:tcW w:w="23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0.7</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0.7</w:t>
            </w:r>
          </w:p>
        </w:tc>
        <w:tc>
          <w:tcPr>
            <w:tcW w:w="15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0.7</w:t>
            </w:r>
          </w:p>
        </w:tc>
        <w:tc>
          <w:tcPr>
            <w:tcW w:w="107" w:type="dxa"/>
            <w:tcBorders/>
            <w:shd w:fill="CCEEFF" w:val="clear"/>
            <w:vAlign w:val="bottom"/>
          </w:tcPr>
          <w:p>
            <w:pPr>
              <w:pStyle w:val="TableContents"/>
              <w:spacing w:before="0" w:after="283"/>
              <w:rPr/>
            </w:pPr>
            <w:r>
              <w:rPr/>
              <w:t> </w:t>
            </w:r>
          </w:p>
        </w:tc>
      </w:tr>
      <w:tr>
        <w:trPr/>
        <w:tc>
          <w:tcPr>
            <w:tcW w:w="2852" w:type="dxa"/>
            <w:tcBorders/>
            <w:shd w:fill="auto" w:val="clear"/>
            <w:vAlign w:val="center"/>
          </w:tcPr>
          <w:p>
            <w:pPr>
              <w:pStyle w:val="TableContents"/>
              <w:spacing w:before="0" w:after="0"/>
              <w:ind w:left="225" w:right="0" w:hanging="225"/>
              <w:rPr/>
            </w:pPr>
            <w:r>
              <w:rPr/>
              <w:t> </w:t>
            </w:r>
          </w:p>
        </w:tc>
        <w:tc>
          <w:tcPr>
            <w:tcW w:w="237" w:type="dxa"/>
            <w:tcBorders/>
            <w:shd w:fill="auto" w:val="clear"/>
            <w:vAlign w:val="center"/>
          </w:tcPr>
          <w:p>
            <w:pPr>
              <w:pStyle w:val="TableContents"/>
              <w:spacing w:before="0" w:after="283"/>
              <w:rPr/>
            </w:pPr>
            <w:r>
              <w:rPr/>
              <w:t> </w:t>
            </w:r>
          </w:p>
        </w:tc>
        <w:tc>
          <w:tcPr>
            <w:tcW w:w="13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1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11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r>
        <w:trPr/>
        <w:tc>
          <w:tcPr>
            <w:tcW w:w="2852" w:type="dxa"/>
            <w:tcBorders/>
            <w:shd w:fill="auto" w:val="clear"/>
            <w:vAlign w:val="bottom"/>
          </w:tcPr>
          <w:p>
            <w:pPr>
              <w:pStyle w:val="TableContents"/>
              <w:spacing w:before="0" w:after="0"/>
              <w:ind w:left="225" w:right="0" w:hanging="225"/>
              <w:rPr>
                <w:b/>
              </w:rPr>
            </w:pPr>
            <w:r>
              <w:rPr>
                <w:b/>
              </w:rPr>
              <w:t>Income Before Cumulative Effect of Change in Accounting Principle</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b/>
              </w:rPr>
            </w:pPr>
            <w:r>
              <w:rPr>
                <w:b/>
              </w:rPr>
              <w:t>232.8</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b/>
              </w:rPr>
            </w:pPr>
            <w:r>
              <w:rPr>
                <w:b/>
              </w:rPr>
              <w:t>56.4</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b/>
              </w:rPr>
            </w:pPr>
            <w:r>
              <w:rPr>
                <w:b/>
              </w:rPr>
              <w:t>67.6</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b/>
              </w:rPr>
            </w:pPr>
            <w:r>
              <w:rPr>
                <w:b/>
              </w:rPr>
              <w:t>289.2</w:t>
            </w:r>
          </w:p>
        </w:tc>
        <w:tc>
          <w:tcPr>
            <w:tcW w:w="15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b/>
              </w:rPr>
            </w:pPr>
            <w:r>
              <w:rPr>
                <w:b/>
              </w:rPr>
              <w:t>300.4</w:t>
            </w:r>
          </w:p>
        </w:tc>
        <w:tc>
          <w:tcPr>
            <w:tcW w:w="107" w:type="dxa"/>
            <w:tcBorders/>
            <w:shd w:fill="auto" w:val="clear"/>
            <w:vAlign w:val="bottom"/>
          </w:tcPr>
          <w:p>
            <w:pPr>
              <w:pStyle w:val="TableContents"/>
              <w:spacing w:before="0" w:after="283"/>
              <w:rPr/>
            </w:pPr>
            <w:r>
              <w:rPr/>
              <w:t> </w:t>
            </w:r>
          </w:p>
        </w:tc>
      </w:tr>
      <w:tr>
        <w:trPr/>
        <w:tc>
          <w:tcPr>
            <w:tcW w:w="2852" w:type="dxa"/>
            <w:tcBorders/>
            <w:shd w:fill="CCEEFF" w:val="clear"/>
            <w:vAlign w:val="bottom"/>
          </w:tcPr>
          <w:p>
            <w:pPr>
              <w:pStyle w:val="TableContents"/>
              <w:spacing w:before="0" w:after="0"/>
              <w:ind w:left="225" w:right="0" w:hanging="225"/>
              <w:rPr/>
            </w:pPr>
            <w:r>
              <w:rPr/>
              <w:t>Cumulative Effect of Change in Accounting Principle</w:t>
            </w:r>
          </w:p>
        </w:tc>
        <w:tc>
          <w:tcPr>
            <w:tcW w:w="23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6.3</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6.3</w:t>
            </w:r>
          </w:p>
        </w:tc>
        <w:tc>
          <w:tcPr>
            <w:tcW w:w="15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6.3</w:t>
            </w:r>
          </w:p>
        </w:tc>
        <w:tc>
          <w:tcPr>
            <w:tcW w:w="107" w:type="dxa"/>
            <w:tcBorders/>
            <w:shd w:fill="CCEEFF" w:val="clear"/>
            <w:vAlign w:val="bottom"/>
          </w:tcPr>
          <w:p>
            <w:pPr>
              <w:pStyle w:val="TableContents"/>
              <w:spacing w:before="0" w:after="283"/>
              <w:rPr/>
            </w:pPr>
            <w:r>
              <w:rPr/>
              <w:t> </w:t>
            </w:r>
          </w:p>
        </w:tc>
      </w:tr>
      <w:tr>
        <w:trPr/>
        <w:tc>
          <w:tcPr>
            <w:tcW w:w="2852" w:type="dxa"/>
            <w:tcBorders/>
            <w:shd w:fill="auto" w:val="clear"/>
            <w:vAlign w:val="center"/>
          </w:tcPr>
          <w:p>
            <w:pPr>
              <w:pStyle w:val="TableContents"/>
              <w:spacing w:before="0" w:after="0"/>
              <w:ind w:left="225" w:right="0" w:hanging="225"/>
              <w:rPr/>
            </w:pPr>
            <w:r>
              <w:rPr/>
              <w:t> </w:t>
            </w:r>
          </w:p>
        </w:tc>
        <w:tc>
          <w:tcPr>
            <w:tcW w:w="237" w:type="dxa"/>
            <w:tcBorders/>
            <w:shd w:fill="auto" w:val="clear"/>
            <w:vAlign w:val="center"/>
          </w:tcPr>
          <w:p>
            <w:pPr>
              <w:pStyle w:val="TableContents"/>
              <w:spacing w:before="0" w:after="283"/>
              <w:rPr/>
            </w:pPr>
            <w:r>
              <w:rPr/>
              <w:t> </w:t>
            </w:r>
          </w:p>
        </w:tc>
        <w:tc>
          <w:tcPr>
            <w:tcW w:w="13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1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11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r>
        <w:trPr/>
        <w:tc>
          <w:tcPr>
            <w:tcW w:w="2852" w:type="dxa"/>
            <w:tcBorders/>
            <w:shd w:fill="auto" w:val="clear"/>
            <w:vAlign w:val="bottom"/>
          </w:tcPr>
          <w:p>
            <w:pPr>
              <w:pStyle w:val="TableContents"/>
              <w:spacing w:before="0" w:after="0"/>
              <w:ind w:left="225" w:right="0" w:hanging="225"/>
              <w:rPr>
                <w:b/>
              </w:rPr>
            </w:pPr>
            <w:r>
              <w:rPr>
                <w:b/>
              </w:rPr>
              <w:t>Net Income</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left"/>
              <w:rPr>
                <w:b/>
              </w:rPr>
            </w:pPr>
            <w:r>
              <w:rPr>
                <w:b/>
              </w:rPr>
              <w:t>$</w:t>
            </w:r>
          </w:p>
        </w:tc>
        <w:tc>
          <w:tcPr>
            <w:tcW w:w="1117" w:type="dxa"/>
            <w:tcBorders/>
            <w:shd w:fill="auto" w:val="clear"/>
            <w:vAlign w:val="bottom"/>
          </w:tcPr>
          <w:p>
            <w:pPr>
              <w:pStyle w:val="TableContents"/>
              <w:spacing w:before="0" w:after="283"/>
              <w:jc w:val="right"/>
              <w:rPr>
                <w:b/>
              </w:rPr>
            </w:pPr>
            <w:r>
              <w:rPr>
                <w:b/>
              </w:rPr>
              <w:t>239.1</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b/>
              </w:rPr>
            </w:pPr>
            <w:r>
              <w:rPr>
                <w:b/>
              </w:rPr>
              <w:t>$</w:t>
            </w:r>
          </w:p>
        </w:tc>
        <w:tc>
          <w:tcPr>
            <w:tcW w:w="921" w:type="dxa"/>
            <w:tcBorders/>
            <w:shd w:fill="auto" w:val="clear"/>
            <w:vAlign w:val="bottom"/>
          </w:tcPr>
          <w:p>
            <w:pPr>
              <w:pStyle w:val="TableContents"/>
              <w:spacing w:before="0" w:after="283"/>
              <w:jc w:val="right"/>
              <w:rPr>
                <w:b/>
              </w:rPr>
            </w:pPr>
            <w:r>
              <w:rPr>
                <w:b/>
              </w:rPr>
              <w:t>56.4</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b/>
              </w:rPr>
            </w:pPr>
            <w:r>
              <w:rPr>
                <w:b/>
              </w:rPr>
              <w:t>$</w:t>
            </w:r>
          </w:p>
        </w:tc>
        <w:tc>
          <w:tcPr>
            <w:tcW w:w="924" w:type="dxa"/>
            <w:tcBorders/>
            <w:shd w:fill="auto" w:val="clear"/>
            <w:vAlign w:val="bottom"/>
          </w:tcPr>
          <w:p>
            <w:pPr>
              <w:pStyle w:val="TableContents"/>
              <w:spacing w:before="0" w:after="283"/>
              <w:jc w:val="right"/>
              <w:rPr>
                <w:b/>
              </w:rPr>
            </w:pPr>
            <w:r>
              <w:rPr>
                <w:b/>
              </w:rPr>
              <w:t>67.6</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b/>
              </w:rPr>
            </w:pPr>
            <w:r>
              <w:rPr>
                <w:b/>
              </w:rPr>
              <w:t>$</w:t>
            </w:r>
          </w:p>
        </w:tc>
        <w:tc>
          <w:tcPr>
            <w:tcW w:w="982" w:type="dxa"/>
            <w:tcBorders/>
            <w:shd w:fill="auto" w:val="clear"/>
            <w:vAlign w:val="bottom"/>
          </w:tcPr>
          <w:p>
            <w:pPr>
              <w:pStyle w:val="TableContents"/>
              <w:spacing w:before="0" w:after="283"/>
              <w:jc w:val="right"/>
              <w:rPr>
                <w:b/>
              </w:rPr>
            </w:pPr>
            <w:r>
              <w:rPr>
                <w:b/>
              </w:rPr>
              <w:t>295.5</w:t>
            </w:r>
          </w:p>
        </w:tc>
        <w:tc>
          <w:tcPr>
            <w:tcW w:w="15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b/>
              </w:rPr>
            </w:pPr>
            <w:r>
              <w:rPr>
                <w:b/>
              </w:rPr>
              <w:t>$</w:t>
            </w:r>
          </w:p>
        </w:tc>
        <w:tc>
          <w:tcPr>
            <w:tcW w:w="984" w:type="dxa"/>
            <w:tcBorders/>
            <w:shd w:fill="auto" w:val="clear"/>
            <w:vAlign w:val="bottom"/>
          </w:tcPr>
          <w:p>
            <w:pPr>
              <w:pStyle w:val="TableContents"/>
              <w:spacing w:before="0" w:after="283"/>
              <w:jc w:val="right"/>
              <w:rPr>
                <w:b/>
              </w:rPr>
            </w:pPr>
            <w:r>
              <w:rPr>
                <w:b/>
              </w:rPr>
              <w:t>306.7</w:t>
            </w:r>
          </w:p>
        </w:tc>
        <w:tc>
          <w:tcPr>
            <w:tcW w:w="107" w:type="dxa"/>
            <w:tcBorders/>
            <w:shd w:fill="auto" w:val="clear"/>
            <w:vAlign w:val="bottom"/>
          </w:tcPr>
          <w:p>
            <w:pPr>
              <w:pStyle w:val="TableContents"/>
              <w:spacing w:before="0" w:after="283"/>
              <w:rPr/>
            </w:pPr>
            <w:r>
              <w:rPr/>
              <w:t> </w:t>
            </w:r>
          </w:p>
        </w:tc>
      </w:tr>
      <w:tr>
        <w:trPr/>
        <w:tc>
          <w:tcPr>
            <w:tcW w:w="2852" w:type="dxa"/>
            <w:tcBorders/>
            <w:shd w:fill="auto" w:val="clear"/>
            <w:vAlign w:val="center"/>
          </w:tcPr>
          <w:p>
            <w:pPr>
              <w:pStyle w:val="TableContents"/>
              <w:spacing w:before="0" w:after="0"/>
              <w:ind w:left="225" w:right="0" w:hanging="225"/>
              <w:rPr/>
            </w:pPr>
            <w:r>
              <w:rPr/>
              <w:t> </w:t>
            </w:r>
          </w:p>
        </w:tc>
        <w:tc>
          <w:tcPr>
            <w:tcW w:w="237" w:type="dxa"/>
            <w:tcBorders/>
            <w:shd w:fill="auto" w:val="clear"/>
            <w:vAlign w:val="center"/>
          </w:tcPr>
          <w:p>
            <w:pPr>
              <w:pStyle w:val="TableContents"/>
              <w:spacing w:before="0" w:after="283"/>
              <w:rPr/>
            </w:pPr>
            <w:r>
              <w:rPr/>
              <w:t> </w:t>
            </w:r>
          </w:p>
        </w:tc>
        <w:tc>
          <w:tcPr>
            <w:tcW w:w="13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1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11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r>
        <w:trPr/>
        <w:tc>
          <w:tcPr>
            <w:tcW w:w="2852" w:type="dxa"/>
            <w:tcBorders/>
            <w:shd w:fill="auto" w:val="clear"/>
            <w:vAlign w:val="bottom"/>
          </w:tcPr>
          <w:p>
            <w:pPr>
              <w:pStyle w:val="TableContents"/>
              <w:spacing w:before="0" w:after="0"/>
              <w:ind w:left="225" w:right="0" w:hanging="225"/>
              <w:rPr/>
            </w:pPr>
            <w:r>
              <w:rPr/>
              <w:t> </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2852" w:type="dxa"/>
            <w:tcBorders/>
            <w:shd w:fill="CCEEFF" w:val="clear"/>
            <w:vAlign w:val="bottom"/>
          </w:tcPr>
          <w:p>
            <w:pPr>
              <w:pStyle w:val="TableContents"/>
              <w:spacing w:before="0" w:after="0"/>
              <w:ind w:left="225" w:right="0" w:hanging="225"/>
              <w:rPr/>
            </w:pPr>
            <w:r>
              <w:rPr/>
              <w:t>Net Income to Limited Partners</w:t>
            </w:r>
          </w:p>
        </w:tc>
        <w:tc>
          <w:tcPr>
            <w:tcW w:w="23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left"/>
              <w:rPr/>
            </w:pPr>
            <w:r>
              <w:rPr/>
              <w:t>$</w:t>
            </w:r>
          </w:p>
        </w:tc>
        <w:tc>
          <w:tcPr>
            <w:tcW w:w="1117" w:type="dxa"/>
            <w:tcBorders/>
            <w:shd w:fill="CCEEFF" w:val="clear"/>
            <w:vAlign w:val="bottom"/>
          </w:tcPr>
          <w:p>
            <w:pPr>
              <w:pStyle w:val="TableContents"/>
              <w:spacing w:before="0" w:after="283"/>
              <w:jc w:val="right"/>
              <w:rPr/>
            </w:pPr>
            <w:r>
              <w:rPr/>
              <w:t>212.7</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921" w:type="dxa"/>
            <w:tcBorders/>
            <w:shd w:fill="CCEEFF" w:val="clear"/>
            <w:vAlign w:val="bottom"/>
          </w:tcPr>
          <w:p>
            <w:pPr>
              <w:pStyle w:val="TableContents"/>
              <w:spacing w:before="0" w:after="283"/>
              <w:jc w:val="right"/>
              <w:rPr/>
            </w:pPr>
            <w:r>
              <w:rPr/>
              <w:t>44.4</w:t>
            </w:r>
          </w:p>
        </w:tc>
        <w:tc>
          <w:tcPr>
            <w:tcW w:w="15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924" w:type="dxa"/>
            <w:tcBorders/>
            <w:shd w:fill="CCEEFF" w:val="clear"/>
            <w:vAlign w:val="bottom"/>
          </w:tcPr>
          <w:p>
            <w:pPr>
              <w:pStyle w:val="TableContents"/>
              <w:spacing w:before="0" w:after="283"/>
              <w:jc w:val="right"/>
              <w:rPr/>
            </w:pPr>
            <w:r>
              <w:rPr/>
              <w:t>55.4</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982" w:type="dxa"/>
            <w:tcBorders/>
            <w:shd w:fill="CCEEFF" w:val="clear"/>
            <w:vAlign w:val="bottom"/>
          </w:tcPr>
          <w:p>
            <w:pPr>
              <w:pStyle w:val="TableContents"/>
              <w:spacing w:before="0" w:after="283"/>
              <w:jc w:val="right"/>
              <w:rPr/>
            </w:pPr>
            <w:r>
              <w:rPr/>
              <w:t>257.1</w:t>
            </w:r>
          </w:p>
        </w:tc>
        <w:tc>
          <w:tcPr>
            <w:tcW w:w="15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984" w:type="dxa"/>
            <w:tcBorders/>
            <w:shd w:fill="CCEEFF" w:val="clear"/>
            <w:vAlign w:val="bottom"/>
          </w:tcPr>
          <w:p>
            <w:pPr>
              <w:pStyle w:val="TableContents"/>
              <w:spacing w:before="0" w:after="283"/>
              <w:jc w:val="right"/>
              <w:rPr/>
            </w:pPr>
            <w:r>
              <w:rPr/>
              <w:t>268.1</w:t>
            </w:r>
          </w:p>
        </w:tc>
        <w:tc>
          <w:tcPr>
            <w:tcW w:w="107" w:type="dxa"/>
            <w:tcBorders/>
            <w:shd w:fill="CCEEFF" w:val="clear"/>
            <w:vAlign w:val="bottom"/>
          </w:tcPr>
          <w:p>
            <w:pPr>
              <w:pStyle w:val="TableContents"/>
              <w:spacing w:before="0" w:after="283"/>
              <w:rPr/>
            </w:pPr>
            <w:r>
              <w:rPr/>
              <w:t> </w:t>
            </w:r>
          </w:p>
        </w:tc>
      </w:tr>
      <w:tr>
        <w:trPr/>
        <w:tc>
          <w:tcPr>
            <w:tcW w:w="2852" w:type="dxa"/>
            <w:tcBorders/>
            <w:shd w:fill="auto" w:val="clear"/>
            <w:vAlign w:val="bottom"/>
          </w:tcPr>
          <w:p>
            <w:pPr>
              <w:pStyle w:val="TableContents"/>
              <w:spacing w:before="0" w:after="0"/>
              <w:ind w:left="225" w:right="0" w:hanging="225"/>
              <w:rPr/>
            </w:pPr>
            <w:r>
              <w:rPr/>
              <w:t>Basic Net Income Per Limited Partner Unit</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2852" w:type="dxa"/>
            <w:tcBorders/>
            <w:shd w:fill="CCEEFF" w:val="clear"/>
            <w:vAlign w:val="bottom"/>
          </w:tcPr>
          <w:p>
            <w:pPr>
              <w:pStyle w:val="TableContents"/>
              <w:spacing w:before="0" w:after="0"/>
              <w:ind w:left="450" w:right="0" w:hanging="225"/>
              <w:rPr/>
            </w:pPr>
            <w:r>
              <w:rPr/>
              <w:t>Weighted Average Units Outstanding</w:t>
            </w:r>
          </w:p>
        </w:tc>
        <w:tc>
          <w:tcPr>
            <w:tcW w:w="23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77.0</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81.0</w:t>
            </w:r>
          </w:p>
        </w:tc>
        <w:tc>
          <w:tcPr>
            <w:tcW w:w="15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jc w:val="right"/>
              <w:rPr/>
            </w:pPr>
            <w:r>
              <w:rPr/>
              <w:t>81.0</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78.0</w:t>
            </w:r>
          </w:p>
        </w:tc>
        <w:tc>
          <w:tcPr>
            <w:tcW w:w="15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78.0</w:t>
            </w:r>
          </w:p>
        </w:tc>
        <w:tc>
          <w:tcPr>
            <w:tcW w:w="107" w:type="dxa"/>
            <w:tcBorders/>
            <w:shd w:fill="CCEEFF" w:val="clear"/>
            <w:vAlign w:val="bottom"/>
          </w:tcPr>
          <w:p>
            <w:pPr>
              <w:pStyle w:val="TableContents"/>
              <w:spacing w:before="0" w:after="283"/>
              <w:rPr/>
            </w:pPr>
            <w:r>
              <w:rPr/>
              <w:t> </w:t>
            </w:r>
          </w:p>
        </w:tc>
      </w:tr>
      <w:tr>
        <w:trPr/>
        <w:tc>
          <w:tcPr>
            <w:tcW w:w="2852" w:type="dxa"/>
            <w:tcBorders/>
            <w:shd w:fill="auto" w:val="clear"/>
            <w:vAlign w:val="bottom"/>
          </w:tcPr>
          <w:p>
            <w:pPr>
              <w:pStyle w:val="TableContents"/>
              <w:spacing w:before="0" w:after="0"/>
              <w:ind w:left="450" w:right="0" w:hanging="225"/>
              <w:rPr/>
            </w:pPr>
            <w:r>
              <w:rPr/>
              <w:t>Net Income Per Unit **</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left"/>
              <w:rPr/>
            </w:pPr>
            <w:r>
              <w:rPr/>
              <w:t>$</w:t>
            </w:r>
          </w:p>
        </w:tc>
        <w:tc>
          <w:tcPr>
            <w:tcW w:w="1117" w:type="dxa"/>
            <w:tcBorders/>
            <w:shd w:fill="auto" w:val="clear"/>
            <w:vAlign w:val="bottom"/>
          </w:tcPr>
          <w:p>
            <w:pPr>
              <w:pStyle w:val="TableContents"/>
              <w:spacing w:before="0" w:after="283"/>
              <w:jc w:val="right"/>
              <w:rPr/>
            </w:pPr>
            <w:r>
              <w:rPr/>
              <w:t>2.45</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921" w:type="dxa"/>
            <w:tcBorders/>
            <w:shd w:fill="auto" w:val="clear"/>
            <w:vAlign w:val="bottom"/>
          </w:tcPr>
          <w:p>
            <w:pPr>
              <w:pStyle w:val="TableContents"/>
              <w:spacing w:before="0" w:after="283"/>
              <w:jc w:val="right"/>
              <w:rPr/>
            </w:pPr>
            <w:r>
              <w:rPr/>
              <w:t>0.55</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924" w:type="dxa"/>
            <w:tcBorders/>
            <w:shd w:fill="auto" w:val="clear"/>
            <w:vAlign w:val="bottom"/>
          </w:tcPr>
          <w:p>
            <w:pPr>
              <w:pStyle w:val="TableContents"/>
              <w:spacing w:before="0" w:after="283"/>
              <w:jc w:val="right"/>
              <w:rPr/>
            </w:pPr>
            <w:r>
              <w:rPr/>
              <w:t>0.68</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982" w:type="dxa"/>
            <w:tcBorders/>
            <w:shd w:fill="auto" w:val="clear"/>
            <w:vAlign w:val="bottom"/>
          </w:tcPr>
          <w:p>
            <w:pPr>
              <w:pStyle w:val="TableContents"/>
              <w:spacing w:before="0" w:after="283"/>
              <w:jc w:val="right"/>
              <w:rPr/>
            </w:pPr>
            <w:r>
              <w:rPr/>
              <w:t>3.09</w:t>
            </w:r>
          </w:p>
        </w:tc>
        <w:tc>
          <w:tcPr>
            <w:tcW w:w="15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984" w:type="dxa"/>
            <w:tcBorders/>
            <w:shd w:fill="auto" w:val="clear"/>
            <w:vAlign w:val="bottom"/>
          </w:tcPr>
          <w:p>
            <w:pPr>
              <w:pStyle w:val="TableContents"/>
              <w:spacing w:before="0" w:after="283"/>
              <w:jc w:val="right"/>
              <w:rPr/>
            </w:pPr>
            <w:r>
              <w:rPr/>
              <w:t>3.16</w:t>
            </w:r>
          </w:p>
        </w:tc>
        <w:tc>
          <w:tcPr>
            <w:tcW w:w="107" w:type="dxa"/>
            <w:tcBorders/>
            <w:shd w:fill="auto" w:val="clear"/>
            <w:vAlign w:val="bottom"/>
          </w:tcPr>
          <w:p>
            <w:pPr>
              <w:pStyle w:val="TableContents"/>
              <w:spacing w:before="0" w:after="283"/>
              <w:rPr/>
            </w:pPr>
            <w:r>
              <w:rPr/>
              <w:t> </w:t>
            </w:r>
          </w:p>
        </w:tc>
      </w:tr>
      <w:tr>
        <w:trPr/>
        <w:tc>
          <w:tcPr>
            <w:tcW w:w="2852" w:type="dxa"/>
            <w:tcBorders/>
            <w:shd w:fill="auto" w:val="clear"/>
            <w:vAlign w:val="bottom"/>
          </w:tcPr>
          <w:p>
            <w:pPr>
              <w:pStyle w:val="TableContents"/>
              <w:spacing w:before="0" w:after="0"/>
              <w:ind w:left="225" w:right="0" w:hanging="225"/>
              <w:rPr/>
            </w:pPr>
            <w:r>
              <w:rPr/>
              <w:t> </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2852" w:type="dxa"/>
            <w:tcBorders/>
            <w:shd w:fill="CCEEFF" w:val="clear"/>
            <w:vAlign w:val="bottom"/>
          </w:tcPr>
          <w:p>
            <w:pPr>
              <w:pStyle w:val="TableContents"/>
              <w:spacing w:before="0" w:after="0"/>
              <w:ind w:left="225" w:right="0" w:hanging="225"/>
              <w:rPr/>
            </w:pPr>
            <w:r>
              <w:rPr/>
              <w:t>Diluted Net Income Per Limited Partner Unit</w:t>
            </w:r>
          </w:p>
        </w:tc>
        <w:tc>
          <w:tcPr>
            <w:tcW w:w="23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24"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r>
      <w:tr>
        <w:trPr/>
        <w:tc>
          <w:tcPr>
            <w:tcW w:w="2852" w:type="dxa"/>
            <w:tcBorders/>
            <w:shd w:fill="auto" w:val="clear"/>
            <w:vAlign w:val="bottom"/>
          </w:tcPr>
          <w:p>
            <w:pPr>
              <w:pStyle w:val="TableContents"/>
              <w:spacing w:before="0" w:after="0"/>
              <w:ind w:left="450" w:right="0" w:hanging="225"/>
              <w:rPr/>
            </w:pPr>
            <w:r>
              <w:rPr/>
              <w:t>Weighted Average Units Outstanding</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77.8</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82.0</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82.0</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78.8</w:t>
            </w:r>
          </w:p>
        </w:tc>
        <w:tc>
          <w:tcPr>
            <w:tcW w:w="15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78.8</w:t>
            </w:r>
          </w:p>
        </w:tc>
        <w:tc>
          <w:tcPr>
            <w:tcW w:w="107" w:type="dxa"/>
            <w:tcBorders/>
            <w:shd w:fill="auto" w:val="clear"/>
            <w:vAlign w:val="bottom"/>
          </w:tcPr>
          <w:p>
            <w:pPr>
              <w:pStyle w:val="TableContents"/>
              <w:spacing w:before="0" w:after="283"/>
              <w:rPr/>
            </w:pPr>
            <w:r>
              <w:rPr/>
              <w:t> </w:t>
            </w:r>
          </w:p>
        </w:tc>
      </w:tr>
      <w:tr>
        <w:trPr/>
        <w:tc>
          <w:tcPr>
            <w:tcW w:w="2852" w:type="dxa"/>
            <w:tcBorders/>
            <w:shd w:fill="CCEEFF" w:val="clear"/>
            <w:vAlign w:val="bottom"/>
          </w:tcPr>
          <w:p>
            <w:pPr>
              <w:pStyle w:val="TableContents"/>
              <w:spacing w:before="0" w:after="0"/>
              <w:ind w:left="450" w:right="0" w:hanging="225"/>
              <w:rPr/>
            </w:pPr>
            <w:r>
              <w:rPr/>
              <w:t>Net Income Per Unit **</w:t>
            </w:r>
          </w:p>
        </w:tc>
        <w:tc>
          <w:tcPr>
            <w:tcW w:w="23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left"/>
              <w:rPr/>
            </w:pPr>
            <w:r>
              <w:rPr/>
              <w:t>$</w:t>
            </w:r>
          </w:p>
        </w:tc>
        <w:tc>
          <w:tcPr>
            <w:tcW w:w="1117" w:type="dxa"/>
            <w:tcBorders/>
            <w:shd w:fill="CCEEFF" w:val="clear"/>
            <w:vAlign w:val="bottom"/>
          </w:tcPr>
          <w:p>
            <w:pPr>
              <w:pStyle w:val="TableContents"/>
              <w:spacing w:before="0" w:after="283"/>
              <w:jc w:val="right"/>
              <w:rPr/>
            </w:pPr>
            <w:r>
              <w:rPr/>
              <w:t>2.43</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921" w:type="dxa"/>
            <w:tcBorders/>
            <w:shd w:fill="CCEEFF" w:val="clear"/>
            <w:vAlign w:val="bottom"/>
          </w:tcPr>
          <w:p>
            <w:pPr>
              <w:pStyle w:val="TableContents"/>
              <w:spacing w:before="0" w:after="283"/>
              <w:jc w:val="right"/>
              <w:rPr/>
            </w:pPr>
            <w:r>
              <w:rPr/>
              <w:t>0.54</w:t>
            </w:r>
          </w:p>
        </w:tc>
        <w:tc>
          <w:tcPr>
            <w:tcW w:w="15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924" w:type="dxa"/>
            <w:tcBorders/>
            <w:shd w:fill="CCEEFF" w:val="clear"/>
            <w:vAlign w:val="bottom"/>
          </w:tcPr>
          <w:p>
            <w:pPr>
              <w:pStyle w:val="TableContents"/>
              <w:spacing w:before="0" w:after="283"/>
              <w:jc w:val="right"/>
              <w:rPr/>
            </w:pPr>
            <w:r>
              <w:rPr/>
              <w:t>0.67</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982" w:type="dxa"/>
            <w:tcBorders/>
            <w:shd w:fill="CCEEFF" w:val="clear"/>
            <w:vAlign w:val="bottom"/>
          </w:tcPr>
          <w:p>
            <w:pPr>
              <w:pStyle w:val="TableContents"/>
              <w:spacing w:before="0" w:after="283"/>
              <w:jc w:val="right"/>
              <w:rPr/>
            </w:pPr>
            <w:r>
              <w:rPr/>
              <w:t>3.06</w:t>
            </w:r>
          </w:p>
        </w:tc>
        <w:tc>
          <w:tcPr>
            <w:tcW w:w="15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984" w:type="dxa"/>
            <w:tcBorders/>
            <w:shd w:fill="CCEEFF" w:val="clear"/>
            <w:vAlign w:val="bottom"/>
          </w:tcPr>
          <w:p>
            <w:pPr>
              <w:pStyle w:val="TableContents"/>
              <w:spacing w:before="0" w:after="283"/>
              <w:jc w:val="right"/>
              <w:rPr/>
            </w:pPr>
            <w:r>
              <w:rPr/>
              <w:t>3.13</w:t>
            </w:r>
          </w:p>
        </w:tc>
        <w:tc>
          <w:tcPr>
            <w:tcW w:w="107" w:type="dxa"/>
            <w:tcBorders/>
            <w:shd w:fill="CCEEFF" w:val="clear"/>
            <w:vAlign w:val="bottom"/>
          </w:tcPr>
          <w:p>
            <w:pPr>
              <w:pStyle w:val="TableContents"/>
              <w:spacing w:before="0" w:after="283"/>
              <w:rPr/>
            </w:pPr>
            <w:r>
              <w:rPr/>
              <w:t> </w:t>
            </w:r>
          </w:p>
        </w:tc>
      </w:tr>
      <w:tr>
        <w:trPr/>
        <w:tc>
          <w:tcPr>
            <w:tcW w:w="2852" w:type="dxa"/>
            <w:tcBorders/>
            <w:shd w:fill="auto" w:val="clear"/>
            <w:vAlign w:val="bottom"/>
          </w:tcPr>
          <w:p>
            <w:pPr>
              <w:pStyle w:val="TableContents"/>
              <w:spacing w:before="0" w:after="0"/>
              <w:ind w:left="225" w:right="0" w:hanging="225"/>
              <w:rPr/>
            </w:pPr>
            <w:r>
              <w:rPr/>
              <w:t> </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r>
        <w:trPr/>
        <w:tc>
          <w:tcPr>
            <w:tcW w:w="2852" w:type="dxa"/>
            <w:tcBorders/>
            <w:shd w:fill="auto" w:val="clear"/>
            <w:vAlign w:val="bottom"/>
          </w:tcPr>
          <w:p>
            <w:pPr>
              <w:pStyle w:val="TableContents"/>
              <w:spacing w:before="0" w:after="0"/>
              <w:ind w:left="225" w:right="0" w:hanging="225"/>
              <w:rPr>
                <w:b/>
              </w:rPr>
            </w:pPr>
            <w:r>
              <w:rPr>
                <w:b/>
              </w:rPr>
              <w:t>EBIT</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left"/>
              <w:rPr>
                <w:b/>
              </w:rPr>
            </w:pPr>
            <w:r>
              <w:rPr>
                <w:b/>
              </w:rPr>
              <w:t>$</w:t>
            </w:r>
          </w:p>
        </w:tc>
        <w:tc>
          <w:tcPr>
            <w:tcW w:w="1117" w:type="dxa"/>
            <w:tcBorders/>
            <w:shd w:fill="auto" w:val="clear"/>
            <w:vAlign w:val="bottom"/>
          </w:tcPr>
          <w:p>
            <w:pPr>
              <w:pStyle w:val="TableContents"/>
              <w:spacing w:before="0" w:after="283"/>
              <w:jc w:val="right"/>
              <w:rPr>
                <w:b/>
              </w:rPr>
            </w:pPr>
            <w:r>
              <w:rPr>
                <w:b/>
              </w:rPr>
              <w:t>291.6</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b/>
              </w:rPr>
            </w:pPr>
            <w:r>
              <w:rPr>
                <w:b/>
              </w:rPr>
              <w:t>$</w:t>
            </w:r>
          </w:p>
        </w:tc>
        <w:tc>
          <w:tcPr>
            <w:tcW w:w="921" w:type="dxa"/>
            <w:tcBorders/>
            <w:shd w:fill="auto" w:val="clear"/>
            <w:vAlign w:val="bottom"/>
          </w:tcPr>
          <w:p>
            <w:pPr>
              <w:pStyle w:val="TableContents"/>
              <w:spacing w:before="0" w:after="283"/>
              <w:jc w:val="right"/>
              <w:rPr>
                <w:b/>
              </w:rPr>
            </w:pPr>
            <w:r>
              <w:rPr>
                <w:b/>
              </w:rPr>
              <w:t>78.6</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b/>
              </w:rPr>
            </w:pPr>
            <w:r>
              <w:rPr>
                <w:b/>
              </w:rPr>
              <w:t>$</w:t>
            </w:r>
          </w:p>
        </w:tc>
        <w:tc>
          <w:tcPr>
            <w:tcW w:w="924" w:type="dxa"/>
            <w:tcBorders/>
            <w:shd w:fill="auto" w:val="clear"/>
            <w:vAlign w:val="bottom"/>
          </w:tcPr>
          <w:p>
            <w:pPr>
              <w:pStyle w:val="TableContents"/>
              <w:spacing w:before="0" w:after="283"/>
              <w:jc w:val="right"/>
              <w:rPr>
                <w:b/>
              </w:rPr>
            </w:pPr>
            <w:r>
              <w:rPr>
                <w:b/>
              </w:rPr>
              <w:t>89.0</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b/>
              </w:rPr>
            </w:pPr>
            <w:r>
              <w:rPr>
                <w:b/>
              </w:rPr>
              <w:t>$</w:t>
            </w:r>
          </w:p>
        </w:tc>
        <w:tc>
          <w:tcPr>
            <w:tcW w:w="982" w:type="dxa"/>
            <w:tcBorders/>
            <w:shd w:fill="auto" w:val="clear"/>
            <w:vAlign w:val="bottom"/>
          </w:tcPr>
          <w:p>
            <w:pPr>
              <w:pStyle w:val="TableContents"/>
              <w:spacing w:before="0" w:after="283"/>
              <w:jc w:val="right"/>
              <w:rPr>
                <w:b/>
              </w:rPr>
            </w:pPr>
            <w:r>
              <w:rPr>
                <w:b/>
              </w:rPr>
              <w:t>370.2</w:t>
            </w:r>
          </w:p>
        </w:tc>
        <w:tc>
          <w:tcPr>
            <w:tcW w:w="15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b/>
              </w:rPr>
            </w:pPr>
            <w:r>
              <w:rPr>
                <w:b/>
              </w:rPr>
              <w:t>$</w:t>
            </w:r>
          </w:p>
        </w:tc>
        <w:tc>
          <w:tcPr>
            <w:tcW w:w="984" w:type="dxa"/>
            <w:tcBorders/>
            <w:shd w:fill="auto" w:val="clear"/>
            <w:vAlign w:val="bottom"/>
          </w:tcPr>
          <w:p>
            <w:pPr>
              <w:pStyle w:val="TableContents"/>
              <w:spacing w:before="0" w:after="283"/>
              <w:jc w:val="right"/>
              <w:rPr>
                <w:b/>
              </w:rPr>
            </w:pPr>
            <w:r>
              <w:rPr>
                <w:b/>
              </w:rPr>
              <w:t>380.6</w:t>
            </w:r>
          </w:p>
        </w:tc>
        <w:tc>
          <w:tcPr>
            <w:tcW w:w="107" w:type="dxa"/>
            <w:tcBorders/>
            <w:shd w:fill="auto" w:val="clear"/>
            <w:vAlign w:val="bottom"/>
          </w:tcPr>
          <w:p>
            <w:pPr>
              <w:pStyle w:val="TableContents"/>
              <w:spacing w:before="0" w:after="283"/>
              <w:rPr/>
            </w:pPr>
            <w:r>
              <w:rPr/>
              <w:t> </w:t>
            </w:r>
          </w:p>
        </w:tc>
      </w:tr>
      <w:tr>
        <w:trPr/>
        <w:tc>
          <w:tcPr>
            <w:tcW w:w="2852" w:type="dxa"/>
            <w:tcBorders/>
            <w:shd w:fill="auto" w:val="clear"/>
            <w:vAlign w:val="center"/>
          </w:tcPr>
          <w:p>
            <w:pPr>
              <w:pStyle w:val="TableContents"/>
              <w:spacing w:before="0" w:after="0"/>
              <w:ind w:left="225" w:right="0" w:hanging="225"/>
              <w:rPr/>
            </w:pPr>
            <w:r>
              <w:rPr/>
              <w:t> </w:t>
            </w:r>
          </w:p>
        </w:tc>
        <w:tc>
          <w:tcPr>
            <w:tcW w:w="237" w:type="dxa"/>
            <w:tcBorders/>
            <w:shd w:fill="auto" w:val="clear"/>
            <w:vAlign w:val="center"/>
          </w:tcPr>
          <w:p>
            <w:pPr>
              <w:pStyle w:val="TableContents"/>
              <w:spacing w:before="0" w:after="283"/>
              <w:rPr/>
            </w:pPr>
            <w:r>
              <w:rPr/>
              <w:t> </w:t>
            </w:r>
          </w:p>
        </w:tc>
        <w:tc>
          <w:tcPr>
            <w:tcW w:w="13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1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11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r>
        <w:trPr/>
        <w:tc>
          <w:tcPr>
            <w:tcW w:w="2852" w:type="dxa"/>
            <w:tcBorders/>
            <w:shd w:fill="CCEEFF" w:val="clear"/>
            <w:vAlign w:val="bottom"/>
          </w:tcPr>
          <w:p>
            <w:pPr>
              <w:pStyle w:val="TableContents"/>
              <w:spacing w:before="0" w:after="0"/>
              <w:ind w:left="225" w:right="0" w:hanging="225"/>
              <w:rPr>
                <w:b/>
              </w:rPr>
            </w:pPr>
            <w:r>
              <w:rPr>
                <w:b/>
              </w:rPr>
              <w:t>EBITDA</w:t>
            </w:r>
          </w:p>
        </w:tc>
        <w:tc>
          <w:tcPr>
            <w:tcW w:w="237"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left"/>
              <w:rPr>
                <w:b/>
              </w:rPr>
            </w:pPr>
            <w:r>
              <w:rPr>
                <w:b/>
              </w:rPr>
              <w:t>$</w:t>
            </w:r>
          </w:p>
        </w:tc>
        <w:tc>
          <w:tcPr>
            <w:tcW w:w="1117" w:type="dxa"/>
            <w:tcBorders/>
            <w:shd w:fill="CCEEFF" w:val="clear"/>
            <w:vAlign w:val="bottom"/>
          </w:tcPr>
          <w:p>
            <w:pPr>
              <w:pStyle w:val="TableContents"/>
              <w:spacing w:before="0" w:after="283"/>
              <w:jc w:val="right"/>
              <w:rPr>
                <w:b/>
              </w:rPr>
            </w:pPr>
            <w:r>
              <w:rPr>
                <w:b/>
              </w:rPr>
              <w:t>358.7</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b/>
              </w:rPr>
            </w:pPr>
            <w:r>
              <w:rPr>
                <w:b/>
              </w:rPr>
              <w:t>$</w:t>
            </w:r>
          </w:p>
        </w:tc>
        <w:tc>
          <w:tcPr>
            <w:tcW w:w="921" w:type="dxa"/>
            <w:tcBorders/>
            <w:shd w:fill="CCEEFF" w:val="clear"/>
            <w:vAlign w:val="bottom"/>
          </w:tcPr>
          <w:p>
            <w:pPr>
              <w:pStyle w:val="TableContents"/>
              <w:spacing w:before="0" w:after="283"/>
              <w:jc w:val="right"/>
              <w:rPr>
                <w:b/>
              </w:rPr>
            </w:pPr>
            <w:r>
              <w:rPr>
                <w:b/>
              </w:rPr>
              <w:t>105.6</w:t>
            </w:r>
          </w:p>
        </w:tc>
        <w:tc>
          <w:tcPr>
            <w:tcW w:w="15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b/>
              </w:rPr>
            </w:pPr>
            <w:r>
              <w:rPr>
                <w:b/>
              </w:rPr>
              <w:t>$</w:t>
            </w:r>
          </w:p>
        </w:tc>
        <w:tc>
          <w:tcPr>
            <w:tcW w:w="924" w:type="dxa"/>
            <w:tcBorders/>
            <w:shd w:fill="CCEEFF" w:val="clear"/>
            <w:vAlign w:val="bottom"/>
          </w:tcPr>
          <w:p>
            <w:pPr>
              <w:pStyle w:val="TableContents"/>
              <w:spacing w:before="0" w:after="283"/>
              <w:jc w:val="right"/>
              <w:rPr>
                <w:b/>
              </w:rPr>
            </w:pPr>
            <w:r>
              <w:rPr>
                <w:b/>
              </w:rPr>
              <w:t>115.6</w:t>
            </w:r>
          </w:p>
        </w:tc>
        <w:tc>
          <w:tcPr>
            <w:tcW w:w="117"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b/>
              </w:rPr>
            </w:pPr>
            <w:r>
              <w:rPr>
                <w:b/>
              </w:rPr>
              <w:t>$</w:t>
            </w:r>
          </w:p>
        </w:tc>
        <w:tc>
          <w:tcPr>
            <w:tcW w:w="982" w:type="dxa"/>
            <w:tcBorders/>
            <w:shd w:fill="CCEEFF" w:val="clear"/>
            <w:vAlign w:val="bottom"/>
          </w:tcPr>
          <w:p>
            <w:pPr>
              <w:pStyle w:val="TableContents"/>
              <w:spacing w:before="0" w:after="283"/>
              <w:jc w:val="right"/>
              <w:rPr>
                <w:b/>
              </w:rPr>
            </w:pPr>
            <w:r>
              <w:rPr>
                <w:b/>
              </w:rPr>
              <w:t>464.3</w:t>
            </w:r>
          </w:p>
        </w:tc>
        <w:tc>
          <w:tcPr>
            <w:tcW w:w="150"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b/>
              </w:rPr>
            </w:pPr>
            <w:r>
              <w:rPr>
                <w:b/>
              </w:rPr>
              <w:t>$</w:t>
            </w:r>
          </w:p>
        </w:tc>
        <w:tc>
          <w:tcPr>
            <w:tcW w:w="984" w:type="dxa"/>
            <w:tcBorders/>
            <w:shd w:fill="CCEEFF" w:val="clear"/>
            <w:vAlign w:val="bottom"/>
          </w:tcPr>
          <w:p>
            <w:pPr>
              <w:pStyle w:val="TableContents"/>
              <w:spacing w:before="0" w:after="283"/>
              <w:jc w:val="right"/>
              <w:rPr>
                <w:b/>
              </w:rPr>
            </w:pPr>
            <w:r>
              <w:rPr>
                <w:b/>
              </w:rPr>
              <w:t>474.3</w:t>
            </w:r>
          </w:p>
        </w:tc>
        <w:tc>
          <w:tcPr>
            <w:tcW w:w="107" w:type="dxa"/>
            <w:tcBorders/>
            <w:shd w:fill="CCEEFF" w:val="clear"/>
            <w:vAlign w:val="bottom"/>
          </w:tcPr>
          <w:p>
            <w:pPr>
              <w:pStyle w:val="TableContents"/>
              <w:spacing w:before="0" w:after="283"/>
              <w:rPr/>
            </w:pPr>
            <w:r>
              <w:rPr/>
              <w:t> </w:t>
            </w:r>
          </w:p>
        </w:tc>
      </w:tr>
      <w:tr>
        <w:trPr/>
        <w:tc>
          <w:tcPr>
            <w:tcW w:w="2852" w:type="dxa"/>
            <w:tcBorders/>
            <w:shd w:fill="auto" w:val="clear"/>
            <w:vAlign w:val="center"/>
          </w:tcPr>
          <w:p>
            <w:pPr>
              <w:pStyle w:val="TableContents"/>
              <w:spacing w:before="0" w:after="0"/>
              <w:ind w:left="225" w:right="0" w:hanging="225"/>
              <w:rPr/>
            </w:pPr>
            <w:r>
              <w:rPr/>
              <w:t> </w:t>
            </w:r>
          </w:p>
        </w:tc>
        <w:tc>
          <w:tcPr>
            <w:tcW w:w="237" w:type="dxa"/>
            <w:tcBorders/>
            <w:shd w:fill="auto" w:val="clear"/>
            <w:vAlign w:val="center"/>
          </w:tcPr>
          <w:p>
            <w:pPr>
              <w:pStyle w:val="TableContents"/>
              <w:spacing w:before="0" w:after="283"/>
              <w:rPr/>
            </w:pPr>
            <w:r>
              <w:rPr/>
              <w:t> </w:t>
            </w:r>
          </w:p>
        </w:tc>
        <w:tc>
          <w:tcPr>
            <w:tcW w:w="13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1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11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r>
      <w:tr>
        <w:trPr/>
        <w:tc>
          <w:tcPr>
            <w:tcW w:w="2852" w:type="dxa"/>
            <w:tcBorders/>
            <w:shd w:fill="auto" w:val="clear"/>
            <w:vAlign w:val="bottom"/>
          </w:tcPr>
          <w:p>
            <w:pPr>
              <w:pStyle w:val="TableContents"/>
              <w:spacing w:before="0" w:after="0"/>
              <w:ind w:left="225" w:right="0" w:hanging="225"/>
              <w:rPr/>
            </w:pPr>
            <w:r>
              <w:rPr/>
              <w:t> </w:t>
            </w:r>
          </w:p>
        </w:tc>
        <w:tc>
          <w:tcPr>
            <w:tcW w:w="237"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534"/>
        <w:gridCol w:w="413"/>
        <w:gridCol w:w="140"/>
        <w:gridCol w:w="619"/>
        <w:gridCol w:w="120"/>
        <w:gridCol w:w="104"/>
        <w:gridCol w:w="140"/>
        <w:gridCol w:w="696"/>
        <w:gridCol w:w="120"/>
        <w:gridCol w:w="259"/>
        <w:gridCol w:w="140"/>
        <w:gridCol w:w="696"/>
        <w:gridCol w:w="120"/>
        <w:gridCol w:w="104"/>
        <w:gridCol w:w="140"/>
        <w:gridCol w:w="696"/>
        <w:gridCol w:w="119"/>
        <w:gridCol w:w="104"/>
        <w:gridCol w:w="140"/>
        <w:gridCol w:w="696"/>
        <w:gridCol w:w="105"/>
      </w:tblGrid>
      <w:tr>
        <w:trPr/>
        <w:tc>
          <w:tcPr>
            <w:tcW w:w="453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4534" w:type="dxa"/>
            <w:tcBorders/>
            <w:shd w:fill="auto" w:val="clear"/>
            <w:vAlign w:val="bottom"/>
          </w:tcPr>
          <w:p>
            <w:pPr>
              <w:pStyle w:val="TableContents"/>
              <w:spacing w:before="0" w:after="0"/>
              <w:ind w:left="225" w:right="0" w:hanging="225"/>
              <w:rPr>
                <w:b/>
              </w:rPr>
            </w:pPr>
            <w:r>
              <w:rPr>
                <w:b/>
              </w:rPr>
              <w:t>Selected Items Impacting Comparability</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4534" w:type="dxa"/>
            <w:tcBorders/>
            <w:shd w:fill="CCEEFF" w:val="clear"/>
            <w:vAlign w:val="bottom"/>
          </w:tcPr>
          <w:p>
            <w:pPr>
              <w:pStyle w:val="TableContents"/>
              <w:spacing w:before="0" w:after="0"/>
              <w:ind w:left="225" w:right="0" w:hanging="225"/>
              <w:rPr/>
            </w:pPr>
            <w:r>
              <w:rPr/>
              <w:t>LTIP charge</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19" w:type="dxa"/>
            <w:tcBorders/>
            <w:shd w:fill="CCEEFF" w:val="clear"/>
            <w:vAlign w:val="bottom"/>
          </w:tcPr>
          <w:p>
            <w:pPr>
              <w:pStyle w:val="TableContents"/>
              <w:spacing w:before="0" w:after="283"/>
              <w:jc w:val="right"/>
              <w:rPr/>
            </w:pPr>
            <w:r>
              <w:rPr/>
              <w:t>(27.1</w:t>
            </w:r>
          </w:p>
        </w:tc>
        <w:tc>
          <w:tcPr>
            <w:tcW w:w="120" w:type="dxa"/>
            <w:tcBorders/>
            <w:shd w:fill="CCEEFF" w:val="clear"/>
            <w:vAlign w:val="bottom"/>
          </w:tcPr>
          <w:p>
            <w:pPr>
              <w:pStyle w:val="TableContents"/>
              <w:spacing w:before="0" w:after="283"/>
              <w:rPr/>
            </w:pPr>
            <w:r>
              <w:rPr/>
              <w:t>)</w:t>
            </w:r>
          </w:p>
        </w:tc>
        <w:tc>
          <w:tcPr>
            <w:tcW w:w="1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96" w:type="dxa"/>
            <w:tcBorders/>
            <w:shd w:fill="CCEEFF" w:val="clear"/>
            <w:vAlign w:val="bottom"/>
          </w:tcPr>
          <w:p>
            <w:pPr>
              <w:pStyle w:val="TableContents"/>
              <w:spacing w:before="0" w:after="283"/>
              <w:jc w:val="right"/>
              <w:rPr/>
            </w:pPr>
            <w:r>
              <w:rPr/>
              <w:t>(9.4</w:t>
            </w:r>
          </w:p>
        </w:tc>
        <w:tc>
          <w:tcPr>
            <w:tcW w:w="120" w:type="dxa"/>
            <w:tcBorders/>
            <w:shd w:fill="CCEEFF" w:val="clear"/>
            <w:vAlign w:val="bottom"/>
          </w:tcPr>
          <w:p>
            <w:pPr>
              <w:pStyle w:val="TableContents"/>
              <w:spacing w:before="0" w:after="283"/>
              <w:rPr/>
            </w:pPr>
            <w:r>
              <w:rPr/>
              <w:t>)</w:t>
            </w:r>
          </w:p>
        </w:tc>
        <w:tc>
          <w:tcPr>
            <w:tcW w:w="25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96" w:type="dxa"/>
            <w:tcBorders/>
            <w:shd w:fill="CCEEFF" w:val="clear"/>
            <w:vAlign w:val="bottom"/>
          </w:tcPr>
          <w:p>
            <w:pPr>
              <w:pStyle w:val="TableContents"/>
              <w:spacing w:before="0" w:after="283"/>
              <w:jc w:val="right"/>
              <w:rPr/>
            </w:pPr>
            <w:r>
              <w:rPr/>
              <w:t>(9.4</w:t>
            </w:r>
          </w:p>
        </w:tc>
        <w:tc>
          <w:tcPr>
            <w:tcW w:w="120" w:type="dxa"/>
            <w:tcBorders/>
            <w:shd w:fill="CCEEFF" w:val="clear"/>
            <w:vAlign w:val="bottom"/>
          </w:tcPr>
          <w:p>
            <w:pPr>
              <w:pStyle w:val="TableContents"/>
              <w:spacing w:before="0" w:after="283"/>
              <w:rPr/>
            </w:pPr>
            <w:r>
              <w:rPr/>
              <w:t>)</w:t>
            </w:r>
          </w:p>
        </w:tc>
        <w:tc>
          <w:tcPr>
            <w:tcW w:w="1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96" w:type="dxa"/>
            <w:tcBorders/>
            <w:shd w:fill="CCEEFF" w:val="clear"/>
            <w:vAlign w:val="bottom"/>
          </w:tcPr>
          <w:p>
            <w:pPr>
              <w:pStyle w:val="TableContents"/>
              <w:spacing w:before="0" w:after="283"/>
              <w:jc w:val="right"/>
              <w:rPr/>
            </w:pPr>
            <w:r>
              <w:rPr/>
              <w:t>(36.5</w:t>
            </w:r>
          </w:p>
        </w:tc>
        <w:tc>
          <w:tcPr>
            <w:tcW w:w="119" w:type="dxa"/>
            <w:tcBorders/>
            <w:shd w:fill="CCEEFF" w:val="clear"/>
            <w:vAlign w:val="bottom"/>
          </w:tcPr>
          <w:p>
            <w:pPr>
              <w:pStyle w:val="TableContents"/>
              <w:spacing w:before="0" w:after="283"/>
              <w:rPr/>
            </w:pPr>
            <w:r>
              <w:rPr/>
              <w:t>)</w:t>
            </w:r>
          </w:p>
        </w:tc>
        <w:tc>
          <w:tcPr>
            <w:tcW w:w="1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96" w:type="dxa"/>
            <w:tcBorders/>
            <w:shd w:fill="CCEEFF" w:val="clear"/>
            <w:vAlign w:val="bottom"/>
          </w:tcPr>
          <w:p>
            <w:pPr>
              <w:pStyle w:val="TableContents"/>
              <w:spacing w:before="0" w:after="283"/>
              <w:jc w:val="right"/>
              <w:rPr/>
            </w:pPr>
            <w:r>
              <w:rPr/>
              <w:t>(36.5</w:t>
            </w:r>
          </w:p>
        </w:tc>
        <w:tc>
          <w:tcPr>
            <w:tcW w:w="105" w:type="dxa"/>
            <w:tcBorders/>
            <w:shd w:fill="CCEEFF" w:val="clear"/>
            <w:vAlign w:val="bottom"/>
          </w:tcPr>
          <w:p>
            <w:pPr>
              <w:pStyle w:val="TableContents"/>
              <w:spacing w:before="0" w:after="283"/>
              <w:rPr/>
            </w:pPr>
            <w:r>
              <w:rPr/>
              <w:t>)</w:t>
            </w:r>
          </w:p>
        </w:tc>
      </w:tr>
      <w:tr>
        <w:trPr/>
        <w:tc>
          <w:tcPr>
            <w:tcW w:w="4534" w:type="dxa"/>
            <w:tcBorders/>
            <w:shd w:fill="auto" w:val="clear"/>
            <w:vAlign w:val="bottom"/>
          </w:tcPr>
          <w:p>
            <w:pPr>
              <w:pStyle w:val="TableContents"/>
              <w:spacing w:before="0" w:after="0"/>
              <w:ind w:left="225" w:right="0" w:hanging="225"/>
              <w:rPr/>
            </w:pPr>
            <w:r>
              <w:rPr/>
              <w:t>Cumulative Effect of Change in Accounting Principle</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pPr>
            <w:r>
              <w:rPr/>
              <w:t>6.3</w:t>
            </w:r>
          </w:p>
        </w:tc>
        <w:tc>
          <w:tcPr>
            <w:tcW w:w="12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pPr>
            <w:r>
              <w:rPr/>
              <w:t>6.3</w:t>
            </w:r>
          </w:p>
        </w:tc>
        <w:tc>
          <w:tcPr>
            <w:tcW w:w="11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pPr>
            <w:r>
              <w:rPr/>
              <w:t>6.3</w:t>
            </w:r>
          </w:p>
        </w:tc>
        <w:tc>
          <w:tcPr>
            <w:tcW w:w="105" w:type="dxa"/>
            <w:tcBorders/>
            <w:shd w:fill="auto" w:val="clear"/>
            <w:vAlign w:val="bottom"/>
          </w:tcPr>
          <w:p>
            <w:pPr>
              <w:pStyle w:val="TableContents"/>
              <w:spacing w:before="0" w:after="283"/>
              <w:rPr/>
            </w:pPr>
            <w:r>
              <w:rPr/>
              <w:t> </w:t>
            </w:r>
          </w:p>
        </w:tc>
      </w:tr>
      <w:tr>
        <w:trPr/>
        <w:tc>
          <w:tcPr>
            <w:tcW w:w="4534" w:type="dxa"/>
            <w:tcBorders/>
            <w:shd w:fill="CCEEFF" w:val="clear"/>
            <w:vAlign w:val="bottom"/>
          </w:tcPr>
          <w:p>
            <w:pPr>
              <w:pStyle w:val="TableContents"/>
              <w:spacing w:before="0" w:after="0"/>
              <w:ind w:left="225" w:right="0" w:hanging="225"/>
              <w:rPr/>
            </w:pPr>
            <w:r>
              <w:rPr/>
              <w:t>SFAS 133 Mark-to-Market Adjustment</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pPr>
            <w:r>
              <w:rPr/>
              <w:t>14.8</w:t>
            </w:r>
          </w:p>
        </w:tc>
        <w:tc>
          <w:tcPr>
            <w:tcW w:w="12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pPr>
            <w:r>
              <w:rPr/>
              <w:t>14.8</w:t>
            </w:r>
          </w:p>
        </w:tc>
        <w:tc>
          <w:tcPr>
            <w:tcW w:w="11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pPr>
            <w:r>
              <w:rPr/>
              <w:t>14.8</w:t>
            </w:r>
          </w:p>
        </w:tc>
        <w:tc>
          <w:tcPr>
            <w:tcW w:w="105" w:type="dxa"/>
            <w:tcBorders/>
            <w:shd w:fill="CCEEFF" w:val="clear"/>
            <w:vAlign w:val="bottom"/>
          </w:tcPr>
          <w:p>
            <w:pPr>
              <w:pStyle w:val="TableContents"/>
              <w:spacing w:before="0" w:after="283"/>
              <w:rPr/>
            </w:pPr>
            <w:r>
              <w:rPr/>
              <w:t> </w:t>
            </w:r>
          </w:p>
        </w:tc>
      </w:tr>
      <w:tr>
        <w:trPr/>
        <w:tc>
          <w:tcPr>
            <w:tcW w:w="4534" w:type="dxa"/>
            <w:tcBorders/>
            <w:shd w:fill="auto" w:val="clear"/>
            <w:vAlign w:val="bottom"/>
          </w:tcPr>
          <w:p>
            <w:pPr>
              <w:pStyle w:val="TableContents"/>
              <w:spacing w:before="0" w:after="0"/>
              <w:ind w:left="225" w:right="0" w:hanging="225"/>
              <w:rPr/>
            </w:pPr>
            <w:r>
              <w:rPr/>
              <w:t>Interest expense  New Senior Notes</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696" w:type="dxa"/>
            <w:tcBorders/>
            <w:shd w:fill="auto" w:val="clear"/>
            <w:vAlign w:val="bottom"/>
          </w:tcPr>
          <w:p>
            <w:pPr>
              <w:pStyle w:val="TableContents"/>
              <w:spacing w:before="0" w:after="283"/>
              <w:jc w:val="right"/>
              <w:rPr/>
            </w:pPr>
            <w:r>
              <w:rPr/>
              <w:t>(10.8</w:t>
            </w:r>
          </w:p>
        </w:tc>
        <w:tc>
          <w:tcPr>
            <w:tcW w:w="120" w:type="dxa"/>
            <w:tcBorders/>
            <w:shd w:fill="auto" w:val="clear"/>
            <w:vAlign w:val="bottom"/>
          </w:tcPr>
          <w:p>
            <w:pPr>
              <w:pStyle w:val="TableContents"/>
              <w:spacing w:before="0" w:after="283"/>
              <w:rPr/>
            </w:pPr>
            <w:r>
              <w:rPr/>
              <w:t>)</w:t>
            </w:r>
          </w:p>
        </w:tc>
        <w:tc>
          <w:tcPr>
            <w:tcW w:w="2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696" w:type="dxa"/>
            <w:tcBorders/>
            <w:shd w:fill="auto" w:val="clear"/>
            <w:vAlign w:val="bottom"/>
          </w:tcPr>
          <w:p>
            <w:pPr>
              <w:pStyle w:val="TableContents"/>
              <w:spacing w:before="0" w:after="283"/>
              <w:jc w:val="right"/>
              <w:rPr/>
            </w:pPr>
            <w:r>
              <w:rPr/>
              <w:t>(10.8</w:t>
            </w:r>
          </w:p>
        </w:tc>
        <w:tc>
          <w:tcPr>
            <w:tcW w:w="120" w:type="dxa"/>
            <w:tcBorders/>
            <w:shd w:fill="auto" w:val="clear"/>
            <w:vAlign w:val="bottom"/>
          </w:tcPr>
          <w:p>
            <w:pPr>
              <w:pStyle w:val="TableContents"/>
              <w:spacing w:before="0" w:after="283"/>
              <w:rPr/>
            </w:pPr>
            <w:r>
              <w:rPr/>
              <w:t>)</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696" w:type="dxa"/>
            <w:tcBorders/>
            <w:shd w:fill="auto" w:val="clear"/>
            <w:vAlign w:val="bottom"/>
          </w:tcPr>
          <w:p>
            <w:pPr>
              <w:pStyle w:val="TableContents"/>
              <w:spacing w:before="0" w:after="283"/>
              <w:jc w:val="right"/>
              <w:rPr/>
            </w:pPr>
            <w:r>
              <w:rPr/>
              <w:t>(10.8</w:t>
            </w:r>
          </w:p>
        </w:tc>
        <w:tc>
          <w:tcPr>
            <w:tcW w:w="119" w:type="dxa"/>
            <w:tcBorders/>
            <w:shd w:fill="auto" w:val="clear"/>
            <w:vAlign w:val="bottom"/>
          </w:tcPr>
          <w:p>
            <w:pPr>
              <w:pStyle w:val="TableContents"/>
              <w:spacing w:before="0" w:after="283"/>
              <w:rPr/>
            </w:pPr>
            <w:r>
              <w:rPr/>
              <w:t>)</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696" w:type="dxa"/>
            <w:tcBorders/>
            <w:shd w:fill="auto" w:val="clear"/>
            <w:vAlign w:val="bottom"/>
          </w:tcPr>
          <w:p>
            <w:pPr>
              <w:pStyle w:val="TableContents"/>
              <w:spacing w:before="0" w:after="283"/>
              <w:jc w:val="right"/>
              <w:rPr/>
            </w:pPr>
            <w:r>
              <w:rPr/>
              <w:t>(10.8</w:t>
            </w:r>
          </w:p>
        </w:tc>
        <w:tc>
          <w:tcPr>
            <w:tcW w:w="105" w:type="dxa"/>
            <w:tcBorders/>
            <w:shd w:fill="auto" w:val="clear"/>
            <w:vAlign w:val="bottom"/>
          </w:tcPr>
          <w:p>
            <w:pPr>
              <w:pStyle w:val="TableContents"/>
              <w:spacing w:before="0" w:after="283"/>
              <w:rPr/>
            </w:pPr>
            <w:r>
              <w:rPr/>
              <w:t>)</w:t>
            </w:r>
          </w:p>
        </w:tc>
      </w:tr>
      <w:tr>
        <w:trPr/>
        <w:tc>
          <w:tcPr>
            <w:tcW w:w="4534" w:type="dxa"/>
            <w:tcBorders/>
            <w:shd w:fill="CCEEFF" w:val="clear"/>
            <w:vAlign w:val="bottom"/>
          </w:tcPr>
          <w:p>
            <w:pPr>
              <w:pStyle w:val="TableContents"/>
              <w:spacing w:before="0" w:after="0"/>
              <w:ind w:left="225" w:right="0" w:hanging="225"/>
              <w:rPr/>
            </w:pPr>
            <w:r>
              <w:rPr/>
              <w:t>Interest income  New Senior Notes</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pPr>
            <w:r>
              <w:rPr/>
              <w:t>8.7</w:t>
            </w:r>
          </w:p>
        </w:tc>
        <w:tc>
          <w:tcPr>
            <w:tcW w:w="12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pPr>
            <w:r>
              <w:rPr/>
              <w:t>8.7</w:t>
            </w:r>
          </w:p>
        </w:tc>
        <w:tc>
          <w:tcPr>
            <w:tcW w:w="12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pPr>
            <w:r>
              <w:rPr/>
              <w:t>8.7</w:t>
            </w:r>
          </w:p>
        </w:tc>
        <w:tc>
          <w:tcPr>
            <w:tcW w:w="11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pPr>
            <w:r>
              <w:rPr/>
              <w:t>8.7</w:t>
            </w:r>
          </w:p>
        </w:tc>
        <w:tc>
          <w:tcPr>
            <w:tcW w:w="105" w:type="dxa"/>
            <w:tcBorders/>
            <w:shd w:fill="CCEEFF" w:val="clear"/>
            <w:vAlign w:val="bottom"/>
          </w:tcPr>
          <w:p>
            <w:pPr>
              <w:pStyle w:val="TableContents"/>
              <w:spacing w:before="0" w:after="283"/>
              <w:rPr/>
            </w:pPr>
            <w:r>
              <w:rPr/>
              <w:t> </w:t>
            </w:r>
          </w:p>
        </w:tc>
      </w:tr>
      <w:tr>
        <w:trPr/>
        <w:tc>
          <w:tcPr>
            <w:tcW w:w="4534" w:type="dxa"/>
            <w:tcBorders/>
            <w:shd w:fill="auto" w:val="clear"/>
            <w:vAlign w:val="center"/>
          </w:tcPr>
          <w:p>
            <w:pPr>
              <w:pStyle w:val="TableContents"/>
              <w:spacing w:before="0" w:after="0"/>
              <w:ind w:left="225" w:right="0" w:hanging="225"/>
              <w:rPr/>
            </w:pPr>
            <w:r>
              <w:rPr/>
              <w:t> </w:t>
            </w:r>
          </w:p>
        </w:tc>
        <w:tc>
          <w:tcPr>
            <w:tcW w:w="413" w:type="dxa"/>
            <w:tcBorders/>
            <w:shd w:fill="auto" w:val="clear"/>
            <w:vAlign w:val="center"/>
          </w:tcPr>
          <w:p>
            <w:pPr>
              <w:pStyle w:val="TableContents"/>
              <w:spacing w:before="0" w:after="283"/>
              <w:rPr/>
            </w:pPr>
            <w:r>
              <w:rPr/>
              <w:t> </w:t>
            </w:r>
          </w:p>
        </w:tc>
        <w:tc>
          <w:tcPr>
            <w:tcW w:w="7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8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4534" w:type="dxa"/>
            <w:tcBorders/>
            <w:shd w:fill="auto" w:val="clear"/>
            <w:vAlign w:val="bottom"/>
          </w:tcPr>
          <w:p>
            <w:pPr>
              <w:pStyle w:val="TableContents"/>
              <w:spacing w:before="0" w:after="0"/>
              <w:ind w:left="225" w:right="0" w:hanging="225"/>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19" w:type="dxa"/>
            <w:tcBorders/>
            <w:shd w:fill="auto" w:val="clear"/>
            <w:vAlign w:val="bottom"/>
          </w:tcPr>
          <w:p>
            <w:pPr>
              <w:pStyle w:val="TableContents"/>
              <w:spacing w:before="0" w:after="283"/>
              <w:jc w:val="right"/>
              <w:rPr/>
            </w:pPr>
            <w:r>
              <w:rPr/>
              <w:t>(6.0</w:t>
            </w:r>
          </w:p>
        </w:tc>
        <w:tc>
          <w:tcPr>
            <w:tcW w:w="120" w:type="dxa"/>
            <w:tcBorders/>
            <w:shd w:fill="auto" w:val="clear"/>
            <w:vAlign w:val="bottom"/>
          </w:tcPr>
          <w:p>
            <w:pPr>
              <w:pStyle w:val="TableContents"/>
              <w:spacing w:before="0" w:after="283"/>
              <w:rPr/>
            </w:pPr>
            <w:r>
              <w:rPr/>
              <w:t>)</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96" w:type="dxa"/>
            <w:tcBorders/>
            <w:shd w:fill="auto" w:val="clear"/>
            <w:vAlign w:val="bottom"/>
          </w:tcPr>
          <w:p>
            <w:pPr>
              <w:pStyle w:val="TableContents"/>
              <w:spacing w:before="0" w:after="283"/>
              <w:jc w:val="right"/>
              <w:rPr/>
            </w:pPr>
            <w:r>
              <w:rPr/>
              <w:t>(11.5</w:t>
            </w:r>
          </w:p>
        </w:tc>
        <w:tc>
          <w:tcPr>
            <w:tcW w:w="120" w:type="dxa"/>
            <w:tcBorders/>
            <w:shd w:fill="auto" w:val="clear"/>
            <w:vAlign w:val="bottom"/>
          </w:tcPr>
          <w:p>
            <w:pPr>
              <w:pStyle w:val="TableContents"/>
              <w:spacing w:before="0" w:after="283"/>
              <w:rPr/>
            </w:pPr>
            <w:r>
              <w:rPr/>
              <w:t>)</w:t>
            </w:r>
          </w:p>
        </w:tc>
        <w:tc>
          <w:tcPr>
            <w:tcW w:w="2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96" w:type="dxa"/>
            <w:tcBorders/>
            <w:shd w:fill="auto" w:val="clear"/>
            <w:vAlign w:val="bottom"/>
          </w:tcPr>
          <w:p>
            <w:pPr>
              <w:pStyle w:val="TableContents"/>
              <w:spacing w:before="0" w:after="283"/>
              <w:jc w:val="right"/>
              <w:rPr/>
            </w:pPr>
            <w:r>
              <w:rPr/>
              <w:t>(11.5</w:t>
            </w:r>
          </w:p>
        </w:tc>
        <w:tc>
          <w:tcPr>
            <w:tcW w:w="120" w:type="dxa"/>
            <w:tcBorders/>
            <w:shd w:fill="auto" w:val="clear"/>
            <w:vAlign w:val="bottom"/>
          </w:tcPr>
          <w:p>
            <w:pPr>
              <w:pStyle w:val="TableContents"/>
              <w:spacing w:before="0" w:after="283"/>
              <w:rPr/>
            </w:pPr>
            <w:r>
              <w:rPr/>
              <w:t>)</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96" w:type="dxa"/>
            <w:tcBorders/>
            <w:shd w:fill="auto" w:val="clear"/>
            <w:vAlign w:val="bottom"/>
          </w:tcPr>
          <w:p>
            <w:pPr>
              <w:pStyle w:val="TableContents"/>
              <w:spacing w:before="0" w:after="283"/>
              <w:jc w:val="right"/>
              <w:rPr/>
            </w:pPr>
            <w:r>
              <w:rPr/>
              <w:t>(17.5</w:t>
            </w:r>
          </w:p>
        </w:tc>
        <w:tc>
          <w:tcPr>
            <w:tcW w:w="119" w:type="dxa"/>
            <w:tcBorders/>
            <w:shd w:fill="auto" w:val="clear"/>
            <w:vAlign w:val="bottom"/>
          </w:tcPr>
          <w:p>
            <w:pPr>
              <w:pStyle w:val="TableContents"/>
              <w:spacing w:before="0" w:after="283"/>
              <w:rPr/>
            </w:pPr>
            <w:r>
              <w:rPr/>
              <w:t>)</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96" w:type="dxa"/>
            <w:tcBorders/>
            <w:shd w:fill="auto" w:val="clear"/>
            <w:vAlign w:val="bottom"/>
          </w:tcPr>
          <w:p>
            <w:pPr>
              <w:pStyle w:val="TableContents"/>
              <w:spacing w:before="0" w:after="283"/>
              <w:jc w:val="right"/>
              <w:rPr/>
            </w:pPr>
            <w:r>
              <w:rPr/>
              <w:t>(17.5</w:t>
            </w:r>
          </w:p>
        </w:tc>
        <w:tc>
          <w:tcPr>
            <w:tcW w:w="105" w:type="dxa"/>
            <w:tcBorders/>
            <w:shd w:fill="auto" w:val="clear"/>
            <w:vAlign w:val="bottom"/>
          </w:tcPr>
          <w:p>
            <w:pPr>
              <w:pStyle w:val="TableContents"/>
              <w:spacing w:before="0" w:after="283"/>
              <w:rPr/>
            </w:pPr>
            <w:r>
              <w:rPr/>
              <w:t>)</w:t>
            </w:r>
          </w:p>
        </w:tc>
      </w:tr>
      <w:tr>
        <w:trPr/>
        <w:tc>
          <w:tcPr>
            <w:tcW w:w="4534" w:type="dxa"/>
            <w:tcBorders/>
            <w:shd w:fill="auto" w:val="clear"/>
            <w:vAlign w:val="center"/>
          </w:tcPr>
          <w:p>
            <w:pPr>
              <w:pStyle w:val="TableContents"/>
              <w:spacing w:before="0" w:after="0"/>
              <w:ind w:left="225" w:right="0" w:hanging="225"/>
              <w:rPr/>
            </w:pPr>
            <w:r>
              <w:rPr/>
              <w:t> </w:t>
            </w:r>
          </w:p>
        </w:tc>
        <w:tc>
          <w:tcPr>
            <w:tcW w:w="413" w:type="dxa"/>
            <w:tcBorders/>
            <w:shd w:fill="auto" w:val="clear"/>
            <w:vAlign w:val="center"/>
          </w:tcPr>
          <w:p>
            <w:pPr>
              <w:pStyle w:val="TableContents"/>
              <w:spacing w:before="0" w:after="283"/>
              <w:rPr/>
            </w:pPr>
            <w:r>
              <w:rPr/>
              <w:t> </w:t>
            </w:r>
          </w:p>
        </w:tc>
        <w:tc>
          <w:tcPr>
            <w:tcW w:w="7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8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4534" w:type="dxa"/>
            <w:tcBorders/>
            <w:shd w:fill="auto" w:val="clear"/>
            <w:vAlign w:val="bottom"/>
          </w:tcPr>
          <w:p>
            <w:pPr>
              <w:pStyle w:val="TableContents"/>
              <w:spacing w:before="0" w:after="0"/>
              <w:ind w:left="225" w:right="0" w:hanging="225"/>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526"/>
        <w:gridCol w:w="413"/>
        <w:gridCol w:w="140"/>
        <w:gridCol w:w="640"/>
        <w:gridCol w:w="104"/>
        <w:gridCol w:w="104"/>
        <w:gridCol w:w="140"/>
        <w:gridCol w:w="717"/>
        <w:gridCol w:w="104"/>
        <w:gridCol w:w="258"/>
        <w:gridCol w:w="140"/>
        <w:gridCol w:w="716"/>
        <w:gridCol w:w="104"/>
        <w:gridCol w:w="104"/>
        <w:gridCol w:w="140"/>
        <w:gridCol w:w="717"/>
        <w:gridCol w:w="104"/>
        <w:gridCol w:w="104"/>
        <w:gridCol w:w="140"/>
        <w:gridCol w:w="717"/>
        <w:gridCol w:w="73"/>
      </w:tblGrid>
      <w:tr>
        <w:trPr/>
        <w:tc>
          <w:tcPr>
            <w:tcW w:w="4526"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4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r>
      <w:tr>
        <w:trPr/>
        <w:tc>
          <w:tcPr>
            <w:tcW w:w="4526" w:type="dxa"/>
            <w:tcBorders/>
            <w:shd w:fill="CCEEFF" w:val="clear"/>
            <w:vAlign w:val="bottom"/>
          </w:tcPr>
          <w:p>
            <w:pPr>
              <w:pStyle w:val="TableContents"/>
              <w:spacing w:before="0" w:after="0"/>
              <w:ind w:left="225" w:right="0" w:hanging="225"/>
              <w:rPr>
                <w:b/>
              </w:rPr>
            </w:pPr>
            <w:r>
              <w:rPr>
                <w:b/>
              </w:rPr>
              <w:t>Excluding Selected Items Impacting Comparability</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4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r>
      <w:tr>
        <w:trPr/>
        <w:tc>
          <w:tcPr>
            <w:tcW w:w="4526" w:type="dxa"/>
            <w:tcBorders/>
            <w:shd w:fill="auto" w:val="clear"/>
            <w:vAlign w:val="bottom"/>
          </w:tcPr>
          <w:p>
            <w:pPr>
              <w:pStyle w:val="TableContents"/>
              <w:spacing w:before="0" w:after="0"/>
              <w:ind w:left="225" w:right="0" w:hanging="225"/>
              <w:rPr/>
            </w:pPr>
            <w:r>
              <w:rPr/>
              <w:t>Adjusted EBITDA</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40" w:type="dxa"/>
            <w:tcBorders/>
            <w:shd w:fill="auto" w:val="clear"/>
            <w:vAlign w:val="bottom"/>
          </w:tcPr>
          <w:p>
            <w:pPr>
              <w:pStyle w:val="TableContents"/>
              <w:spacing w:before="0" w:after="283"/>
              <w:jc w:val="right"/>
              <w:rPr/>
            </w:pPr>
            <w:r>
              <w:rPr/>
              <w:t>364.7</w:t>
            </w:r>
          </w:p>
        </w:tc>
        <w:tc>
          <w:tcPr>
            <w:tcW w:w="104"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717" w:type="dxa"/>
            <w:tcBorders/>
            <w:shd w:fill="auto" w:val="clear"/>
            <w:vAlign w:val="bottom"/>
          </w:tcPr>
          <w:p>
            <w:pPr>
              <w:pStyle w:val="TableContents"/>
              <w:spacing w:before="0" w:after="283"/>
              <w:jc w:val="right"/>
              <w:rPr/>
            </w:pPr>
            <w:r>
              <w:rPr/>
              <w:t>115.0</w:t>
            </w:r>
          </w:p>
        </w:tc>
        <w:tc>
          <w:tcPr>
            <w:tcW w:w="104"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716" w:type="dxa"/>
            <w:tcBorders/>
            <w:shd w:fill="auto" w:val="clear"/>
            <w:vAlign w:val="bottom"/>
          </w:tcPr>
          <w:p>
            <w:pPr>
              <w:pStyle w:val="TableContents"/>
              <w:spacing w:before="0" w:after="283"/>
              <w:jc w:val="right"/>
              <w:rPr/>
            </w:pPr>
            <w:r>
              <w:rPr/>
              <w:t>125.0</w:t>
            </w:r>
          </w:p>
        </w:tc>
        <w:tc>
          <w:tcPr>
            <w:tcW w:w="104"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717" w:type="dxa"/>
            <w:tcBorders/>
            <w:shd w:fill="auto" w:val="clear"/>
            <w:vAlign w:val="bottom"/>
          </w:tcPr>
          <w:p>
            <w:pPr>
              <w:pStyle w:val="TableContents"/>
              <w:spacing w:before="0" w:after="283"/>
              <w:jc w:val="right"/>
              <w:rPr/>
            </w:pPr>
            <w:r>
              <w:rPr/>
              <w:t>479.7</w:t>
            </w:r>
          </w:p>
        </w:tc>
        <w:tc>
          <w:tcPr>
            <w:tcW w:w="104"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717" w:type="dxa"/>
            <w:tcBorders/>
            <w:shd w:fill="auto" w:val="clear"/>
            <w:vAlign w:val="bottom"/>
          </w:tcPr>
          <w:p>
            <w:pPr>
              <w:pStyle w:val="TableContents"/>
              <w:spacing w:before="0" w:after="283"/>
              <w:jc w:val="right"/>
              <w:rPr/>
            </w:pPr>
            <w:r>
              <w:rPr/>
              <w:t>489.7</w:t>
            </w:r>
          </w:p>
        </w:tc>
        <w:tc>
          <w:tcPr>
            <w:tcW w:w="73" w:type="dxa"/>
            <w:tcBorders/>
            <w:shd w:fill="auto" w:val="clear"/>
            <w:vAlign w:val="bottom"/>
          </w:tcPr>
          <w:p>
            <w:pPr>
              <w:pStyle w:val="TableContents"/>
              <w:spacing w:before="0" w:after="283"/>
              <w:rPr/>
            </w:pPr>
            <w:r>
              <w:rPr/>
              <w:t> </w:t>
            </w:r>
          </w:p>
        </w:tc>
      </w:tr>
      <w:tr>
        <w:trPr/>
        <w:tc>
          <w:tcPr>
            <w:tcW w:w="4526" w:type="dxa"/>
            <w:tcBorders/>
            <w:shd w:fill="auto" w:val="clear"/>
            <w:vAlign w:val="center"/>
          </w:tcPr>
          <w:p>
            <w:pPr>
              <w:pStyle w:val="TableContents"/>
              <w:spacing w:before="0" w:after="0"/>
              <w:ind w:left="225" w:right="0" w:hanging="225"/>
              <w:rPr/>
            </w:pPr>
            <w:r>
              <w:rPr/>
              <w:t> </w:t>
            </w:r>
          </w:p>
        </w:tc>
        <w:tc>
          <w:tcPr>
            <w:tcW w:w="413" w:type="dxa"/>
            <w:tcBorders/>
            <w:shd w:fill="auto" w:val="clear"/>
            <w:vAlign w:val="center"/>
          </w:tcPr>
          <w:p>
            <w:pPr>
              <w:pStyle w:val="TableContents"/>
              <w:spacing w:before="0" w:after="283"/>
              <w:rPr/>
            </w:pPr>
            <w:r>
              <w:rPr/>
              <w:t> </w:t>
            </w:r>
          </w:p>
        </w:tc>
        <w:tc>
          <w:tcPr>
            <w:tcW w:w="7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8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3" w:type="dxa"/>
            <w:tcBorders/>
            <w:shd w:fill="auto" w:val="clear"/>
            <w:vAlign w:val="center"/>
          </w:tcPr>
          <w:p>
            <w:pPr>
              <w:pStyle w:val="TableContents"/>
              <w:spacing w:before="0" w:after="283"/>
              <w:rPr/>
            </w:pPr>
            <w:r>
              <w:rPr/>
              <w:t> </w:t>
            </w:r>
          </w:p>
        </w:tc>
      </w:tr>
      <w:tr>
        <w:trPr/>
        <w:tc>
          <w:tcPr>
            <w:tcW w:w="4526" w:type="dxa"/>
            <w:tcBorders/>
            <w:shd w:fill="CCEEFF" w:val="clear"/>
            <w:vAlign w:val="bottom"/>
          </w:tcPr>
          <w:p>
            <w:pPr>
              <w:pStyle w:val="TableContents"/>
              <w:spacing w:before="0" w:after="0"/>
              <w:ind w:left="225" w:right="0" w:hanging="225"/>
              <w:rPr/>
            </w:pPr>
            <w:r>
              <w:rPr/>
              <w:t>Adjusted Net Income</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40" w:type="dxa"/>
            <w:tcBorders/>
            <w:shd w:fill="CCEEFF" w:val="clear"/>
            <w:vAlign w:val="bottom"/>
          </w:tcPr>
          <w:p>
            <w:pPr>
              <w:pStyle w:val="TableContents"/>
              <w:spacing w:before="0" w:after="283"/>
              <w:jc w:val="right"/>
              <w:rPr/>
            </w:pPr>
            <w:r>
              <w:rPr/>
              <w:t>245.1</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717" w:type="dxa"/>
            <w:tcBorders/>
            <w:shd w:fill="CCEEFF" w:val="clear"/>
            <w:vAlign w:val="bottom"/>
          </w:tcPr>
          <w:p>
            <w:pPr>
              <w:pStyle w:val="TableContents"/>
              <w:spacing w:before="0" w:after="283"/>
              <w:jc w:val="right"/>
              <w:rPr/>
            </w:pPr>
            <w:r>
              <w:rPr/>
              <w:t>67.9</w:t>
            </w:r>
          </w:p>
        </w:tc>
        <w:tc>
          <w:tcPr>
            <w:tcW w:w="104"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716" w:type="dxa"/>
            <w:tcBorders/>
            <w:shd w:fill="CCEEFF" w:val="clear"/>
            <w:vAlign w:val="bottom"/>
          </w:tcPr>
          <w:p>
            <w:pPr>
              <w:pStyle w:val="TableContents"/>
              <w:spacing w:before="0" w:after="283"/>
              <w:jc w:val="right"/>
              <w:rPr/>
            </w:pPr>
            <w:r>
              <w:rPr/>
              <w:t>79.1</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717" w:type="dxa"/>
            <w:tcBorders/>
            <w:shd w:fill="CCEEFF" w:val="clear"/>
            <w:vAlign w:val="bottom"/>
          </w:tcPr>
          <w:p>
            <w:pPr>
              <w:pStyle w:val="TableContents"/>
              <w:spacing w:before="0" w:after="283"/>
              <w:jc w:val="right"/>
              <w:rPr/>
            </w:pPr>
            <w:r>
              <w:rPr/>
              <w:t>313.0</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717" w:type="dxa"/>
            <w:tcBorders/>
            <w:shd w:fill="CCEEFF" w:val="clear"/>
            <w:vAlign w:val="bottom"/>
          </w:tcPr>
          <w:p>
            <w:pPr>
              <w:pStyle w:val="TableContents"/>
              <w:spacing w:before="0" w:after="283"/>
              <w:jc w:val="right"/>
              <w:rPr/>
            </w:pPr>
            <w:r>
              <w:rPr/>
              <w:t>324.2</w:t>
            </w:r>
          </w:p>
        </w:tc>
        <w:tc>
          <w:tcPr>
            <w:tcW w:w="73" w:type="dxa"/>
            <w:tcBorders/>
            <w:shd w:fill="CCEEFF" w:val="clear"/>
            <w:vAlign w:val="bottom"/>
          </w:tcPr>
          <w:p>
            <w:pPr>
              <w:pStyle w:val="TableContents"/>
              <w:spacing w:before="0" w:after="283"/>
              <w:rPr/>
            </w:pPr>
            <w:r>
              <w:rPr/>
              <w:t> </w:t>
            </w:r>
          </w:p>
        </w:tc>
      </w:tr>
      <w:tr>
        <w:trPr/>
        <w:tc>
          <w:tcPr>
            <w:tcW w:w="4526" w:type="dxa"/>
            <w:tcBorders/>
            <w:shd w:fill="auto" w:val="clear"/>
            <w:vAlign w:val="center"/>
          </w:tcPr>
          <w:p>
            <w:pPr>
              <w:pStyle w:val="TableContents"/>
              <w:spacing w:before="0" w:after="0"/>
              <w:ind w:left="225" w:right="0" w:hanging="225"/>
              <w:rPr/>
            </w:pPr>
            <w:r>
              <w:rPr/>
              <w:t> </w:t>
            </w:r>
          </w:p>
        </w:tc>
        <w:tc>
          <w:tcPr>
            <w:tcW w:w="413" w:type="dxa"/>
            <w:tcBorders/>
            <w:shd w:fill="auto" w:val="clear"/>
            <w:vAlign w:val="center"/>
          </w:tcPr>
          <w:p>
            <w:pPr>
              <w:pStyle w:val="TableContents"/>
              <w:spacing w:before="0" w:after="283"/>
              <w:rPr/>
            </w:pPr>
            <w:r>
              <w:rPr/>
              <w:t> </w:t>
            </w:r>
          </w:p>
        </w:tc>
        <w:tc>
          <w:tcPr>
            <w:tcW w:w="7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8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3" w:type="dxa"/>
            <w:tcBorders/>
            <w:shd w:fill="auto" w:val="clear"/>
            <w:vAlign w:val="center"/>
          </w:tcPr>
          <w:p>
            <w:pPr>
              <w:pStyle w:val="TableContents"/>
              <w:spacing w:before="0" w:after="283"/>
              <w:rPr/>
            </w:pPr>
            <w:r>
              <w:rPr/>
              <w:t> </w:t>
            </w:r>
          </w:p>
        </w:tc>
      </w:tr>
      <w:tr>
        <w:trPr/>
        <w:tc>
          <w:tcPr>
            <w:tcW w:w="4526" w:type="dxa"/>
            <w:tcBorders/>
            <w:shd w:fill="auto" w:val="clear"/>
            <w:vAlign w:val="bottom"/>
          </w:tcPr>
          <w:p>
            <w:pPr>
              <w:pStyle w:val="TableContents"/>
              <w:spacing w:before="0" w:after="0"/>
              <w:ind w:left="225" w:right="0" w:hanging="225"/>
              <w:rPr/>
            </w:pPr>
            <w:r>
              <w:rPr/>
              <w:t>Adjusted Basic Net Income per Limited Partner Unit</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40" w:type="dxa"/>
            <w:tcBorders/>
            <w:shd w:fill="auto" w:val="clear"/>
            <w:vAlign w:val="bottom"/>
          </w:tcPr>
          <w:p>
            <w:pPr>
              <w:pStyle w:val="TableContents"/>
              <w:spacing w:before="0" w:after="283"/>
              <w:jc w:val="right"/>
              <w:rPr/>
            </w:pPr>
            <w:r>
              <w:rPr/>
              <w:t>2.84</w:t>
            </w:r>
          </w:p>
        </w:tc>
        <w:tc>
          <w:tcPr>
            <w:tcW w:w="104"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717" w:type="dxa"/>
            <w:tcBorders/>
            <w:shd w:fill="auto" w:val="clear"/>
            <w:vAlign w:val="bottom"/>
          </w:tcPr>
          <w:p>
            <w:pPr>
              <w:pStyle w:val="TableContents"/>
              <w:spacing w:before="0" w:after="283"/>
              <w:jc w:val="right"/>
              <w:rPr/>
            </w:pPr>
            <w:r>
              <w:rPr/>
              <w:t>0.69</w:t>
            </w:r>
          </w:p>
        </w:tc>
        <w:tc>
          <w:tcPr>
            <w:tcW w:w="104"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716" w:type="dxa"/>
            <w:tcBorders/>
            <w:shd w:fill="auto" w:val="clear"/>
            <w:vAlign w:val="bottom"/>
          </w:tcPr>
          <w:p>
            <w:pPr>
              <w:pStyle w:val="TableContents"/>
              <w:spacing w:before="0" w:after="283"/>
              <w:jc w:val="right"/>
              <w:rPr/>
            </w:pPr>
            <w:r>
              <w:rPr/>
              <w:t>0.82</w:t>
            </w:r>
          </w:p>
        </w:tc>
        <w:tc>
          <w:tcPr>
            <w:tcW w:w="104"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717" w:type="dxa"/>
            <w:tcBorders/>
            <w:shd w:fill="auto" w:val="clear"/>
            <w:vAlign w:val="bottom"/>
          </w:tcPr>
          <w:p>
            <w:pPr>
              <w:pStyle w:val="TableContents"/>
              <w:spacing w:before="0" w:after="283"/>
              <w:jc w:val="right"/>
              <w:rPr/>
            </w:pPr>
            <w:r>
              <w:rPr/>
              <w:t>3.53</w:t>
            </w:r>
          </w:p>
        </w:tc>
        <w:tc>
          <w:tcPr>
            <w:tcW w:w="104"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717" w:type="dxa"/>
            <w:tcBorders/>
            <w:shd w:fill="auto" w:val="clear"/>
            <w:vAlign w:val="bottom"/>
          </w:tcPr>
          <w:p>
            <w:pPr>
              <w:pStyle w:val="TableContents"/>
              <w:spacing w:before="0" w:after="283"/>
              <w:jc w:val="right"/>
              <w:rPr/>
            </w:pPr>
            <w:r>
              <w:rPr/>
              <w:t>3.66</w:t>
            </w:r>
          </w:p>
        </w:tc>
        <w:tc>
          <w:tcPr>
            <w:tcW w:w="73" w:type="dxa"/>
            <w:tcBorders/>
            <w:shd w:fill="auto" w:val="clear"/>
            <w:vAlign w:val="bottom"/>
          </w:tcPr>
          <w:p>
            <w:pPr>
              <w:pStyle w:val="TableContents"/>
              <w:spacing w:before="0" w:after="283"/>
              <w:rPr/>
            </w:pPr>
            <w:r>
              <w:rPr/>
              <w:t> </w:t>
            </w:r>
          </w:p>
        </w:tc>
      </w:tr>
      <w:tr>
        <w:trPr/>
        <w:tc>
          <w:tcPr>
            <w:tcW w:w="4526" w:type="dxa"/>
            <w:tcBorders/>
            <w:shd w:fill="auto" w:val="clear"/>
            <w:vAlign w:val="center"/>
          </w:tcPr>
          <w:p>
            <w:pPr>
              <w:pStyle w:val="TableContents"/>
              <w:spacing w:before="0" w:after="0"/>
              <w:ind w:left="225" w:right="0" w:hanging="225"/>
              <w:rPr/>
            </w:pPr>
            <w:r>
              <w:rPr/>
              <w:t> </w:t>
            </w:r>
          </w:p>
        </w:tc>
        <w:tc>
          <w:tcPr>
            <w:tcW w:w="413" w:type="dxa"/>
            <w:tcBorders/>
            <w:shd w:fill="auto" w:val="clear"/>
            <w:vAlign w:val="center"/>
          </w:tcPr>
          <w:p>
            <w:pPr>
              <w:pStyle w:val="TableContents"/>
              <w:spacing w:before="0" w:after="283"/>
              <w:rPr/>
            </w:pPr>
            <w:r>
              <w:rPr/>
              <w:t> </w:t>
            </w:r>
          </w:p>
        </w:tc>
        <w:tc>
          <w:tcPr>
            <w:tcW w:w="7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8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3" w:type="dxa"/>
            <w:tcBorders/>
            <w:shd w:fill="auto" w:val="clear"/>
            <w:vAlign w:val="center"/>
          </w:tcPr>
          <w:p>
            <w:pPr>
              <w:pStyle w:val="TableContents"/>
              <w:spacing w:before="0" w:after="283"/>
              <w:rPr/>
            </w:pPr>
            <w:r>
              <w:rPr/>
              <w:t> </w:t>
            </w:r>
          </w:p>
        </w:tc>
      </w:tr>
      <w:tr>
        <w:trPr/>
        <w:tc>
          <w:tcPr>
            <w:tcW w:w="4526" w:type="dxa"/>
            <w:tcBorders/>
            <w:shd w:fill="CCEEFF" w:val="clear"/>
            <w:vAlign w:val="bottom"/>
          </w:tcPr>
          <w:p>
            <w:pPr>
              <w:pStyle w:val="TableContents"/>
              <w:spacing w:before="0" w:after="0"/>
              <w:ind w:left="225" w:right="0" w:hanging="225"/>
              <w:rPr/>
            </w:pPr>
            <w:r>
              <w:rPr/>
              <w:t>Adjusted Diluted Net Income per Limited Partner Unit</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40" w:type="dxa"/>
            <w:tcBorders/>
            <w:shd w:fill="CCEEFF" w:val="clear"/>
            <w:vAlign w:val="bottom"/>
          </w:tcPr>
          <w:p>
            <w:pPr>
              <w:pStyle w:val="TableContents"/>
              <w:spacing w:before="0" w:after="283"/>
              <w:jc w:val="right"/>
              <w:rPr/>
            </w:pPr>
            <w:r>
              <w:rPr/>
              <w:t>2.81</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717" w:type="dxa"/>
            <w:tcBorders/>
            <w:shd w:fill="CCEEFF" w:val="clear"/>
            <w:vAlign w:val="bottom"/>
          </w:tcPr>
          <w:p>
            <w:pPr>
              <w:pStyle w:val="TableContents"/>
              <w:spacing w:before="0" w:after="283"/>
              <w:jc w:val="right"/>
              <w:rPr/>
            </w:pPr>
            <w:r>
              <w:rPr/>
              <w:t>0.68</w:t>
            </w:r>
          </w:p>
        </w:tc>
        <w:tc>
          <w:tcPr>
            <w:tcW w:w="104"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716" w:type="dxa"/>
            <w:tcBorders/>
            <w:shd w:fill="CCEEFF" w:val="clear"/>
            <w:vAlign w:val="bottom"/>
          </w:tcPr>
          <w:p>
            <w:pPr>
              <w:pStyle w:val="TableContents"/>
              <w:spacing w:before="0" w:after="283"/>
              <w:jc w:val="right"/>
              <w:rPr/>
            </w:pPr>
            <w:r>
              <w:rPr/>
              <w:t>0.81</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717" w:type="dxa"/>
            <w:tcBorders/>
            <w:shd w:fill="CCEEFF" w:val="clear"/>
            <w:vAlign w:val="bottom"/>
          </w:tcPr>
          <w:p>
            <w:pPr>
              <w:pStyle w:val="TableContents"/>
              <w:spacing w:before="0" w:after="283"/>
              <w:jc w:val="right"/>
              <w:rPr/>
            </w:pPr>
            <w:r>
              <w:rPr/>
              <w:t>3.49</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717" w:type="dxa"/>
            <w:tcBorders/>
            <w:shd w:fill="CCEEFF" w:val="clear"/>
            <w:vAlign w:val="bottom"/>
          </w:tcPr>
          <w:p>
            <w:pPr>
              <w:pStyle w:val="TableContents"/>
              <w:spacing w:before="0" w:after="283"/>
              <w:jc w:val="right"/>
              <w:rPr/>
            </w:pPr>
            <w:r>
              <w:rPr/>
              <w:t>3.62</w:t>
            </w:r>
          </w:p>
        </w:tc>
        <w:tc>
          <w:tcPr>
            <w:tcW w:w="73" w:type="dxa"/>
            <w:tcBorders/>
            <w:shd w:fill="CCEEFF" w:val="clear"/>
            <w:vAlign w:val="bottom"/>
          </w:tcPr>
          <w:p>
            <w:pPr>
              <w:pStyle w:val="TableContents"/>
              <w:spacing w:before="0" w:after="283"/>
              <w:rPr/>
            </w:pPr>
            <w:r>
              <w:rPr/>
              <w:t> </w:t>
            </w:r>
          </w:p>
        </w:tc>
      </w:tr>
      <w:tr>
        <w:trPr/>
        <w:tc>
          <w:tcPr>
            <w:tcW w:w="4526" w:type="dxa"/>
            <w:tcBorders/>
            <w:shd w:fill="auto" w:val="clear"/>
            <w:vAlign w:val="center"/>
          </w:tcPr>
          <w:p>
            <w:pPr>
              <w:pStyle w:val="TableContents"/>
              <w:spacing w:before="0" w:after="0"/>
              <w:ind w:left="225" w:right="0" w:hanging="225"/>
              <w:rPr/>
            </w:pPr>
            <w:r>
              <w:rPr/>
              <w:t> </w:t>
            </w:r>
          </w:p>
        </w:tc>
        <w:tc>
          <w:tcPr>
            <w:tcW w:w="413" w:type="dxa"/>
            <w:tcBorders/>
            <w:shd w:fill="auto" w:val="clear"/>
            <w:vAlign w:val="center"/>
          </w:tcPr>
          <w:p>
            <w:pPr>
              <w:pStyle w:val="TableContents"/>
              <w:spacing w:before="0" w:after="283"/>
              <w:rPr/>
            </w:pPr>
            <w:r>
              <w:rPr/>
              <w:t> </w:t>
            </w:r>
          </w:p>
        </w:tc>
        <w:tc>
          <w:tcPr>
            <w:tcW w:w="7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8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3"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04"/>
        <w:gridCol w:w="2235"/>
        <w:gridCol w:w="1266"/>
      </w:tblGrid>
      <w:tr>
        <w:trPr/>
        <w:tc>
          <w:tcPr>
            <w:tcW w:w="6704" w:type="dxa"/>
            <w:tcBorders/>
            <w:shd w:fill="auto" w:val="clear"/>
            <w:vAlign w:val="center"/>
          </w:tcPr>
          <w:p>
            <w:pPr>
              <w:pStyle w:val="TableContents"/>
              <w:spacing w:before="0" w:after="283"/>
              <w:rPr>
                <w:sz w:val="4"/>
                <w:szCs w:val="4"/>
              </w:rPr>
            </w:pPr>
            <w:r>
              <w:rPr>
                <w:sz w:val="4"/>
                <w:szCs w:val="4"/>
              </w:rPr>
            </w:r>
          </w:p>
        </w:tc>
        <w:tc>
          <w:tcPr>
            <w:tcW w:w="2235"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r>
      <w:tr>
        <w:trPr/>
        <w:tc>
          <w:tcPr>
            <w:tcW w:w="6704" w:type="dxa"/>
            <w:tcBorders/>
            <w:shd w:fill="auto" w:val="clear"/>
          </w:tcPr>
          <w:p>
            <w:pPr>
              <w:pStyle w:val="TableContents"/>
              <w:spacing w:before="0" w:after="283"/>
              <w:jc w:val="left"/>
              <w:rPr/>
            </w:pPr>
            <w:r>
              <w:rPr/>
              <w:t>*</w:t>
            </w:r>
          </w:p>
        </w:tc>
        <w:tc>
          <w:tcPr>
            <w:tcW w:w="2235" w:type="dxa"/>
            <w:tcBorders/>
            <w:shd w:fill="auto" w:val="clear"/>
          </w:tcPr>
          <w:p>
            <w:pPr>
              <w:pStyle w:val="TableContents"/>
              <w:spacing w:before="0" w:after="283"/>
              <w:rPr/>
            </w:pPr>
            <w:r>
              <w:rPr/>
              <w:t> </w:t>
            </w:r>
          </w:p>
        </w:tc>
        <w:tc>
          <w:tcPr>
            <w:tcW w:w="1266" w:type="dxa"/>
            <w:tcBorders/>
            <w:shd w:fill="auto" w:val="clear"/>
          </w:tcPr>
          <w:p>
            <w:pPr>
              <w:pStyle w:val="TableContents"/>
              <w:spacing w:before="0" w:after="283"/>
              <w:rPr/>
            </w:pPr>
            <w:r>
              <w:rPr/>
              <w:t>The projected average foreign exchange rate is $1.15 CAD to $1 USD. The rate as of November 1, 2006 was 1.13 CAD to $1 USD.</w:t>
            </w:r>
          </w:p>
        </w:tc>
      </w:tr>
      <w:tr>
        <w:trPr/>
        <w:tc>
          <w:tcPr>
            <w:tcW w:w="6704" w:type="dxa"/>
            <w:tcBorders/>
            <w:shd w:fill="auto" w:val="clear"/>
            <w:vAlign w:val="center"/>
          </w:tcPr>
          <w:p>
            <w:pPr>
              <w:pStyle w:val="TableContents"/>
              <w:spacing w:before="0" w:after="283"/>
              <w:rPr/>
            </w:pPr>
            <w:r>
              <w:rPr/>
              <w:t> </w:t>
            </w:r>
          </w:p>
        </w:tc>
        <w:tc>
          <w:tcPr>
            <w:tcW w:w="3501" w:type="dxa"/>
            <w:gridSpan w:val="2"/>
            <w:tcBorders/>
            <w:shd w:fill="auto" w:val="clear"/>
          </w:tcPr>
          <w:p>
            <w:pPr>
              <w:pStyle w:val="TableContents"/>
              <w:spacing w:before="0" w:after="283"/>
              <w:rPr>
                <w:sz w:val="4"/>
                <w:szCs w:val="4"/>
              </w:rPr>
            </w:pPr>
            <w:r>
              <w:rPr>
                <w:sz w:val="4"/>
                <w:szCs w:val="4"/>
              </w:rPr>
            </w:r>
          </w:p>
        </w:tc>
      </w:tr>
      <w:tr>
        <w:trPr/>
        <w:tc>
          <w:tcPr>
            <w:tcW w:w="6704" w:type="dxa"/>
            <w:tcBorders/>
            <w:shd w:fill="auto" w:val="clear"/>
          </w:tcPr>
          <w:p>
            <w:pPr>
              <w:pStyle w:val="TableContents"/>
              <w:spacing w:before="0" w:after="283"/>
              <w:jc w:val="left"/>
              <w:rPr/>
            </w:pPr>
            <w:r>
              <w:rPr/>
              <w:t>**</w:t>
            </w:r>
          </w:p>
        </w:tc>
        <w:tc>
          <w:tcPr>
            <w:tcW w:w="2235" w:type="dxa"/>
            <w:tcBorders/>
            <w:shd w:fill="auto" w:val="clear"/>
          </w:tcPr>
          <w:p>
            <w:pPr>
              <w:pStyle w:val="TableContents"/>
              <w:spacing w:before="0" w:after="283"/>
              <w:rPr/>
            </w:pPr>
            <w:r>
              <w:rPr/>
              <w:t> </w:t>
            </w:r>
          </w:p>
        </w:tc>
        <w:tc>
          <w:tcPr>
            <w:tcW w:w="1266" w:type="dxa"/>
            <w:tcBorders/>
            <w:shd w:fill="auto" w:val="clear"/>
          </w:tcPr>
          <w:p>
            <w:pPr>
              <w:pStyle w:val="TableContents"/>
              <w:spacing w:before="0" w:after="283"/>
              <w:rPr/>
            </w:pPr>
            <w:r>
              <w:rPr/>
              <w:t>See Note 9. The application of EITF 03-06 may result in interim period amounts not totaling to the annual amount.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Notes and Significant Assumptions: </w:t>
      </w:r>
    </w:p>
    <w:tbl>
      <w:tblPr>
        <w:tblW w:w="5000" w:type="pct"/>
        <w:jc w:val="left"/>
        <w:tblInd w:w="0" w:type="dxa"/>
        <w:tblCellMar>
          <w:top w:w="0" w:type="dxa"/>
          <w:left w:w="0" w:type="dxa"/>
          <w:bottom w:w="0" w:type="dxa"/>
          <w:right w:w="0" w:type="dxa"/>
        </w:tblCellMar>
      </w:tblPr>
      <w:tblGrid>
        <w:gridCol w:w="210"/>
        <w:gridCol w:w="129"/>
        <w:gridCol w:w="9866"/>
      </w:tblGrid>
      <w:tr>
        <w:trPr/>
        <w:tc>
          <w:tcPr>
            <w:tcW w:w="210" w:type="dxa"/>
            <w:tcBorders/>
            <w:shd w:fill="auto" w:val="clear"/>
          </w:tcPr>
          <w:p>
            <w:pPr>
              <w:pStyle w:val="TableContents"/>
              <w:spacing w:before="0" w:after="283"/>
              <w:jc w:val="left"/>
              <w:rPr/>
            </w:pPr>
            <w:r>
              <w:rPr/>
              <w:t>1.</w:t>
            </w:r>
          </w:p>
        </w:tc>
        <w:tc>
          <w:tcPr>
            <w:tcW w:w="129" w:type="dxa"/>
            <w:tcBorders/>
            <w:shd w:fill="auto" w:val="clear"/>
          </w:tcPr>
          <w:p>
            <w:pPr>
              <w:pStyle w:val="TableContents"/>
              <w:spacing w:before="0" w:after="283"/>
              <w:rPr/>
            </w:pPr>
            <w:r>
              <w:rPr/>
              <w:t> </w:t>
            </w:r>
          </w:p>
        </w:tc>
        <w:tc>
          <w:tcPr>
            <w:tcW w:w="9866" w:type="dxa"/>
            <w:tcBorders/>
            <w:shd w:fill="auto" w:val="clear"/>
          </w:tcPr>
          <w:p>
            <w:pPr>
              <w:pStyle w:val="TableContents"/>
              <w:spacing w:before="0" w:after="283"/>
              <w:rPr>
                <w:i/>
              </w:rPr>
            </w:pPr>
            <w:r>
              <w:rPr>
                <w:i/>
              </w:rPr>
              <w:t>Definitions.</w:t>
            </w:r>
          </w:p>
        </w:tc>
      </w:tr>
    </w:tbl>
    <w:tbl>
      <w:tblPr>
        <w:tblW w:w="4750" w:type="pct"/>
        <w:jc w:val="center"/>
        <w:tblInd w:w="0" w:type="dxa"/>
        <w:tblCellMar>
          <w:top w:w="0" w:type="dxa"/>
          <w:left w:w="0" w:type="dxa"/>
          <w:bottom w:w="0" w:type="dxa"/>
          <w:right w:w="0" w:type="dxa"/>
        </w:tblCellMar>
      </w:tblPr>
      <w:tblGrid>
        <w:gridCol w:w="1259"/>
        <w:gridCol w:w="194"/>
        <w:gridCol w:w="8241"/>
      </w:tblGrid>
      <w:tr>
        <w:trPr/>
        <w:tc>
          <w:tcPr>
            <w:tcW w:w="125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241"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ind w:left="0" w:right="0" w:hanging="0"/>
              <w:rPr/>
            </w:pPr>
            <w:r>
              <w:rPr/>
              <w:t xml:space="preserve">EBIT </w:t>
            </w:r>
          </w:p>
        </w:tc>
        <w:tc>
          <w:tcPr>
            <w:tcW w:w="194" w:type="dxa"/>
            <w:tcBorders/>
            <w:shd w:fill="auto" w:val="clear"/>
            <w:vAlign w:val="bottom"/>
          </w:tcPr>
          <w:p>
            <w:pPr>
              <w:pStyle w:val="TableContents"/>
              <w:spacing w:before="0" w:after="283"/>
              <w:rPr/>
            </w:pPr>
            <w:r>
              <w:rPr/>
              <w:t> </w:t>
            </w:r>
          </w:p>
        </w:tc>
        <w:tc>
          <w:tcPr>
            <w:tcW w:w="8241" w:type="dxa"/>
            <w:tcBorders/>
            <w:shd w:fill="auto" w:val="clear"/>
          </w:tcPr>
          <w:p>
            <w:pPr>
              <w:pStyle w:val="TableContents"/>
              <w:spacing w:before="0" w:after="283"/>
              <w:jc w:val="left"/>
              <w:rPr/>
            </w:pPr>
            <w:r>
              <w:rPr/>
              <w:t>Earnings before interest and taxes</w:t>
            </w:r>
          </w:p>
        </w:tc>
      </w:tr>
      <w:tr>
        <w:trPr/>
        <w:tc>
          <w:tcPr>
            <w:tcW w:w="1259" w:type="dxa"/>
            <w:tcBorders/>
            <w:shd w:fill="auto" w:val="clear"/>
          </w:tcPr>
          <w:p>
            <w:pPr>
              <w:pStyle w:val="TableContents"/>
              <w:spacing w:before="0" w:after="0"/>
              <w:ind w:left="0" w:right="0" w:hanging="0"/>
              <w:rPr/>
            </w:pPr>
            <w:r>
              <w:rPr/>
              <w:t xml:space="preserve">EBITDA </w:t>
            </w:r>
          </w:p>
        </w:tc>
        <w:tc>
          <w:tcPr>
            <w:tcW w:w="194" w:type="dxa"/>
            <w:tcBorders/>
            <w:shd w:fill="auto" w:val="clear"/>
            <w:vAlign w:val="bottom"/>
          </w:tcPr>
          <w:p>
            <w:pPr>
              <w:pStyle w:val="TableContents"/>
              <w:spacing w:before="0" w:after="283"/>
              <w:rPr/>
            </w:pPr>
            <w:r>
              <w:rPr/>
              <w:t> </w:t>
            </w:r>
          </w:p>
        </w:tc>
        <w:tc>
          <w:tcPr>
            <w:tcW w:w="8241" w:type="dxa"/>
            <w:tcBorders/>
            <w:shd w:fill="auto" w:val="clear"/>
          </w:tcPr>
          <w:p>
            <w:pPr>
              <w:pStyle w:val="TableContents"/>
              <w:spacing w:before="0" w:after="283"/>
              <w:jc w:val="left"/>
              <w:rPr/>
            </w:pPr>
            <w:r>
              <w:rPr/>
              <w:t>Earnings before interest, taxes and depreciation and amortization expense</w:t>
            </w:r>
          </w:p>
        </w:tc>
      </w:tr>
      <w:tr>
        <w:trPr/>
        <w:tc>
          <w:tcPr>
            <w:tcW w:w="1259" w:type="dxa"/>
            <w:tcBorders/>
            <w:shd w:fill="auto" w:val="clear"/>
          </w:tcPr>
          <w:p>
            <w:pPr>
              <w:pStyle w:val="TableContents"/>
              <w:spacing w:before="0" w:after="0"/>
              <w:ind w:left="0" w:right="0" w:hanging="0"/>
              <w:rPr/>
            </w:pPr>
            <w:r>
              <w:rPr/>
              <w:t xml:space="preserve">Bbls/d </w:t>
            </w:r>
          </w:p>
        </w:tc>
        <w:tc>
          <w:tcPr>
            <w:tcW w:w="194" w:type="dxa"/>
            <w:tcBorders/>
            <w:shd w:fill="auto" w:val="clear"/>
            <w:vAlign w:val="bottom"/>
          </w:tcPr>
          <w:p>
            <w:pPr>
              <w:pStyle w:val="TableContents"/>
              <w:spacing w:before="0" w:after="283"/>
              <w:rPr/>
            </w:pPr>
            <w:r>
              <w:rPr/>
              <w:t> </w:t>
            </w:r>
          </w:p>
        </w:tc>
        <w:tc>
          <w:tcPr>
            <w:tcW w:w="8241" w:type="dxa"/>
            <w:tcBorders/>
            <w:shd w:fill="auto" w:val="clear"/>
          </w:tcPr>
          <w:p>
            <w:pPr>
              <w:pStyle w:val="TableContents"/>
              <w:spacing w:before="0" w:after="283"/>
              <w:jc w:val="left"/>
              <w:rPr/>
            </w:pPr>
            <w:r>
              <w:rPr/>
              <w:t>Barrels per day</w:t>
            </w:r>
          </w:p>
        </w:tc>
      </w:tr>
      <w:tr>
        <w:trPr/>
        <w:tc>
          <w:tcPr>
            <w:tcW w:w="1259" w:type="dxa"/>
            <w:tcBorders/>
            <w:shd w:fill="auto" w:val="clear"/>
          </w:tcPr>
          <w:p>
            <w:pPr>
              <w:pStyle w:val="TableContents"/>
              <w:spacing w:before="0" w:after="0"/>
              <w:ind w:left="0" w:right="0" w:hanging="0"/>
              <w:rPr/>
            </w:pPr>
            <w:r>
              <w:rPr/>
              <w:t xml:space="preserve">Segment Profit </w:t>
            </w:r>
          </w:p>
        </w:tc>
        <w:tc>
          <w:tcPr>
            <w:tcW w:w="194" w:type="dxa"/>
            <w:tcBorders/>
            <w:shd w:fill="auto" w:val="clear"/>
            <w:vAlign w:val="bottom"/>
          </w:tcPr>
          <w:p>
            <w:pPr>
              <w:pStyle w:val="TableContents"/>
              <w:spacing w:before="0" w:after="283"/>
              <w:rPr/>
            </w:pPr>
            <w:r>
              <w:rPr/>
              <w:t> </w:t>
            </w:r>
          </w:p>
        </w:tc>
        <w:tc>
          <w:tcPr>
            <w:tcW w:w="8241" w:type="dxa"/>
            <w:tcBorders/>
            <w:shd w:fill="auto" w:val="clear"/>
          </w:tcPr>
          <w:p>
            <w:pPr>
              <w:pStyle w:val="TableContents"/>
              <w:spacing w:before="0" w:after="283"/>
              <w:jc w:val="left"/>
              <w:rPr/>
            </w:pPr>
            <w:r>
              <w:rPr/>
              <w:t>Net revenues less purchases, field operating costs, and segment general and administrative expenses</w:t>
            </w:r>
          </w:p>
        </w:tc>
      </w:tr>
      <w:tr>
        <w:trPr/>
        <w:tc>
          <w:tcPr>
            <w:tcW w:w="1259" w:type="dxa"/>
            <w:tcBorders/>
            <w:shd w:fill="auto" w:val="clear"/>
          </w:tcPr>
          <w:p>
            <w:pPr>
              <w:pStyle w:val="TableContents"/>
              <w:spacing w:before="0" w:after="0"/>
              <w:ind w:left="0" w:right="0" w:hanging="0"/>
              <w:rPr/>
            </w:pPr>
            <w:r>
              <w:rPr/>
              <w:t xml:space="preserve">LTIP </w:t>
            </w:r>
          </w:p>
        </w:tc>
        <w:tc>
          <w:tcPr>
            <w:tcW w:w="194" w:type="dxa"/>
            <w:tcBorders/>
            <w:shd w:fill="auto" w:val="clear"/>
            <w:vAlign w:val="bottom"/>
          </w:tcPr>
          <w:p>
            <w:pPr>
              <w:pStyle w:val="TableContents"/>
              <w:spacing w:before="0" w:after="283"/>
              <w:rPr/>
            </w:pPr>
            <w:r>
              <w:rPr/>
              <w:t> </w:t>
            </w:r>
          </w:p>
        </w:tc>
        <w:tc>
          <w:tcPr>
            <w:tcW w:w="8241" w:type="dxa"/>
            <w:tcBorders/>
            <w:shd w:fill="auto" w:val="clear"/>
          </w:tcPr>
          <w:p>
            <w:pPr>
              <w:pStyle w:val="TableContents"/>
              <w:spacing w:before="0" w:after="283"/>
              <w:jc w:val="left"/>
              <w:rPr/>
            </w:pPr>
            <w:r>
              <w:rPr/>
              <w:t>Long-Term Incentive Plan</w:t>
            </w:r>
          </w:p>
        </w:tc>
      </w:tr>
      <w:tr>
        <w:trPr/>
        <w:tc>
          <w:tcPr>
            <w:tcW w:w="1259" w:type="dxa"/>
            <w:tcBorders/>
            <w:shd w:fill="auto" w:val="clear"/>
          </w:tcPr>
          <w:p>
            <w:pPr>
              <w:pStyle w:val="TableContents"/>
              <w:spacing w:before="0" w:after="0"/>
              <w:ind w:left="0" w:right="0" w:hanging="0"/>
              <w:rPr/>
            </w:pPr>
            <w:r>
              <w:rPr/>
              <w:t xml:space="preserve">LPG </w:t>
            </w:r>
          </w:p>
        </w:tc>
        <w:tc>
          <w:tcPr>
            <w:tcW w:w="194" w:type="dxa"/>
            <w:tcBorders/>
            <w:shd w:fill="auto" w:val="clear"/>
            <w:vAlign w:val="bottom"/>
          </w:tcPr>
          <w:p>
            <w:pPr>
              <w:pStyle w:val="TableContents"/>
              <w:spacing w:before="0" w:after="283"/>
              <w:rPr/>
            </w:pPr>
            <w:r>
              <w:rPr/>
              <w:t> </w:t>
            </w:r>
          </w:p>
        </w:tc>
        <w:tc>
          <w:tcPr>
            <w:tcW w:w="8241" w:type="dxa"/>
            <w:tcBorders/>
            <w:shd w:fill="auto" w:val="clear"/>
          </w:tcPr>
          <w:p>
            <w:pPr>
              <w:pStyle w:val="TableContents"/>
              <w:spacing w:before="0" w:after="283"/>
              <w:jc w:val="left"/>
              <w:rPr/>
            </w:pPr>
            <w:r>
              <w:rPr/>
              <w:t>Liquefied petroleum gas and other petroleum products</w:t>
            </w:r>
          </w:p>
        </w:tc>
      </w:tr>
      <w:tr>
        <w:trPr/>
        <w:tc>
          <w:tcPr>
            <w:tcW w:w="1259" w:type="dxa"/>
            <w:tcBorders/>
            <w:shd w:fill="auto" w:val="clear"/>
          </w:tcPr>
          <w:p>
            <w:pPr>
              <w:pStyle w:val="TableContents"/>
              <w:spacing w:before="0" w:after="0"/>
              <w:ind w:left="0" w:right="0" w:hanging="0"/>
              <w:rPr/>
            </w:pPr>
            <w:r>
              <w:rPr/>
              <w:t xml:space="preserve">FX </w:t>
            </w:r>
          </w:p>
        </w:tc>
        <w:tc>
          <w:tcPr>
            <w:tcW w:w="194" w:type="dxa"/>
            <w:tcBorders/>
            <w:shd w:fill="auto" w:val="clear"/>
            <w:vAlign w:val="bottom"/>
          </w:tcPr>
          <w:p>
            <w:pPr>
              <w:pStyle w:val="TableContents"/>
              <w:spacing w:before="0" w:after="283"/>
              <w:rPr/>
            </w:pPr>
            <w:r>
              <w:rPr/>
              <w:t> </w:t>
            </w:r>
          </w:p>
        </w:tc>
        <w:tc>
          <w:tcPr>
            <w:tcW w:w="8241" w:type="dxa"/>
            <w:tcBorders/>
            <w:shd w:fill="auto" w:val="clear"/>
          </w:tcPr>
          <w:p>
            <w:pPr>
              <w:pStyle w:val="TableContents"/>
              <w:spacing w:before="0" w:after="283"/>
              <w:jc w:val="left"/>
              <w:rPr/>
            </w:pPr>
            <w:r>
              <w:rPr/>
              <w:t>Foreign currency exchange</w:t>
            </w:r>
          </w:p>
        </w:tc>
      </w:tr>
      <w:tr>
        <w:trPr/>
        <w:tc>
          <w:tcPr>
            <w:tcW w:w="1259" w:type="dxa"/>
            <w:tcBorders/>
            <w:shd w:fill="auto" w:val="clear"/>
          </w:tcPr>
          <w:p>
            <w:pPr>
              <w:pStyle w:val="TableContents"/>
              <w:spacing w:before="0" w:after="0"/>
              <w:ind w:left="0" w:right="0" w:hanging="0"/>
              <w:rPr/>
            </w:pPr>
            <w:r>
              <w:rPr/>
              <w:t xml:space="preserve">GMT&amp;S </w:t>
            </w:r>
          </w:p>
        </w:tc>
        <w:tc>
          <w:tcPr>
            <w:tcW w:w="194" w:type="dxa"/>
            <w:tcBorders/>
            <w:shd w:fill="auto" w:val="clear"/>
            <w:vAlign w:val="bottom"/>
          </w:tcPr>
          <w:p>
            <w:pPr>
              <w:pStyle w:val="TableContents"/>
              <w:spacing w:before="0" w:after="283"/>
              <w:rPr/>
            </w:pPr>
            <w:r>
              <w:rPr/>
              <w:t> </w:t>
            </w:r>
          </w:p>
        </w:tc>
        <w:tc>
          <w:tcPr>
            <w:tcW w:w="8241" w:type="dxa"/>
            <w:tcBorders/>
            <w:shd w:fill="auto" w:val="clear"/>
          </w:tcPr>
          <w:p>
            <w:pPr>
              <w:pStyle w:val="TableContents"/>
              <w:spacing w:before="0" w:after="283"/>
              <w:jc w:val="left"/>
              <w:rPr/>
            </w:pPr>
            <w:r>
              <w:rPr/>
              <w:t>Gathering, Marketing, Terminalling &amp; Storage</w:t>
            </w:r>
          </w:p>
        </w:tc>
      </w:tr>
    </w:tbl>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2.</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i/>
              </w:rPr>
              <w:t xml:space="preserve">Pipeline Operations. </w:t>
            </w:r>
            <w:r>
              <w:rPr/>
              <w:t>Pipeline volume estimates are based on historical trends, anticipated future operating performance and completion of internal growth projects. Volumes are influenced by temporary market-driven storage and withdrawal of oil, maintenance schedules at refineries, production declines and other external factors beyond our control. Actual segment profit could vary materially depending on the level of volumes transported.</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 </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The following table summarizes our total pipeline volumes and highlights as major systems that are significant either in total volumes transported or in contribution to total pipeline segment profit.</w:t>
            </w:r>
          </w:p>
        </w:tc>
      </w:tr>
    </w:tbl>
    <w:tbl>
      <w:tblPr>
        <w:tblW w:w="4750" w:type="pct"/>
        <w:jc w:val="center"/>
        <w:tblInd w:w="0" w:type="dxa"/>
        <w:tblCellMar>
          <w:top w:w="0" w:type="dxa"/>
          <w:left w:w="0" w:type="dxa"/>
          <w:bottom w:w="0" w:type="dxa"/>
          <w:right w:w="0" w:type="dxa"/>
        </w:tblCellMar>
      </w:tblPr>
      <w:tblGrid>
        <w:gridCol w:w="3335"/>
        <w:gridCol w:w="232"/>
        <w:gridCol w:w="361"/>
        <w:gridCol w:w="1065"/>
        <w:gridCol w:w="386"/>
        <w:gridCol w:w="232"/>
        <w:gridCol w:w="367"/>
        <w:gridCol w:w="1089"/>
        <w:gridCol w:w="386"/>
        <w:gridCol w:w="232"/>
        <w:gridCol w:w="399"/>
        <w:gridCol w:w="1216"/>
        <w:gridCol w:w="394"/>
      </w:tblGrid>
      <w:tr>
        <w:trPr/>
        <w:tc>
          <w:tcPr>
            <w:tcW w:w="333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r>
      <w:tr>
        <w:trPr/>
        <w:tc>
          <w:tcPr>
            <w:tcW w:w="333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5733" w:type="dxa"/>
            <w:gridSpan w:val="10"/>
            <w:tcBorders>
              <w:bottom w:val="single" w:sz="2" w:space="0" w:color="000000"/>
            </w:tcBorders>
            <w:shd w:fill="auto" w:val="clear"/>
            <w:tcMar>
              <w:bottom w:w="28" w:type="dxa"/>
            </w:tcMar>
            <w:vAlign w:val="bottom"/>
          </w:tcPr>
          <w:p>
            <w:pPr>
              <w:pStyle w:val="TableContents"/>
              <w:spacing w:before="0" w:after="283"/>
              <w:jc w:val="center"/>
              <w:rPr/>
            </w:pPr>
            <w:r>
              <w:rPr/>
              <w:t>Calendar 2006</w:t>
            </w:r>
          </w:p>
        </w:tc>
        <w:tc>
          <w:tcPr>
            <w:tcW w:w="394" w:type="dxa"/>
            <w:tcBorders/>
            <w:shd w:fill="auto" w:val="clear"/>
            <w:vAlign w:val="bottom"/>
          </w:tcPr>
          <w:p>
            <w:pPr>
              <w:pStyle w:val="TableContents"/>
              <w:spacing w:before="0" w:after="283"/>
              <w:rPr/>
            </w:pPr>
            <w:r>
              <w:rPr/>
              <w:t> </w:t>
            </w:r>
          </w:p>
        </w:tc>
      </w:tr>
      <w:tr>
        <w:trPr/>
        <w:tc>
          <w:tcPr>
            <w:tcW w:w="333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283"/>
              <w:jc w:val="center"/>
              <w:rPr/>
            </w:pPr>
            <w:r>
              <w:rPr/>
              <w:t>Actual</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689" w:type="dxa"/>
            <w:gridSpan w:val="6"/>
            <w:tcBorders>
              <w:bottom w:val="single" w:sz="2" w:space="0" w:color="000000"/>
            </w:tcBorders>
            <w:shd w:fill="auto" w:val="clear"/>
            <w:tcMar>
              <w:bottom w:w="28" w:type="dxa"/>
            </w:tcMar>
            <w:vAlign w:val="bottom"/>
          </w:tcPr>
          <w:p>
            <w:pPr>
              <w:pStyle w:val="TableContents"/>
              <w:spacing w:before="0" w:after="283"/>
              <w:jc w:val="center"/>
              <w:rPr/>
            </w:pPr>
            <w:r>
              <w:rPr/>
              <w:t>Guidance</w:t>
            </w:r>
          </w:p>
        </w:tc>
        <w:tc>
          <w:tcPr>
            <w:tcW w:w="394" w:type="dxa"/>
            <w:tcBorders/>
            <w:shd w:fill="auto" w:val="clear"/>
            <w:vAlign w:val="bottom"/>
          </w:tcPr>
          <w:p>
            <w:pPr>
              <w:pStyle w:val="TableContents"/>
              <w:spacing w:before="0" w:after="283"/>
              <w:rPr/>
            </w:pPr>
            <w:r>
              <w:rPr/>
              <w:t> </w:t>
            </w:r>
          </w:p>
        </w:tc>
      </w:tr>
      <w:tr>
        <w:trPr/>
        <w:tc>
          <w:tcPr>
            <w:tcW w:w="333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283"/>
              <w:jc w:val="center"/>
              <w:rPr/>
            </w:pPr>
            <w:r>
              <w:rPr/>
              <w:t>Nine Months</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pPr>
            <w:r>
              <w:rPr/>
              <w:t>Three Months</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615" w:type="dxa"/>
            <w:gridSpan w:val="2"/>
            <w:tcBorders/>
            <w:shd w:fill="auto" w:val="clear"/>
            <w:vAlign w:val="bottom"/>
          </w:tcPr>
          <w:p>
            <w:pPr>
              <w:pStyle w:val="TableContents"/>
              <w:spacing w:before="0" w:after="283"/>
              <w:jc w:val="center"/>
              <w:rPr/>
            </w:pPr>
            <w:r>
              <w:rPr/>
              <w:t>Twelve Months</w:t>
            </w:r>
          </w:p>
        </w:tc>
        <w:tc>
          <w:tcPr>
            <w:tcW w:w="394" w:type="dxa"/>
            <w:tcBorders/>
            <w:shd w:fill="auto" w:val="clear"/>
            <w:vAlign w:val="bottom"/>
          </w:tcPr>
          <w:p>
            <w:pPr>
              <w:pStyle w:val="TableContents"/>
              <w:spacing w:before="0" w:after="283"/>
              <w:rPr/>
            </w:pPr>
            <w:r>
              <w:rPr/>
              <w:t> </w:t>
            </w:r>
          </w:p>
        </w:tc>
      </w:tr>
      <w:tr>
        <w:trPr/>
        <w:tc>
          <w:tcPr>
            <w:tcW w:w="333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283"/>
              <w:jc w:val="center"/>
              <w:rPr/>
            </w:pPr>
            <w:r>
              <w:rPr/>
              <w:t>Ended</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pPr>
            <w:r>
              <w:rPr/>
              <w:t>Ending</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615" w:type="dxa"/>
            <w:gridSpan w:val="2"/>
            <w:tcBorders/>
            <w:shd w:fill="auto" w:val="clear"/>
            <w:vAlign w:val="bottom"/>
          </w:tcPr>
          <w:p>
            <w:pPr>
              <w:pStyle w:val="TableContents"/>
              <w:spacing w:before="0" w:after="283"/>
              <w:jc w:val="center"/>
              <w:rPr/>
            </w:pPr>
            <w:r>
              <w:rPr/>
              <w:t>Ending</w:t>
            </w:r>
          </w:p>
        </w:tc>
        <w:tc>
          <w:tcPr>
            <w:tcW w:w="394" w:type="dxa"/>
            <w:tcBorders/>
            <w:shd w:fill="auto" w:val="clear"/>
            <w:vAlign w:val="bottom"/>
          </w:tcPr>
          <w:p>
            <w:pPr>
              <w:pStyle w:val="TableContents"/>
              <w:spacing w:before="0" w:after="283"/>
              <w:rPr/>
            </w:pPr>
            <w:r>
              <w:rPr/>
              <w:t> </w:t>
            </w:r>
          </w:p>
        </w:tc>
      </w:tr>
      <w:tr>
        <w:trPr/>
        <w:tc>
          <w:tcPr>
            <w:tcW w:w="333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26" w:type="dxa"/>
            <w:gridSpan w:val="2"/>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56"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615"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394" w:type="dxa"/>
            <w:tcBorders/>
            <w:shd w:fill="auto" w:val="clear"/>
            <w:vAlign w:val="bottom"/>
          </w:tcPr>
          <w:p>
            <w:pPr>
              <w:pStyle w:val="TableContents"/>
              <w:spacing w:before="0" w:after="283"/>
              <w:rPr/>
            </w:pPr>
            <w:r>
              <w:rPr/>
              <w:t> </w:t>
            </w:r>
          </w:p>
        </w:tc>
      </w:tr>
      <w:tr>
        <w:trPr/>
        <w:tc>
          <w:tcPr>
            <w:tcW w:w="3335" w:type="dxa"/>
            <w:tcBorders/>
            <w:shd w:fill="CCEEFF" w:val="clear"/>
            <w:vAlign w:val="bottom"/>
          </w:tcPr>
          <w:p>
            <w:pPr>
              <w:pStyle w:val="TableContents"/>
              <w:spacing w:before="0" w:after="0"/>
              <w:ind w:left="225" w:right="0" w:hanging="225"/>
              <w:rPr/>
            </w:pPr>
            <w:r>
              <w:rPr/>
              <w:t>Average Daily Volumes (000 Bbls/d)</w:t>
            </w:r>
          </w:p>
        </w:tc>
        <w:tc>
          <w:tcPr>
            <w:tcW w:w="232"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r>
      <w:tr>
        <w:trPr/>
        <w:tc>
          <w:tcPr>
            <w:tcW w:w="3335" w:type="dxa"/>
            <w:tcBorders/>
            <w:shd w:fill="auto" w:val="clear"/>
            <w:vAlign w:val="bottom"/>
          </w:tcPr>
          <w:p>
            <w:pPr>
              <w:pStyle w:val="TableContents"/>
              <w:spacing w:before="0" w:after="0"/>
              <w:ind w:left="450" w:right="0" w:hanging="225"/>
              <w:rPr/>
            </w:pPr>
            <w:r>
              <w:rPr/>
              <w:t>All American</w:t>
            </w:r>
          </w:p>
        </w:tc>
        <w:tc>
          <w:tcPr>
            <w:tcW w:w="232"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49</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45</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48</w:t>
            </w:r>
          </w:p>
        </w:tc>
        <w:tc>
          <w:tcPr>
            <w:tcW w:w="394" w:type="dxa"/>
            <w:tcBorders/>
            <w:shd w:fill="auto" w:val="clear"/>
            <w:vAlign w:val="bottom"/>
          </w:tcPr>
          <w:p>
            <w:pPr>
              <w:pStyle w:val="TableContents"/>
              <w:spacing w:before="0" w:after="283"/>
              <w:rPr/>
            </w:pPr>
            <w:r>
              <w:rPr/>
              <w:t> </w:t>
            </w:r>
          </w:p>
        </w:tc>
      </w:tr>
      <w:tr>
        <w:trPr/>
        <w:tc>
          <w:tcPr>
            <w:tcW w:w="3335" w:type="dxa"/>
            <w:tcBorders/>
            <w:shd w:fill="CCEEFF" w:val="clear"/>
            <w:vAlign w:val="bottom"/>
          </w:tcPr>
          <w:p>
            <w:pPr>
              <w:pStyle w:val="TableContents"/>
              <w:spacing w:before="0" w:after="0"/>
              <w:ind w:left="450" w:right="0" w:hanging="225"/>
              <w:rPr/>
            </w:pPr>
            <w:r>
              <w:rPr/>
              <w:t>Basin</w:t>
            </w:r>
          </w:p>
        </w:tc>
        <w:tc>
          <w:tcPr>
            <w:tcW w:w="232"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323</w:t>
            </w:r>
          </w:p>
        </w:tc>
        <w:tc>
          <w:tcPr>
            <w:tcW w:w="38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350</w:t>
            </w:r>
          </w:p>
        </w:tc>
        <w:tc>
          <w:tcPr>
            <w:tcW w:w="38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330</w:t>
            </w:r>
          </w:p>
        </w:tc>
        <w:tc>
          <w:tcPr>
            <w:tcW w:w="394" w:type="dxa"/>
            <w:tcBorders/>
            <w:shd w:fill="CCEEFF" w:val="clear"/>
            <w:vAlign w:val="bottom"/>
          </w:tcPr>
          <w:p>
            <w:pPr>
              <w:pStyle w:val="TableContents"/>
              <w:spacing w:before="0" w:after="283"/>
              <w:rPr/>
            </w:pPr>
            <w:r>
              <w:rPr/>
              <w:t> </w:t>
            </w:r>
          </w:p>
        </w:tc>
      </w:tr>
      <w:tr>
        <w:trPr/>
        <w:tc>
          <w:tcPr>
            <w:tcW w:w="3335" w:type="dxa"/>
            <w:tcBorders/>
            <w:shd w:fill="auto" w:val="clear"/>
            <w:vAlign w:val="bottom"/>
          </w:tcPr>
          <w:p>
            <w:pPr>
              <w:pStyle w:val="TableContents"/>
              <w:spacing w:before="0" w:after="0"/>
              <w:ind w:left="450" w:right="0" w:hanging="225"/>
              <w:rPr/>
            </w:pPr>
            <w:r>
              <w:rPr/>
              <w:t>BOA / CAM</w:t>
            </w:r>
          </w:p>
        </w:tc>
        <w:tc>
          <w:tcPr>
            <w:tcW w:w="232"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left"/>
              <w:rPr/>
            </w:pPr>
            <w:r>
              <w:rPr/>
              <w:t> </w:t>
            </w:r>
          </w:p>
        </w:tc>
        <w:tc>
          <w:tcPr>
            <w:tcW w:w="1065" w:type="dxa"/>
            <w:tcBorders/>
            <w:shd w:fill="auto" w:val="clear"/>
            <w:vAlign w:val="bottom"/>
          </w:tcPr>
          <w:p>
            <w:pPr>
              <w:pStyle w:val="TableContents"/>
              <w:spacing w:before="0" w:after="283"/>
              <w:jc w:val="right"/>
              <w:rPr/>
            </w:pPr>
            <w:r>
              <w:rPr/>
              <w:t>57</w:t>
            </w:r>
          </w:p>
        </w:tc>
        <w:tc>
          <w:tcPr>
            <w:tcW w:w="386" w:type="dxa"/>
            <w:tcBorders/>
            <w:shd w:fill="auto" w:val="clear"/>
            <w:vAlign w:val="bottom"/>
          </w:tcPr>
          <w:p>
            <w:pPr>
              <w:pStyle w:val="TableContents"/>
              <w:spacing w:before="0" w:after="283"/>
              <w:rPr/>
            </w:pPr>
            <w:r>
              <w:rPr/>
              <w:t>(1)</w:t>
            </w:r>
          </w:p>
        </w:tc>
        <w:tc>
          <w:tcPr>
            <w:tcW w:w="232"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172</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86</w:t>
            </w:r>
          </w:p>
        </w:tc>
        <w:tc>
          <w:tcPr>
            <w:tcW w:w="394" w:type="dxa"/>
            <w:tcBorders/>
            <w:shd w:fill="auto" w:val="clear"/>
            <w:vAlign w:val="bottom"/>
          </w:tcPr>
          <w:p>
            <w:pPr>
              <w:pStyle w:val="TableContents"/>
              <w:spacing w:before="0" w:after="283"/>
              <w:rPr/>
            </w:pPr>
            <w:r>
              <w:rPr/>
              <w:t> </w:t>
            </w:r>
          </w:p>
        </w:tc>
      </w:tr>
      <w:tr>
        <w:trPr/>
        <w:tc>
          <w:tcPr>
            <w:tcW w:w="3335" w:type="dxa"/>
            <w:tcBorders/>
            <w:shd w:fill="CCEEFF" w:val="clear"/>
            <w:vAlign w:val="bottom"/>
          </w:tcPr>
          <w:p>
            <w:pPr>
              <w:pStyle w:val="TableContents"/>
              <w:spacing w:before="0" w:after="0"/>
              <w:ind w:left="450" w:right="0" w:hanging="225"/>
              <w:rPr/>
            </w:pPr>
            <w:r>
              <w:rPr/>
              <w:t>Capline</w:t>
            </w:r>
          </w:p>
        </w:tc>
        <w:tc>
          <w:tcPr>
            <w:tcW w:w="232"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149</w:t>
            </w:r>
          </w:p>
        </w:tc>
        <w:tc>
          <w:tcPr>
            <w:tcW w:w="38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185</w:t>
            </w:r>
          </w:p>
        </w:tc>
        <w:tc>
          <w:tcPr>
            <w:tcW w:w="38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158</w:t>
            </w:r>
          </w:p>
        </w:tc>
        <w:tc>
          <w:tcPr>
            <w:tcW w:w="394" w:type="dxa"/>
            <w:tcBorders/>
            <w:shd w:fill="CCEEFF" w:val="clear"/>
            <w:vAlign w:val="bottom"/>
          </w:tcPr>
          <w:p>
            <w:pPr>
              <w:pStyle w:val="TableContents"/>
              <w:spacing w:before="0" w:after="283"/>
              <w:rPr/>
            </w:pPr>
            <w:r>
              <w:rPr/>
              <w:t> </w:t>
            </w:r>
          </w:p>
        </w:tc>
      </w:tr>
      <w:tr>
        <w:trPr/>
        <w:tc>
          <w:tcPr>
            <w:tcW w:w="3335" w:type="dxa"/>
            <w:tcBorders/>
            <w:shd w:fill="auto" w:val="clear"/>
            <w:vAlign w:val="bottom"/>
          </w:tcPr>
          <w:p>
            <w:pPr>
              <w:pStyle w:val="TableContents"/>
              <w:spacing w:before="0" w:after="0"/>
              <w:ind w:left="450" w:right="0" w:hanging="225"/>
              <w:rPr/>
            </w:pPr>
            <w:r>
              <w:rPr/>
              <w:t>Cushing to Broome</w:t>
            </w:r>
          </w:p>
        </w:tc>
        <w:tc>
          <w:tcPr>
            <w:tcW w:w="232"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73</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80</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75</w:t>
            </w:r>
          </w:p>
        </w:tc>
        <w:tc>
          <w:tcPr>
            <w:tcW w:w="394" w:type="dxa"/>
            <w:tcBorders/>
            <w:shd w:fill="auto" w:val="clear"/>
            <w:vAlign w:val="bottom"/>
          </w:tcPr>
          <w:p>
            <w:pPr>
              <w:pStyle w:val="TableContents"/>
              <w:spacing w:before="0" w:after="283"/>
              <w:rPr/>
            </w:pPr>
            <w:r>
              <w:rPr/>
              <w:t> </w:t>
            </w:r>
          </w:p>
        </w:tc>
      </w:tr>
      <w:tr>
        <w:trPr/>
        <w:tc>
          <w:tcPr>
            <w:tcW w:w="3335" w:type="dxa"/>
            <w:tcBorders/>
            <w:shd w:fill="CCEEFF" w:val="clear"/>
            <w:vAlign w:val="bottom"/>
          </w:tcPr>
          <w:p>
            <w:pPr>
              <w:pStyle w:val="TableContents"/>
              <w:spacing w:before="0" w:after="0"/>
              <w:ind w:left="450" w:right="0" w:hanging="225"/>
              <w:rPr/>
            </w:pPr>
            <w:r>
              <w:rPr/>
              <w:t>North Dakota / Trenton</w:t>
            </w:r>
          </w:p>
        </w:tc>
        <w:tc>
          <w:tcPr>
            <w:tcW w:w="232"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88</w:t>
            </w:r>
          </w:p>
        </w:tc>
        <w:tc>
          <w:tcPr>
            <w:tcW w:w="38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92</w:t>
            </w:r>
          </w:p>
        </w:tc>
        <w:tc>
          <w:tcPr>
            <w:tcW w:w="38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89</w:t>
            </w:r>
          </w:p>
        </w:tc>
        <w:tc>
          <w:tcPr>
            <w:tcW w:w="394" w:type="dxa"/>
            <w:tcBorders/>
            <w:shd w:fill="CCEEFF" w:val="clear"/>
            <w:vAlign w:val="bottom"/>
          </w:tcPr>
          <w:p>
            <w:pPr>
              <w:pStyle w:val="TableContents"/>
              <w:spacing w:before="0" w:after="283"/>
              <w:rPr/>
            </w:pPr>
            <w:r>
              <w:rPr/>
              <w:t> </w:t>
            </w:r>
          </w:p>
        </w:tc>
      </w:tr>
      <w:tr>
        <w:trPr/>
        <w:tc>
          <w:tcPr>
            <w:tcW w:w="3335" w:type="dxa"/>
            <w:tcBorders/>
            <w:shd w:fill="auto" w:val="clear"/>
            <w:vAlign w:val="bottom"/>
          </w:tcPr>
          <w:p>
            <w:pPr>
              <w:pStyle w:val="TableContents"/>
              <w:spacing w:before="0" w:after="0"/>
              <w:ind w:left="450" w:right="0" w:hanging="225"/>
              <w:rPr/>
            </w:pPr>
            <w:r>
              <w:rPr/>
              <w:t>West Texas / New Mexico area systems (2)</w:t>
            </w:r>
          </w:p>
        </w:tc>
        <w:tc>
          <w:tcPr>
            <w:tcW w:w="232"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445</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428</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441</w:t>
            </w:r>
          </w:p>
        </w:tc>
        <w:tc>
          <w:tcPr>
            <w:tcW w:w="394" w:type="dxa"/>
            <w:tcBorders/>
            <w:shd w:fill="auto" w:val="clear"/>
            <w:vAlign w:val="bottom"/>
          </w:tcPr>
          <w:p>
            <w:pPr>
              <w:pStyle w:val="TableContents"/>
              <w:spacing w:before="0" w:after="283"/>
              <w:rPr/>
            </w:pPr>
            <w:r>
              <w:rPr/>
              <w:t> </w:t>
            </w:r>
          </w:p>
        </w:tc>
      </w:tr>
      <w:tr>
        <w:trPr/>
        <w:tc>
          <w:tcPr>
            <w:tcW w:w="3335" w:type="dxa"/>
            <w:tcBorders/>
            <w:shd w:fill="CCEEFF" w:val="clear"/>
            <w:vAlign w:val="bottom"/>
          </w:tcPr>
          <w:p>
            <w:pPr>
              <w:pStyle w:val="TableContents"/>
              <w:spacing w:before="0" w:after="0"/>
              <w:ind w:left="450" w:right="0" w:hanging="225"/>
              <w:rPr/>
            </w:pPr>
            <w:r>
              <w:rPr/>
              <w:t>Canada</w:t>
            </w:r>
          </w:p>
        </w:tc>
        <w:tc>
          <w:tcPr>
            <w:tcW w:w="232"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247</w:t>
            </w:r>
          </w:p>
        </w:tc>
        <w:tc>
          <w:tcPr>
            <w:tcW w:w="38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254</w:t>
            </w:r>
          </w:p>
        </w:tc>
        <w:tc>
          <w:tcPr>
            <w:tcW w:w="38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250</w:t>
            </w:r>
          </w:p>
        </w:tc>
        <w:tc>
          <w:tcPr>
            <w:tcW w:w="394" w:type="dxa"/>
            <w:tcBorders/>
            <w:shd w:fill="CCEEFF" w:val="clear"/>
            <w:vAlign w:val="bottom"/>
          </w:tcPr>
          <w:p>
            <w:pPr>
              <w:pStyle w:val="TableContents"/>
              <w:spacing w:before="0" w:after="283"/>
              <w:rPr/>
            </w:pPr>
            <w:r>
              <w:rPr/>
              <w:t> </w:t>
            </w:r>
          </w:p>
        </w:tc>
      </w:tr>
      <w:tr>
        <w:trPr/>
        <w:tc>
          <w:tcPr>
            <w:tcW w:w="3335" w:type="dxa"/>
            <w:tcBorders/>
            <w:shd w:fill="auto" w:val="clear"/>
            <w:vAlign w:val="bottom"/>
          </w:tcPr>
          <w:p>
            <w:pPr>
              <w:pStyle w:val="TableContents"/>
              <w:spacing w:before="0" w:after="0"/>
              <w:ind w:left="450" w:right="0" w:hanging="225"/>
              <w:rPr/>
            </w:pPr>
            <w:r>
              <w:rPr/>
              <w:t>Other</w:t>
            </w:r>
          </w:p>
        </w:tc>
        <w:tc>
          <w:tcPr>
            <w:tcW w:w="232"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553</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jc w:val="left"/>
              <w:rPr/>
            </w:pPr>
            <w:r>
              <w:rPr/>
              <w:t> </w:t>
            </w:r>
          </w:p>
        </w:tc>
        <w:tc>
          <w:tcPr>
            <w:tcW w:w="1089" w:type="dxa"/>
            <w:tcBorders/>
            <w:shd w:fill="auto" w:val="clear"/>
            <w:vAlign w:val="bottom"/>
          </w:tcPr>
          <w:p>
            <w:pPr>
              <w:pStyle w:val="TableContents"/>
              <w:spacing w:before="0" w:after="283"/>
              <w:jc w:val="right"/>
              <w:rPr/>
            </w:pPr>
            <w:r>
              <w:rPr/>
              <w:t>580</w:t>
            </w:r>
          </w:p>
        </w:tc>
        <w:tc>
          <w:tcPr>
            <w:tcW w:w="386" w:type="dxa"/>
            <w:tcBorders/>
            <w:shd w:fill="auto" w:val="clear"/>
            <w:vAlign w:val="bottom"/>
          </w:tcPr>
          <w:p>
            <w:pPr>
              <w:pStyle w:val="TableContents"/>
              <w:spacing w:before="0" w:after="283"/>
              <w:rPr/>
            </w:pPr>
            <w:r>
              <w:rPr/>
              <w:t>(3)</w:t>
            </w:r>
          </w:p>
        </w:tc>
        <w:tc>
          <w:tcPr>
            <w:tcW w:w="232"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right"/>
              <w:rPr/>
            </w:pPr>
            <w:r>
              <w:rPr/>
              <w:t>558</w:t>
            </w:r>
          </w:p>
        </w:tc>
        <w:tc>
          <w:tcPr>
            <w:tcW w:w="394" w:type="dxa"/>
            <w:tcBorders/>
            <w:shd w:fill="auto" w:val="clear"/>
            <w:vAlign w:val="bottom"/>
          </w:tcPr>
          <w:p>
            <w:pPr>
              <w:pStyle w:val="TableContents"/>
              <w:spacing w:before="0" w:after="283"/>
              <w:rPr/>
            </w:pPr>
            <w:r>
              <w:rPr/>
              <w:t> </w:t>
            </w:r>
          </w:p>
        </w:tc>
      </w:tr>
      <w:tr>
        <w:trPr/>
        <w:tc>
          <w:tcPr>
            <w:tcW w:w="3335" w:type="dxa"/>
            <w:tcBorders/>
            <w:shd w:fill="auto" w:val="clear"/>
            <w:vAlign w:val="center"/>
          </w:tcPr>
          <w:p>
            <w:pPr>
              <w:pStyle w:val="TableContents"/>
              <w:spacing w:before="0" w:after="0"/>
              <w:ind w:left="225" w:right="0" w:hanging="225"/>
              <w:rPr/>
            </w:pPr>
            <w:r>
              <w:rPr/>
              <w:t> </w:t>
            </w:r>
          </w:p>
        </w:tc>
        <w:tc>
          <w:tcPr>
            <w:tcW w:w="232" w:type="dxa"/>
            <w:tcBorders/>
            <w:shd w:fill="auto" w:val="clear"/>
            <w:vAlign w:val="center"/>
          </w:tcPr>
          <w:p>
            <w:pPr>
              <w:pStyle w:val="TableContents"/>
              <w:spacing w:before="0" w:after="283"/>
              <w:rPr/>
            </w:pPr>
            <w:r>
              <w:rPr/>
              <w:t> </w:t>
            </w:r>
          </w:p>
        </w:tc>
        <w:tc>
          <w:tcPr>
            <w:tcW w:w="14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8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8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6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94" w:type="dxa"/>
            <w:tcBorders/>
            <w:shd w:fill="auto" w:val="clear"/>
            <w:vAlign w:val="center"/>
          </w:tcPr>
          <w:p>
            <w:pPr>
              <w:pStyle w:val="TableContents"/>
              <w:spacing w:before="0" w:after="283"/>
              <w:rPr/>
            </w:pPr>
            <w:r>
              <w:rPr/>
              <w:t> </w:t>
            </w:r>
          </w:p>
        </w:tc>
      </w:tr>
      <w:tr>
        <w:trPr/>
        <w:tc>
          <w:tcPr>
            <w:tcW w:w="3335" w:type="dxa"/>
            <w:tcBorders/>
            <w:shd w:fill="CCEEFF" w:val="clear"/>
            <w:vAlign w:val="bottom"/>
          </w:tcPr>
          <w:p>
            <w:pPr>
              <w:pStyle w:val="TableContents"/>
              <w:spacing w:before="0" w:after="0"/>
              <w:ind w:left="225" w:right="0" w:hanging="225"/>
              <w:rPr/>
            </w:pPr>
            <w:r>
              <w:rPr/>
              <w:t> </w:t>
            </w:r>
          </w:p>
        </w:tc>
        <w:tc>
          <w:tcPr>
            <w:tcW w:w="232"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1,984</w:t>
            </w:r>
          </w:p>
        </w:tc>
        <w:tc>
          <w:tcPr>
            <w:tcW w:w="38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2,186</w:t>
            </w:r>
          </w:p>
        </w:tc>
        <w:tc>
          <w:tcPr>
            <w:tcW w:w="38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right"/>
              <w:rPr/>
            </w:pPr>
            <w:r>
              <w:rPr/>
              <w:t>2,035</w:t>
            </w:r>
          </w:p>
        </w:tc>
        <w:tc>
          <w:tcPr>
            <w:tcW w:w="394" w:type="dxa"/>
            <w:tcBorders/>
            <w:shd w:fill="CCEEFF" w:val="clear"/>
            <w:vAlign w:val="bottom"/>
          </w:tcPr>
          <w:p>
            <w:pPr>
              <w:pStyle w:val="TableContents"/>
              <w:spacing w:before="0" w:after="283"/>
              <w:rPr/>
            </w:pPr>
            <w:r>
              <w:rPr/>
              <w:t> </w:t>
            </w:r>
          </w:p>
        </w:tc>
      </w:tr>
      <w:tr>
        <w:trPr/>
        <w:tc>
          <w:tcPr>
            <w:tcW w:w="3335" w:type="dxa"/>
            <w:tcBorders/>
            <w:shd w:fill="auto" w:val="clear"/>
            <w:vAlign w:val="center"/>
          </w:tcPr>
          <w:p>
            <w:pPr>
              <w:pStyle w:val="TableContents"/>
              <w:spacing w:before="0" w:after="0"/>
              <w:ind w:left="225" w:right="0" w:hanging="225"/>
              <w:rPr/>
            </w:pPr>
            <w:r>
              <w:rPr/>
              <w:t> </w:t>
            </w:r>
          </w:p>
        </w:tc>
        <w:tc>
          <w:tcPr>
            <w:tcW w:w="232" w:type="dxa"/>
            <w:tcBorders/>
            <w:shd w:fill="auto" w:val="clear"/>
            <w:vAlign w:val="center"/>
          </w:tcPr>
          <w:p>
            <w:pPr>
              <w:pStyle w:val="TableContents"/>
              <w:spacing w:before="0" w:after="283"/>
              <w:rPr/>
            </w:pPr>
            <w:r>
              <w:rPr/>
              <w:t> </w:t>
            </w:r>
          </w:p>
        </w:tc>
        <w:tc>
          <w:tcPr>
            <w:tcW w:w="14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8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4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8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6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94" w:type="dxa"/>
            <w:tcBorders/>
            <w:shd w:fill="auto" w:val="clear"/>
            <w:vAlign w:val="center"/>
          </w:tcPr>
          <w:p>
            <w:pPr>
              <w:pStyle w:val="TableContents"/>
              <w:spacing w:before="0" w:after="283"/>
              <w:rPr/>
            </w:pPr>
            <w:r>
              <w:rPr/>
              <w:t> </w:t>
            </w:r>
          </w:p>
        </w:tc>
      </w:tr>
      <w:tr>
        <w:trPr/>
        <w:tc>
          <w:tcPr>
            <w:tcW w:w="3335" w:type="dxa"/>
            <w:tcBorders/>
            <w:shd w:fill="auto" w:val="clear"/>
            <w:vAlign w:val="bottom"/>
          </w:tcPr>
          <w:p>
            <w:pPr>
              <w:pStyle w:val="TableContents"/>
              <w:spacing w:before="0" w:after="0"/>
              <w:ind w:left="225" w:right="0" w:hanging="225"/>
              <w:rPr/>
            </w:pPr>
            <w:r>
              <w:rPr/>
              <w:t>Average Segment Profit ($/Bbl)</w:t>
            </w:r>
          </w:p>
        </w:tc>
        <w:tc>
          <w:tcPr>
            <w:tcW w:w="232"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r>
      <w:tr>
        <w:trPr/>
        <w:tc>
          <w:tcPr>
            <w:tcW w:w="3335" w:type="dxa"/>
            <w:tcBorders/>
            <w:shd w:fill="CCEEFF" w:val="clear"/>
            <w:vAlign w:val="bottom"/>
          </w:tcPr>
          <w:p>
            <w:pPr>
              <w:pStyle w:val="TableContents"/>
              <w:spacing w:before="0" w:after="0"/>
              <w:ind w:left="450" w:right="0" w:hanging="225"/>
              <w:rPr/>
            </w:pPr>
            <w:r>
              <w:rPr/>
              <w:t>As Reported</w:t>
            </w:r>
          </w:p>
        </w:tc>
        <w:tc>
          <w:tcPr>
            <w:tcW w:w="232"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jc w:val="left"/>
              <w:rPr/>
            </w:pPr>
            <w:r>
              <w:rPr/>
              <w:t>$</w:t>
            </w:r>
          </w:p>
        </w:tc>
        <w:tc>
          <w:tcPr>
            <w:tcW w:w="1065" w:type="dxa"/>
            <w:tcBorders/>
            <w:shd w:fill="CCEEFF" w:val="clear"/>
            <w:vAlign w:val="bottom"/>
          </w:tcPr>
          <w:p>
            <w:pPr>
              <w:pStyle w:val="TableContents"/>
              <w:spacing w:before="0" w:after="283"/>
              <w:jc w:val="right"/>
              <w:rPr/>
            </w:pPr>
            <w:r>
              <w:rPr/>
              <w:t>0.27</w:t>
            </w:r>
          </w:p>
        </w:tc>
        <w:tc>
          <w:tcPr>
            <w:tcW w:w="386"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jc w:val="left"/>
              <w:rPr/>
            </w:pPr>
            <w:r>
              <w:rPr/>
              <w:t>$</w:t>
            </w:r>
          </w:p>
        </w:tc>
        <w:tc>
          <w:tcPr>
            <w:tcW w:w="1089" w:type="dxa"/>
            <w:tcBorders/>
            <w:shd w:fill="CCEEFF" w:val="clear"/>
            <w:vAlign w:val="bottom"/>
          </w:tcPr>
          <w:p>
            <w:pPr>
              <w:pStyle w:val="TableContents"/>
              <w:spacing w:before="0" w:after="283"/>
              <w:jc w:val="right"/>
              <w:rPr/>
            </w:pPr>
            <w:r>
              <w:rPr/>
              <w:t>0.26</w:t>
            </w:r>
          </w:p>
        </w:tc>
        <w:tc>
          <w:tcPr>
            <w:tcW w:w="386" w:type="dxa"/>
            <w:tcBorders/>
            <w:shd w:fill="CCEEFF" w:val="clear"/>
            <w:vAlign w:val="bottom"/>
          </w:tcPr>
          <w:p>
            <w:pPr>
              <w:pStyle w:val="TableContents"/>
              <w:spacing w:before="0" w:after="283"/>
              <w:rPr/>
            </w:pPr>
            <w:r>
              <w:rPr/>
              <w:t>(4)</w:t>
            </w:r>
          </w:p>
        </w:tc>
        <w:tc>
          <w:tcPr>
            <w:tcW w:w="232"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jc w:val="left"/>
              <w:rPr/>
            </w:pPr>
            <w:r>
              <w:rPr/>
              <w:t>$</w:t>
            </w:r>
          </w:p>
        </w:tc>
        <w:tc>
          <w:tcPr>
            <w:tcW w:w="1216" w:type="dxa"/>
            <w:tcBorders/>
            <w:shd w:fill="CCEEFF" w:val="clear"/>
            <w:vAlign w:val="bottom"/>
          </w:tcPr>
          <w:p>
            <w:pPr>
              <w:pStyle w:val="TableContents"/>
              <w:spacing w:before="0" w:after="283"/>
              <w:jc w:val="right"/>
              <w:rPr/>
            </w:pPr>
            <w:r>
              <w:rPr/>
              <w:t>0.26</w:t>
            </w:r>
          </w:p>
        </w:tc>
        <w:tc>
          <w:tcPr>
            <w:tcW w:w="394" w:type="dxa"/>
            <w:tcBorders/>
            <w:shd w:fill="CCEEFF" w:val="clear"/>
            <w:vAlign w:val="bottom"/>
          </w:tcPr>
          <w:p>
            <w:pPr>
              <w:pStyle w:val="TableContents"/>
              <w:spacing w:before="0" w:after="283"/>
              <w:rPr/>
            </w:pPr>
            <w:r>
              <w:rPr/>
              <w:t>(4)</w:t>
            </w:r>
          </w:p>
        </w:tc>
      </w:tr>
      <w:tr>
        <w:trPr/>
        <w:tc>
          <w:tcPr>
            <w:tcW w:w="3335" w:type="dxa"/>
            <w:tcBorders/>
            <w:shd w:fill="auto" w:val="clear"/>
            <w:vAlign w:val="center"/>
          </w:tcPr>
          <w:p>
            <w:pPr>
              <w:pStyle w:val="TableContents"/>
              <w:spacing w:before="0" w:after="0"/>
              <w:ind w:left="225" w:right="0" w:hanging="225"/>
              <w:rPr/>
            </w:pPr>
            <w:r>
              <w:rPr/>
              <w:t> </w:t>
            </w:r>
          </w:p>
        </w:tc>
        <w:tc>
          <w:tcPr>
            <w:tcW w:w="232" w:type="dxa"/>
            <w:tcBorders/>
            <w:shd w:fill="auto" w:val="clear"/>
            <w:vAlign w:val="center"/>
          </w:tcPr>
          <w:p>
            <w:pPr>
              <w:pStyle w:val="TableContents"/>
              <w:spacing w:before="0" w:after="283"/>
              <w:rPr/>
            </w:pPr>
            <w:r>
              <w:rPr/>
              <w:t> </w:t>
            </w:r>
          </w:p>
        </w:tc>
        <w:tc>
          <w:tcPr>
            <w:tcW w:w="14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8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4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8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6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94" w:type="dxa"/>
            <w:tcBorders/>
            <w:shd w:fill="auto" w:val="clear"/>
            <w:vAlign w:val="center"/>
          </w:tcPr>
          <w:p>
            <w:pPr>
              <w:pStyle w:val="TableContents"/>
              <w:spacing w:before="0" w:after="283"/>
              <w:rPr/>
            </w:pPr>
            <w:r>
              <w:rPr/>
              <w:t> </w:t>
            </w:r>
          </w:p>
        </w:tc>
      </w:tr>
      <w:tr>
        <w:trPr/>
        <w:tc>
          <w:tcPr>
            <w:tcW w:w="3335" w:type="dxa"/>
            <w:tcBorders/>
            <w:shd w:fill="auto" w:val="clear"/>
            <w:vAlign w:val="bottom"/>
          </w:tcPr>
          <w:p>
            <w:pPr>
              <w:pStyle w:val="TableContents"/>
              <w:spacing w:before="0" w:after="0"/>
              <w:ind w:left="450" w:right="0" w:hanging="225"/>
              <w:rPr/>
            </w:pPr>
            <w:r>
              <w:rPr/>
              <w:t>Excluding Selected Items Impacting Comparability</w:t>
            </w:r>
          </w:p>
        </w:tc>
        <w:tc>
          <w:tcPr>
            <w:tcW w:w="232"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left"/>
              <w:rPr/>
            </w:pPr>
            <w:r>
              <w:rPr/>
              <w:t>$</w:t>
            </w:r>
          </w:p>
        </w:tc>
        <w:tc>
          <w:tcPr>
            <w:tcW w:w="1065" w:type="dxa"/>
            <w:tcBorders/>
            <w:shd w:fill="auto" w:val="clear"/>
            <w:vAlign w:val="bottom"/>
          </w:tcPr>
          <w:p>
            <w:pPr>
              <w:pStyle w:val="TableContents"/>
              <w:spacing w:before="0" w:after="283"/>
              <w:jc w:val="right"/>
              <w:rPr/>
            </w:pPr>
            <w:r>
              <w:rPr/>
              <w:t>0.29</w:t>
            </w:r>
          </w:p>
        </w:tc>
        <w:tc>
          <w:tcPr>
            <w:tcW w:w="386"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jc w:val="left"/>
              <w:rPr/>
            </w:pPr>
            <w:r>
              <w:rPr/>
              <w:t>$</w:t>
            </w:r>
          </w:p>
        </w:tc>
        <w:tc>
          <w:tcPr>
            <w:tcW w:w="1089" w:type="dxa"/>
            <w:tcBorders/>
            <w:shd w:fill="auto" w:val="clear"/>
            <w:vAlign w:val="bottom"/>
          </w:tcPr>
          <w:p>
            <w:pPr>
              <w:pStyle w:val="TableContents"/>
              <w:spacing w:before="0" w:after="283"/>
              <w:jc w:val="right"/>
              <w:rPr/>
            </w:pPr>
            <w:r>
              <w:rPr/>
              <w:t>0.28</w:t>
            </w:r>
          </w:p>
        </w:tc>
        <w:tc>
          <w:tcPr>
            <w:tcW w:w="386" w:type="dxa"/>
            <w:tcBorders/>
            <w:shd w:fill="auto" w:val="clear"/>
            <w:vAlign w:val="bottom"/>
          </w:tcPr>
          <w:p>
            <w:pPr>
              <w:pStyle w:val="TableContents"/>
              <w:spacing w:before="0" w:after="283"/>
              <w:rPr/>
            </w:pPr>
            <w:r>
              <w:rPr/>
              <w:t>(4)</w:t>
            </w:r>
          </w:p>
        </w:tc>
        <w:tc>
          <w:tcPr>
            <w:tcW w:w="232"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left"/>
              <w:rPr/>
            </w:pPr>
            <w:r>
              <w:rPr/>
              <w:t>$</w:t>
            </w:r>
          </w:p>
        </w:tc>
        <w:tc>
          <w:tcPr>
            <w:tcW w:w="1216" w:type="dxa"/>
            <w:tcBorders/>
            <w:shd w:fill="auto" w:val="clear"/>
            <w:vAlign w:val="bottom"/>
          </w:tcPr>
          <w:p>
            <w:pPr>
              <w:pStyle w:val="TableContents"/>
              <w:spacing w:before="0" w:after="283"/>
              <w:jc w:val="right"/>
              <w:rPr/>
            </w:pPr>
            <w:r>
              <w:rPr/>
              <w:t>0.29</w:t>
            </w:r>
          </w:p>
        </w:tc>
        <w:tc>
          <w:tcPr>
            <w:tcW w:w="394" w:type="dxa"/>
            <w:tcBorders/>
            <w:shd w:fill="auto" w:val="clear"/>
            <w:vAlign w:val="bottom"/>
          </w:tcPr>
          <w:p>
            <w:pPr>
              <w:pStyle w:val="TableContents"/>
              <w:spacing w:before="0" w:after="283"/>
              <w:rPr/>
            </w:pPr>
            <w:r>
              <w:rPr/>
              <w:t>(4)</w:t>
            </w:r>
          </w:p>
        </w:tc>
      </w:tr>
      <w:tr>
        <w:trPr/>
        <w:tc>
          <w:tcPr>
            <w:tcW w:w="3335" w:type="dxa"/>
            <w:tcBorders/>
            <w:shd w:fill="auto" w:val="clear"/>
            <w:vAlign w:val="center"/>
          </w:tcPr>
          <w:p>
            <w:pPr>
              <w:pStyle w:val="TableContents"/>
              <w:spacing w:before="0" w:after="0"/>
              <w:ind w:left="225" w:right="0" w:hanging="225"/>
              <w:rPr/>
            </w:pPr>
            <w:r>
              <w:rPr/>
              <w:t> </w:t>
            </w:r>
          </w:p>
        </w:tc>
        <w:tc>
          <w:tcPr>
            <w:tcW w:w="232" w:type="dxa"/>
            <w:tcBorders/>
            <w:shd w:fill="auto" w:val="clear"/>
            <w:vAlign w:val="center"/>
          </w:tcPr>
          <w:p>
            <w:pPr>
              <w:pStyle w:val="TableContents"/>
              <w:spacing w:before="0" w:after="283"/>
              <w:rPr/>
            </w:pPr>
            <w:r>
              <w:rPr/>
              <w:t> </w:t>
            </w:r>
          </w:p>
        </w:tc>
        <w:tc>
          <w:tcPr>
            <w:tcW w:w="14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8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4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86"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6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94" w:type="dxa"/>
            <w:tcBorders/>
            <w:shd w:fill="auto" w:val="clear"/>
            <w:vAlign w:val="center"/>
          </w:tcPr>
          <w:p>
            <w:pPr>
              <w:pStyle w:val="TableContents"/>
              <w:spacing w:before="0" w:after="283"/>
              <w:rPr/>
            </w:pPr>
            <w:r>
              <w:rPr/>
              <w:t> </w:t>
            </w:r>
          </w:p>
        </w:tc>
      </w:tr>
    </w:tbl>
    <w:tbl>
      <w:tblPr>
        <w:tblW w:w="4750" w:type="pct"/>
        <w:jc w:val="center"/>
        <w:tblInd w:w="0" w:type="dxa"/>
        <w:tblCellMar>
          <w:top w:w="0" w:type="dxa"/>
          <w:left w:w="0" w:type="dxa"/>
          <w:bottom w:w="0" w:type="dxa"/>
          <w:right w:w="0" w:type="dxa"/>
        </w:tblCellMar>
      </w:tblPr>
      <w:tblGrid>
        <w:gridCol w:w="2423"/>
        <w:gridCol w:w="7271"/>
      </w:tblGrid>
      <w:tr>
        <w:trPr/>
        <w:tc>
          <w:tcPr>
            <w:tcW w:w="2423" w:type="dxa"/>
            <w:tcBorders/>
            <w:shd w:fill="auto" w:val="clear"/>
            <w:vAlign w:val="center"/>
          </w:tcPr>
          <w:p>
            <w:pPr>
              <w:pStyle w:val="TableContents"/>
              <w:spacing w:before="0" w:after="283"/>
              <w:rPr>
                <w:sz w:val="4"/>
                <w:szCs w:val="4"/>
              </w:rPr>
            </w:pPr>
            <w:r>
              <w:rPr>
                <w:sz w:val="4"/>
                <w:szCs w:val="4"/>
              </w:rPr>
            </w:r>
          </w:p>
        </w:tc>
        <w:tc>
          <w:tcPr>
            <w:tcW w:w="7271" w:type="dxa"/>
            <w:tcBorders/>
            <w:shd w:fill="auto" w:val="clear"/>
            <w:vAlign w:val="center"/>
          </w:tcPr>
          <w:p>
            <w:pPr>
              <w:pStyle w:val="TableContents"/>
              <w:spacing w:before="0" w:after="283"/>
              <w:rPr>
                <w:sz w:val="4"/>
                <w:szCs w:val="4"/>
              </w:rPr>
            </w:pPr>
            <w:r>
              <w:rPr>
                <w:sz w:val="4"/>
                <w:szCs w:val="4"/>
              </w:rPr>
            </w:r>
          </w:p>
        </w:tc>
      </w:tr>
      <w:tr>
        <w:trPr/>
        <w:tc>
          <w:tcPr>
            <w:tcW w:w="2423" w:type="dxa"/>
            <w:tcBorders>
              <w:bottom w:val="double" w:sz="2" w:space="0" w:color="000000"/>
            </w:tcBorders>
            <w:shd w:fill="auto" w:val="clear"/>
            <w:tcMar>
              <w:bottom w:w="28" w:type="dxa"/>
            </w:tcMar>
          </w:tcPr>
          <w:p>
            <w:pPr>
              <w:pStyle w:val="TableContents"/>
              <w:spacing w:before="0" w:after="283"/>
              <w:rPr/>
            </w:pPr>
            <w:r>
              <w:rPr/>
              <w:t> </w:t>
            </w:r>
          </w:p>
        </w:tc>
        <w:tc>
          <w:tcPr>
            <w:tcW w:w="7271" w:type="dxa"/>
            <w:tcBorders/>
            <w:shd w:fill="auto" w:val="clear"/>
          </w:tcPr>
          <w:p>
            <w:pPr>
              <w:pStyle w:val="TableContents"/>
              <w:spacing w:before="0" w:after="283"/>
              <w:rPr>
                <w:sz w:val="4"/>
                <w:szCs w:val="4"/>
              </w:rPr>
            </w:pPr>
            <w:r>
              <w:rPr>
                <w:sz w:val="4"/>
                <w:szCs w:val="4"/>
              </w:rPr>
            </w:r>
          </w:p>
        </w:tc>
      </w:tr>
    </w:tbl>
    <w:tbl>
      <w:tblPr>
        <w:tblW w:w="4750" w:type="pct"/>
        <w:jc w:val="center"/>
        <w:tblInd w:w="0" w:type="dxa"/>
        <w:tblCellMar>
          <w:top w:w="0" w:type="dxa"/>
          <w:left w:w="0" w:type="dxa"/>
          <w:bottom w:w="0" w:type="dxa"/>
          <w:right w:w="0" w:type="dxa"/>
        </w:tblCellMar>
      </w:tblPr>
      <w:tblGrid>
        <w:gridCol w:w="6242"/>
        <w:gridCol w:w="2081"/>
        <w:gridCol w:w="1371"/>
      </w:tblGrid>
      <w:tr>
        <w:trPr/>
        <w:tc>
          <w:tcPr>
            <w:tcW w:w="6242" w:type="dxa"/>
            <w:tcBorders/>
            <w:shd w:fill="auto" w:val="clear"/>
            <w:vAlign w:val="center"/>
          </w:tcPr>
          <w:p>
            <w:pPr>
              <w:pStyle w:val="TableContents"/>
              <w:spacing w:before="0" w:after="283"/>
              <w:rPr>
                <w:sz w:val="4"/>
                <w:szCs w:val="4"/>
              </w:rPr>
            </w:pPr>
            <w:r>
              <w:rPr>
                <w:sz w:val="4"/>
                <w:szCs w:val="4"/>
              </w:rPr>
            </w:r>
          </w:p>
        </w:tc>
        <w:tc>
          <w:tcPr>
            <w:tcW w:w="2081"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r>
      <w:tr>
        <w:trPr/>
        <w:tc>
          <w:tcPr>
            <w:tcW w:w="6242" w:type="dxa"/>
            <w:tcBorders/>
            <w:shd w:fill="auto" w:val="clear"/>
          </w:tcPr>
          <w:p>
            <w:pPr>
              <w:pStyle w:val="TableContents"/>
              <w:spacing w:before="0" w:after="283"/>
              <w:jc w:val="left"/>
              <w:rPr/>
            </w:pPr>
            <w:r>
              <w:rPr/>
              <w:t>(1)</w:t>
            </w:r>
          </w:p>
        </w:tc>
        <w:tc>
          <w:tcPr>
            <w:tcW w:w="2081" w:type="dxa"/>
            <w:tcBorders/>
            <w:shd w:fill="auto" w:val="clear"/>
          </w:tcPr>
          <w:p>
            <w:pPr>
              <w:pStyle w:val="TableContents"/>
              <w:spacing w:before="0" w:after="283"/>
              <w:rPr/>
            </w:pPr>
            <w:r>
              <w:rPr/>
              <w:t> </w:t>
            </w:r>
          </w:p>
        </w:tc>
        <w:tc>
          <w:tcPr>
            <w:tcW w:w="1371" w:type="dxa"/>
            <w:tcBorders/>
            <w:shd w:fill="auto" w:val="clear"/>
          </w:tcPr>
          <w:p>
            <w:pPr>
              <w:pStyle w:val="TableContents"/>
              <w:spacing w:before="0" w:after="283"/>
              <w:rPr/>
            </w:pPr>
            <w:r>
              <w:rPr/>
              <w:t>Acquisition effective in third quarter of 2006.</w:t>
            </w:r>
          </w:p>
        </w:tc>
      </w:tr>
      <w:tr>
        <w:trPr/>
        <w:tc>
          <w:tcPr>
            <w:tcW w:w="6242" w:type="dxa"/>
            <w:tcBorders/>
            <w:shd w:fill="auto" w:val="clear"/>
            <w:vAlign w:val="center"/>
          </w:tcPr>
          <w:p>
            <w:pPr>
              <w:pStyle w:val="TableContents"/>
              <w:spacing w:before="0" w:after="283"/>
              <w:rPr/>
            </w:pPr>
            <w:r>
              <w:rPr/>
              <w:t> </w:t>
            </w:r>
          </w:p>
        </w:tc>
        <w:tc>
          <w:tcPr>
            <w:tcW w:w="3452" w:type="dxa"/>
            <w:gridSpan w:val="2"/>
            <w:tcBorders/>
            <w:shd w:fill="auto" w:val="clear"/>
          </w:tcPr>
          <w:p>
            <w:pPr>
              <w:pStyle w:val="TableContents"/>
              <w:spacing w:before="0" w:after="283"/>
              <w:rPr>
                <w:sz w:val="4"/>
                <w:szCs w:val="4"/>
              </w:rPr>
            </w:pPr>
            <w:r>
              <w:rPr>
                <w:sz w:val="4"/>
                <w:szCs w:val="4"/>
              </w:rPr>
            </w:r>
          </w:p>
        </w:tc>
      </w:tr>
      <w:tr>
        <w:trPr/>
        <w:tc>
          <w:tcPr>
            <w:tcW w:w="6242" w:type="dxa"/>
            <w:tcBorders/>
            <w:shd w:fill="auto" w:val="clear"/>
          </w:tcPr>
          <w:p>
            <w:pPr>
              <w:pStyle w:val="TableContents"/>
              <w:spacing w:before="0" w:after="283"/>
              <w:jc w:val="left"/>
              <w:rPr/>
            </w:pPr>
            <w:r>
              <w:rPr/>
              <w:t>(2)</w:t>
            </w:r>
          </w:p>
        </w:tc>
        <w:tc>
          <w:tcPr>
            <w:tcW w:w="2081" w:type="dxa"/>
            <w:tcBorders/>
            <w:shd w:fill="auto" w:val="clear"/>
          </w:tcPr>
          <w:p>
            <w:pPr>
              <w:pStyle w:val="TableContents"/>
              <w:spacing w:before="0" w:after="283"/>
              <w:rPr/>
            </w:pPr>
            <w:r>
              <w:rPr/>
              <w:t> </w:t>
            </w:r>
          </w:p>
        </w:tc>
        <w:tc>
          <w:tcPr>
            <w:tcW w:w="1371" w:type="dxa"/>
            <w:tcBorders/>
            <w:shd w:fill="auto" w:val="clear"/>
          </w:tcPr>
          <w:p>
            <w:pPr>
              <w:pStyle w:val="TableContents"/>
              <w:spacing w:before="0" w:after="283"/>
              <w:rPr/>
            </w:pPr>
            <w:r>
              <w:rPr/>
              <w:t>The aggregate of multiple systems in the West Texas / New Mexico area.</w:t>
            </w:r>
          </w:p>
        </w:tc>
      </w:tr>
      <w:tr>
        <w:trPr/>
        <w:tc>
          <w:tcPr>
            <w:tcW w:w="6242" w:type="dxa"/>
            <w:tcBorders/>
            <w:shd w:fill="auto" w:val="clear"/>
            <w:vAlign w:val="center"/>
          </w:tcPr>
          <w:p>
            <w:pPr>
              <w:pStyle w:val="TableContents"/>
              <w:spacing w:before="0" w:after="283"/>
              <w:rPr/>
            </w:pPr>
            <w:r>
              <w:rPr/>
              <w:t> </w:t>
            </w:r>
          </w:p>
        </w:tc>
        <w:tc>
          <w:tcPr>
            <w:tcW w:w="3452" w:type="dxa"/>
            <w:gridSpan w:val="2"/>
            <w:tcBorders/>
            <w:shd w:fill="auto" w:val="clear"/>
          </w:tcPr>
          <w:p>
            <w:pPr>
              <w:pStyle w:val="TableContents"/>
              <w:spacing w:before="0" w:after="283"/>
              <w:rPr>
                <w:sz w:val="4"/>
                <w:szCs w:val="4"/>
              </w:rPr>
            </w:pPr>
            <w:r>
              <w:rPr>
                <w:sz w:val="4"/>
                <w:szCs w:val="4"/>
              </w:rPr>
            </w:r>
          </w:p>
        </w:tc>
      </w:tr>
      <w:tr>
        <w:trPr/>
        <w:tc>
          <w:tcPr>
            <w:tcW w:w="6242" w:type="dxa"/>
            <w:tcBorders/>
            <w:shd w:fill="auto" w:val="clear"/>
          </w:tcPr>
          <w:p>
            <w:pPr>
              <w:pStyle w:val="TableContents"/>
              <w:spacing w:before="0" w:after="283"/>
              <w:jc w:val="left"/>
              <w:rPr/>
            </w:pPr>
            <w:r>
              <w:rPr/>
              <w:t>(3)</w:t>
            </w:r>
          </w:p>
        </w:tc>
        <w:tc>
          <w:tcPr>
            <w:tcW w:w="2081" w:type="dxa"/>
            <w:tcBorders/>
            <w:shd w:fill="auto" w:val="clear"/>
          </w:tcPr>
          <w:p>
            <w:pPr>
              <w:pStyle w:val="TableContents"/>
              <w:spacing w:before="0" w:after="283"/>
              <w:rPr/>
            </w:pPr>
            <w:r>
              <w:rPr/>
              <w:t> </w:t>
            </w:r>
          </w:p>
        </w:tc>
        <w:tc>
          <w:tcPr>
            <w:tcW w:w="1371" w:type="dxa"/>
            <w:tcBorders/>
            <w:shd w:fill="auto" w:val="clear"/>
          </w:tcPr>
          <w:p>
            <w:pPr>
              <w:pStyle w:val="TableContents"/>
              <w:spacing w:before="0" w:after="283"/>
              <w:rPr/>
            </w:pPr>
            <w:r>
              <w:rPr/>
              <w:t>Includes approximately 45,000 Bbl/d related to assets purchased from Chevron Pipe Line Company effective September 1, 2006.</w:t>
            </w:r>
          </w:p>
        </w:tc>
      </w:tr>
      <w:tr>
        <w:trPr/>
        <w:tc>
          <w:tcPr>
            <w:tcW w:w="6242" w:type="dxa"/>
            <w:tcBorders/>
            <w:shd w:fill="auto" w:val="clear"/>
            <w:vAlign w:val="center"/>
          </w:tcPr>
          <w:p>
            <w:pPr>
              <w:pStyle w:val="TableContents"/>
              <w:spacing w:before="0" w:after="283"/>
              <w:rPr/>
            </w:pPr>
            <w:r>
              <w:rPr/>
              <w:t> </w:t>
            </w:r>
          </w:p>
        </w:tc>
        <w:tc>
          <w:tcPr>
            <w:tcW w:w="3452" w:type="dxa"/>
            <w:gridSpan w:val="2"/>
            <w:tcBorders/>
            <w:shd w:fill="auto" w:val="clear"/>
          </w:tcPr>
          <w:p>
            <w:pPr>
              <w:pStyle w:val="TableContents"/>
              <w:spacing w:before="0" w:after="283"/>
              <w:rPr>
                <w:sz w:val="4"/>
                <w:szCs w:val="4"/>
              </w:rPr>
            </w:pPr>
            <w:r>
              <w:rPr>
                <w:sz w:val="4"/>
                <w:szCs w:val="4"/>
              </w:rPr>
            </w:r>
          </w:p>
        </w:tc>
      </w:tr>
      <w:tr>
        <w:trPr/>
        <w:tc>
          <w:tcPr>
            <w:tcW w:w="6242" w:type="dxa"/>
            <w:tcBorders/>
            <w:shd w:fill="auto" w:val="clear"/>
          </w:tcPr>
          <w:p>
            <w:pPr>
              <w:pStyle w:val="TableContents"/>
              <w:spacing w:before="0" w:after="283"/>
              <w:jc w:val="left"/>
              <w:rPr/>
            </w:pPr>
            <w:r>
              <w:rPr/>
              <w:t>(4)</w:t>
            </w:r>
          </w:p>
        </w:tc>
        <w:tc>
          <w:tcPr>
            <w:tcW w:w="2081" w:type="dxa"/>
            <w:tcBorders/>
            <w:shd w:fill="auto" w:val="clear"/>
          </w:tcPr>
          <w:p>
            <w:pPr>
              <w:pStyle w:val="TableContents"/>
              <w:spacing w:before="0" w:after="283"/>
              <w:rPr/>
            </w:pPr>
            <w:r>
              <w:rPr/>
              <w:t> </w:t>
            </w:r>
          </w:p>
        </w:tc>
        <w:tc>
          <w:tcPr>
            <w:tcW w:w="1371" w:type="dxa"/>
            <w:tcBorders/>
            <w:shd w:fill="auto" w:val="clear"/>
          </w:tcPr>
          <w:p>
            <w:pPr>
              <w:pStyle w:val="TableContents"/>
              <w:spacing w:before="0" w:after="283"/>
              <w:rPr/>
            </w:pPr>
            <w:r>
              <w:rPr/>
              <w:t>Mid-point of guidance.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Segment profit is forecast using the volume assumptions in the table above, priced at tariff rates currently received, less estimated field operating costs and G&amp;A expenses. Field operating costs do not include depreciation.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 illustrate the impact volume changes may have on fourth quarter segment profit, the following table provides a volume sensitivity analysis of three systems representing approximately 28% of total pipeline net revenues. </w:t>
      </w:r>
    </w:p>
    <w:tbl>
      <w:tblPr>
        <w:tblW w:w="4750" w:type="pct"/>
        <w:jc w:val="center"/>
        <w:tblInd w:w="0" w:type="dxa"/>
        <w:tblCellMar>
          <w:top w:w="0" w:type="dxa"/>
          <w:left w:w="0" w:type="dxa"/>
          <w:bottom w:w="0" w:type="dxa"/>
          <w:right w:w="0" w:type="dxa"/>
        </w:tblCellMar>
      </w:tblPr>
      <w:tblGrid>
        <w:gridCol w:w="4207"/>
        <w:gridCol w:w="327"/>
        <w:gridCol w:w="244"/>
        <w:gridCol w:w="992"/>
        <w:gridCol w:w="244"/>
        <w:gridCol w:w="327"/>
        <w:gridCol w:w="240"/>
        <w:gridCol w:w="395"/>
        <w:gridCol w:w="446"/>
        <w:gridCol w:w="326"/>
        <w:gridCol w:w="581"/>
        <w:gridCol w:w="1013"/>
        <w:gridCol w:w="352"/>
      </w:tblGrid>
      <w:tr>
        <w:trPr/>
        <w:tc>
          <w:tcPr>
            <w:tcW w:w="4207"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r>
      <w:tr>
        <w:trPr/>
        <w:tc>
          <w:tcPr>
            <w:tcW w:w="9694" w:type="dxa"/>
            <w:gridSpan w:val="13"/>
            <w:tcBorders>
              <w:bottom w:val="single" w:sz="2" w:space="0" w:color="000000"/>
            </w:tcBorders>
            <w:shd w:fill="auto" w:val="clear"/>
            <w:tcMar>
              <w:bottom w:w="28" w:type="dxa"/>
            </w:tcMar>
            <w:vAlign w:val="bottom"/>
          </w:tcPr>
          <w:p>
            <w:pPr>
              <w:pStyle w:val="TableContents"/>
              <w:spacing w:before="0" w:after="283"/>
              <w:jc w:val="center"/>
              <w:rPr>
                <w:b/>
              </w:rPr>
            </w:pPr>
            <w:r>
              <w:rPr>
                <w:b/>
              </w:rPr>
              <w:t>Volume Sensitivity Analysis</w:t>
            </w:r>
          </w:p>
        </w:tc>
      </w:tr>
      <w:tr>
        <w:trPr/>
        <w:tc>
          <w:tcPr>
            <w:tcW w:w="4207"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081" w:type="dxa"/>
            <w:gridSpan w:val="3"/>
            <w:tcBorders/>
            <w:shd w:fill="auto" w:val="clear"/>
            <w:vAlign w:val="bottom"/>
          </w:tcPr>
          <w:p>
            <w:pPr>
              <w:pStyle w:val="TableContents"/>
              <w:spacing w:before="0" w:after="283"/>
              <w:jc w:val="center"/>
              <w:rPr>
                <w:b/>
              </w:rPr>
            </w:pPr>
            <w:r>
              <w:rPr>
                <w:b/>
              </w:rPr>
              <w:t>% of</w:t>
            </w:r>
          </w:p>
        </w:tc>
        <w:tc>
          <w:tcPr>
            <w:tcW w:w="326" w:type="dxa"/>
            <w:tcBorders/>
            <w:shd w:fill="auto" w:val="clear"/>
            <w:vAlign w:val="bottom"/>
          </w:tcPr>
          <w:p>
            <w:pPr>
              <w:pStyle w:val="TableContents"/>
              <w:spacing w:before="0" w:after="283"/>
              <w:rPr/>
            </w:pPr>
            <w:r>
              <w:rPr/>
              <w:t> </w:t>
            </w:r>
          </w:p>
        </w:tc>
        <w:tc>
          <w:tcPr>
            <w:tcW w:w="1946" w:type="dxa"/>
            <w:gridSpan w:val="3"/>
            <w:tcBorders/>
            <w:shd w:fill="auto" w:val="clear"/>
            <w:vAlign w:val="bottom"/>
          </w:tcPr>
          <w:p>
            <w:pPr>
              <w:pStyle w:val="TableContents"/>
              <w:spacing w:before="0" w:after="283"/>
              <w:jc w:val="center"/>
              <w:rPr>
                <w:b/>
              </w:rPr>
            </w:pPr>
            <w:r>
              <w:rPr>
                <w:b/>
              </w:rPr>
              <w:t>Incr (Decr)</w:t>
            </w:r>
          </w:p>
        </w:tc>
      </w:tr>
      <w:tr>
        <w:trPr/>
        <w:tc>
          <w:tcPr>
            <w:tcW w:w="4207"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480" w:type="dxa"/>
            <w:gridSpan w:val="3"/>
            <w:tcBorders/>
            <w:shd w:fill="auto" w:val="clear"/>
            <w:vAlign w:val="bottom"/>
          </w:tcPr>
          <w:p>
            <w:pPr>
              <w:pStyle w:val="TableContents"/>
              <w:spacing w:before="0" w:after="283"/>
              <w:jc w:val="center"/>
              <w:rPr>
                <w:b/>
              </w:rPr>
            </w:pPr>
            <w:r>
              <w:rPr>
                <w:b/>
              </w:rPr>
              <w:t>Incr (Decr)</w:t>
            </w:r>
          </w:p>
        </w:tc>
        <w:tc>
          <w:tcPr>
            <w:tcW w:w="327" w:type="dxa"/>
            <w:tcBorders/>
            <w:shd w:fill="auto" w:val="clear"/>
            <w:vAlign w:val="bottom"/>
          </w:tcPr>
          <w:p>
            <w:pPr>
              <w:pStyle w:val="TableContents"/>
              <w:spacing w:before="0" w:after="283"/>
              <w:rPr/>
            </w:pPr>
            <w:r>
              <w:rPr/>
              <w:t> </w:t>
            </w:r>
          </w:p>
        </w:tc>
        <w:tc>
          <w:tcPr>
            <w:tcW w:w="1081" w:type="dxa"/>
            <w:gridSpan w:val="3"/>
            <w:tcBorders/>
            <w:shd w:fill="auto" w:val="clear"/>
            <w:vAlign w:val="bottom"/>
          </w:tcPr>
          <w:p>
            <w:pPr>
              <w:pStyle w:val="TableContents"/>
              <w:spacing w:before="0" w:after="283"/>
              <w:jc w:val="center"/>
              <w:rPr>
                <w:b/>
              </w:rPr>
            </w:pPr>
            <w:r>
              <w:rPr>
                <w:b/>
              </w:rPr>
              <w:t>System</w:t>
            </w:r>
          </w:p>
        </w:tc>
        <w:tc>
          <w:tcPr>
            <w:tcW w:w="326" w:type="dxa"/>
            <w:tcBorders/>
            <w:shd w:fill="auto" w:val="clear"/>
            <w:vAlign w:val="bottom"/>
          </w:tcPr>
          <w:p>
            <w:pPr>
              <w:pStyle w:val="TableContents"/>
              <w:spacing w:before="0" w:after="283"/>
              <w:rPr/>
            </w:pPr>
            <w:r>
              <w:rPr/>
              <w:t> </w:t>
            </w:r>
          </w:p>
        </w:tc>
        <w:tc>
          <w:tcPr>
            <w:tcW w:w="1946" w:type="dxa"/>
            <w:gridSpan w:val="3"/>
            <w:tcBorders/>
            <w:shd w:fill="auto" w:val="clear"/>
            <w:vAlign w:val="bottom"/>
          </w:tcPr>
          <w:p>
            <w:pPr>
              <w:pStyle w:val="TableContents"/>
              <w:spacing w:before="0" w:after="283"/>
              <w:jc w:val="center"/>
              <w:rPr>
                <w:b/>
              </w:rPr>
            </w:pPr>
            <w:r>
              <w:rPr>
                <w:b/>
              </w:rPr>
              <w:t>in Segment</w:t>
            </w:r>
          </w:p>
        </w:tc>
      </w:tr>
      <w:tr>
        <w:trPr/>
        <w:tc>
          <w:tcPr>
            <w:tcW w:w="4207" w:type="dxa"/>
            <w:tcBorders>
              <w:bottom w:val="single" w:sz="2" w:space="0" w:color="000000"/>
            </w:tcBorders>
            <w:shd w:fill="auto" w:val="clear"/>
            <w:tcMar>
              <w:bottom w:w="28" w:type="dxa"/>
            </w:tcMar>
            <w:vAlign w:val="bottom"/>
          </w:tcPr>
          <w:p>
            <w:pPr>
              <w:pStyle w:val="TableContents"/>
              <w:spacing w:before="0" w:after="283"/>
              <w:jc w:val="left"/>
              <w:rPr>
                <w:b/>
              </w:rPr>
            </w:pPr>
            <w:r>
              <w:rPr>
                <w:b/>
              </w:rPr>
              <w:t>System</w:t>
            </w:r>
          </w:p>
        </w:tc>
        <w:tc>
          <w:tcPr>
            <w:tcW w:w="327" w:type="dxa"/>
            <w:tcBorders/>
            <w:shd w:fill="auto" w:val="clear"/>
            <w:vAlign w:val="bottom"/>
          </w:tcPr>
          <w:p>
            <w:pPr>
              <w:pStyle w:val="TableContents"/>
              <w:spacing w:before="0" w:after="283"/>
              <w:rPr/>
            </w:pPr>
            <w:r>
              <w:rPr/>
              <w:t> </w:t>
            </w:r>
          </w:p>
        </w:tc>
        <w:tc>
          <w:tcPr>
            <w:tcW w:w="148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in Volume</w:t>
            </w:r>
          </w:p>
        </w:tc>
        <w:tc>
          <w:tcPr>
            <w:tcW w:w="327" w:type="dxa"/>
            <w:tcBorders/>
            <w:shd w:fill="auto" w:val="clear"/>
            <w:vAlign w:val="bottom"/>
          </w:tcPr>
          <w:p>
            <w:pPr>
              <w:pStyle w:val="TableContents"/>
              <w:spacing w:before="0" w:after="283"/>
              <w:rPr/>
            </w:pPr>
            <w:r>
              <w:rPr/>
              <w:t> </w:t>
            </w:r>
          </w:p>
        </w:tc>
        <w:tc>
          <w:tcPr>
            <w:tcW w:w="1081"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326" w:type="dxa"/>
            <w:tcBorders/>
            <w:shd w:fill="auto" w:val="clear"/>
            <w:vAlign w:val="bottom"/>
          </w:tcPr>
          <w:p>
            <w:pPr>
              <w:pStyle w:val="TableContents"/>
              <w:spacing w:before="0" w:after="283"/>
              <w:rPr/>
            </w:pPr>
            <w:r>
              <w:rPr/>
              <w:t> </w:t>
            </w:r>
          </w:p>
        </w:tc>
        <w:tc>
          <w:tcPr>
            <w:tcW w:w="1946"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Profit Guidance</w:t>
            </w:r>
          </w:p>
        </w:tc>
      </w:tr>
      <w:tr>
        <w:trPr/>
        <w:tc>
          <w:tcPr>
            <w:tcW w:w="4207"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480" w:type="dxa"/>
            <w:gridSpan w:val="3"/>
            <w:tcBorders/>
            <w:shd w:fill="auto" w:val="clear"/>
            <w:vAlign w:val="bottom"/>
          </w:tcPr>
          <w:p>
            <w:pPr>
              <w:pStyle w:val="TableContents"/>
              <w:spacing w:before="0" w:after="283"/>
              <w:jc w:val="center"/>
              <w:rPr>
                <w:b/>
              </w:rPr>
            </w:pPr>
            <w:r>
              <w:rPr>
                <w:b/>
              </w:rPr>
              <w:t>(Bbls/d)</w:t>
            </w:r>
          </w:p>
        </w:tc>
        <w:tc>
          <w:tcPr>
            <w:tcW w:w="327"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946" w:type="dxa"/>
            <w:gridSpan w:val="3"/>
            <w:tcBorders/>
            <w:shd w:fill="auto" w:val="clear"/>
            <w:vAlign w:val="bottom"/>
          </w:tcPr>
          <w:p>
            <w:pPr>
              <w:pStyle w:val="TableContents"/>
              <w:spacing w:before="0" w:after="283"/>
              <w:jc w:val="center"/>
              <w:rPr>
                <w:b/>
              </w:rPr>
            </w:pPr>
            <w:r>
              <w:rPr>
                <w:b/>
              </w:rPr>
              <w:t>(in millions)</w:t>
            </w:r>
          </w:p>
        </w:tc>
      </w:tr>
      <w:tr>
        <w:trPr/>
        <w:tc>
          <w:tcPr>
            <w:tcW w:w="4207" w:type="dxa"/>
            <w:tcBorders/>
            <w:shd w:fill="CCEEFF" w:val="clear"/>
            <w:vAlign w:val="bottom"/>
          </w:tcPr>
          <w:p>
            <w:pPr>
              <w:pStyle w:val="TableContents"/>
              <w:spacing w:before="0" w:after="0"/>
              <w:ind w:left="225" w:right="0" w:hanging="225"/>
              <w:rPr/>
            </w:pPr>
            <w:r>
              <w:rPr/>
              <w:t>All American</w:t>
            </w:r>
          </w:p>
        </w:tc>
        <w:tc>
          <w:tcPr>
            <w:tcW w:w="327"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5,000</w:t>
            </w:r>
          </w:p>
        </w:tc>
        <w:tc>
          <w:tcPr>
            <w:tcW w:w="244"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pPr>
            <w:r>
              <w:rPr/>
              <w:t> </w:t>
            </w:r>
          </w:p>
        </w:tc>
        <w:tc>
          <w:tcPr>
            <w:tcW w:w="395" w:type="dxa"/>
            <w:tcBorders/>
            <w:shd w:fill="CCEEFF" w:val="clear"/>
            <w:vAlign w:val="bottom"/>
          </w:tcPr>
          <w:p>
            <w:pPr>
              <w:pStyle w:val="TableContents"/>
              <w:spacing w:before="0" w:after="283"/>
              <w:jc w:val="right"/>
              <w:rPr/>
            </w:pPr>
            <w:r>
              <w:rPr/>
              <w:t>11</w:t>
            </w:r>
          </w:p>
        </w:tc>
        <w:tc>
          <w:tcPr>
            <w:tcW w:w="446" w:type="dxa"/>
            <w:tcBorders/>
            <w:shd w:fill="CCEEFF" w:val="clear"/>
            <w:vAlign w:val="bottom"/>
          </w:tcPr>
          <w:p>
            <w:pPr>
              <w:pStyle w:val="TableContents"/>
              <w:spacing w:before="0" w:after="283"/>
              <w:rPr/>
            </w:pPr>
            <w:r>
              <w:rPr/>
              <w:t>%</w:t>
            </w:r>
          </w:p>
        </w:tc>
        <w:tc>
          <w:tcPr>
            <w:tcW w:w="326" w:type="dxa"/>
            <w:tcBorders/>
            <w:shd w:fill="CCEEFF" w:val="clear"/>
            <w:vAlign w:val="bottom"/>
          </w:tcPr>
          <w:p>
            <w:pPr>
              <w:pStyle w:val="TableContents"/>
              <w:spacing w:before="0" w:after="283"/>
              <w:rPr/>
            </w:pPr>
            <w:r>
              <w:rPr/>
              <w:t> </w:t>
            </w:r>
          </w:p>
        </w:tc>
        <w:tc>
          <w:tcPr>
            <w:tcW w:w="581" w:type="dxa"/>
            <w:tcBorders/>
            <w:shd w:fill="CCEEFF" w:val="clear"/>
            <w:vAlign w:val="bottom"/>
          </w:tcPr>
          <w:p>
            <w:pPr>
              <w:pStyle w:val="TableContents"/>
              <w:spacing w:before="0" w:after="283"/>
              <w:jc w:val="right"/>
              <w:rPr/>
            </w:pPr>
            <w:r>
              <w:rPr/>
              <w:t>$</w:t>
            </w:r>
          </w:p>
        </w:tc>
        <w:tc>
          <w:tcPr>
            <w:tcW w:w="1013" w:type="dxa"/>
            <w:tcBorders/>
            <w:shd w:fill="CCEEFF" w:val="clear"/>
            <w:vAlign w:val="bottom"/>
          </w:tcPr>
          <w:p>
            <w:pPr>
              <w:pStyle w:val="TableContents"/>
              <w:spacing w:before="0" w:after="283"/>
              <w:jc w:val="right"/>
              <w:rPr/>
            </w:pPr>
            <w:r>
              <w:rPr/>
              <w:t>0.9</w:t>
            </w:r>
          </w:p>
        </w:tc>
        <w:tc>
          <w:tcPr>
            <w:tcW w:w="352" w:type="dxa"/>
            <w:tcBorders/>
            <w:shd w:fill="CCEEFF" w:val="clear"/>
            <w:vAlign w:val="bottom"/>
          </w:tcPr>
          <w:p>
            <w:pPr>
              <w:pStyle w:val="TableContents"/>
              <w:spacing w:before="0" w:after="283"/>
              <w:rPr/>
            </w:pPr>
            <w:r>
              <w:rPr/>
              <w:t> </w:t>
            </w:r>
          </w:p>
        </w:tc>
      </w:tr>
      <w:tr>
        <w:trPr/>
        <w:tc>
          <w:tcPr>
            <w:tcW w:w="4207" w:type="dxa"/>
            <w:tcBorders/>
            <w:shd w:fill="auto" w:val="clear"/>
            <w:vAlign w:val="bottom"/>
          </w:tcPr>
          <w:p>
            <w:pPr>
              <w:pStyle w:val="TableContents"/>
              <w:spacing w:before="0" w:after="0"/>
              <w:ind w:left="225" w:right="0" w:hanging="225"/>
              <w:rPr/>
            </w:pPr>
            <w:r>
              <w:rPr/>
              <w:t>Basin</w:t>
            </w:r>
          </w:p>
        </w:tc>
        <w:tc>
          <w:tcPr>
            <w:tcW w:w="32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20,000</w:t>
            </w:r>
          </w:p>
        </w:tc>
        <w:tc>
          <w:tcPr>
            <w:tcW w:w="244"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395" w:type="dxa"/>
            <w:tcBorders/>
            <w:shd w:fill="auto" w:val="clear"/>
            <w:vAlign w:val="bottom"/>
          </w:tcPr>
          <w:p>
            <w:pPr>
              <w:pStyle w:val="TableContents"/>
              <w:spacing w:before="0" w:after="283"/>
              <w:jc w:val="right"/>
              <w:rPr/>
            </w:pPr>
            <w:r>
              <w:rPr/>
              <w:t>6</w:t>
            </w:r>
          </w:p>
        </w:tc>
        <w:tc>
          <w:tcPr>
            <w:tcW w:w="446" w:type="dxa"/>
            <w:tcBorders/>
            <w:shd w:fill="auto" w:val="clear"/>
            <w:vAlign w:val="bottom"/>
          </w:tcPr>
          <w:p>
            <w:pPr>
              <w:pStyle w:val="TableContents"/>
              <w:spacing w:before="0" w:after="283"/>
              <w:rPr/>
            </w:pPr>
            <w:r>
              <w:rPr/>
              <w:t>%</w:t>
            </w:r>
          </w:p>
        </w:tc>
        <w:tc>
          <w:tcPr>
            <w:tcW w:w="326"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0.5</w:t>
            </w:r>
          </w:p>
        </w:tc>
        <w:tc>
          <w:tcPr>
            <w:tcW w:w="352" w:type="dxa"/>
            <w:tcBorders/>
            <w:shd w:fill="auto" w:val="clear"/>
            <w:vAlign w:val="bottom"/>
          </w:tcPr>
          <w:p>
            <w:pPr>
              <w:pStyle w:val="TableContents"/>
              <w:spacing w:before="0" w:after="283"/>
              <w:rPr/>
            </w:pPr>
            <w:r>
              <w:rPr/>
              <w:t> </w:t>
            </w:r>
          </w:p>
        </w:tc>
      </w:tr>
      <w:tr>
        <w:trPr/>
        <w:tc>
          <w:tcPr>
            <w:tcW w:w="4207" w:type="dxa"/>
            <w:tcBorders/>
            <w:shd w:fill="CCEEFF" w:val="clear"/>
            <w:vAlign w:val="bottom"/>
          </w:tcPr>
          <w:p>
            <w:pPr>
              <w:pStyle w:val="TableContents"/>
              <w:spacing w:before="0" w:after="0"/>
              <w:ind w:left="225" w:right="0" w:hanging="225"/>
              <w:rPr/>
            </w:pPr>
            <w:r>
              <w:rPr/>
              <w:t>Capline</w:t>
            </w:r>
          </w:p>
        </w:tc>
        <w:tc>
          <w:tcPr>
            <w:tcW w:w="327"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10,000</w:t>
            </w:r>
          </w:p>
        </w:tc>
        <w:tc>
          <w:tcPr>
            <w:tcW w:w="244"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pPr>
            <w:r>
              <w:rPr/>
              <w:t> </w:t>
            </w:r>
          </w:p>
        </w:tc>
        <w:tc>
          <w:tcPr>
            <w:tcW w:w="395" w:type="dxa"/>
            <w:tcBorders/>
            <w:shd w:fill="CCEEFF" w:val="clear"/>
            <w:vAlign w:val="bottom"/>
          </w:tcPr>
          <w:p>
            <w:pPr>
              <w:pStyle w:val="TableContents"/>
              <w:spacing w:before="0" w:after="283"/>
              <w:jc w:val="right"/>
              <w:rPr/>
            </w:pPr>
            <w:r>
              <w:rPr/>
              <w:t>5</w:t>
            </w:r>
          </w:p>
        </w:tc>
        <w:tc>
          <w:tcPr>
            <w:tcW w:w="446" w:type="dxa"/>
            <w:tcBorders/>
            <w:shd w:fill="CCEEFF" w:val="clear"/>
            <w:vAlign w:val="bottom"/>
          </w:tcPr>
          <w:p>
            <w:pPr>
              <w:pStyle w:val="TableContents"/>
              <w:spacing w:before="0" w:after="283"/>
              <w:rPr/>
            </w:pPr>
            <w:r>
              <w:rPr/>
              <w:t>%</w:t>
            </w:r>
          </w:p>
        </w:tc>
        <w:tc>
          <w:tcPr>
            <w:tcW w:w="326" w:type="dxa"/>
            <w:tcBorders/>
            <w:shd w:fill="CCEEFF" w:val="clear"/>
            <w:vAlign w:val="bottom"/>
          </w:tcPr>
          <w:p>
            <w:pPr>
              <w:pStyle w:val="TableContents"/>
              <w:spacing w:before="0" w:after="283"/>
              <w:rPr/>
            </w:pPr>
            <w:r>
              <w:rPr/>
              <w:t> </w:t>
            </w:r>
          </w:p>
        </w:tc>
        <w:tc>
          <w:tcPr>
            <w:tcW w:w="581"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0.3</w:t>
            </w:r>
          </w:p>
        </w:tc>
        <w:tc>
          <w:tcPr>
            <w:tcW w:w="352" w:type="dxa"/>
            <w:tcBorders/>
            <w:shd w:fill="CCEEFF" w:val="clear"/>
            <w:vAlign w:val="bottom"/>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3.</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i/>
              </w:rPr>
              <w:t>Gathering, Marketing, Terminalling and Storage Operations</w:t>
            </w:r>
            <w:r>
              <w:rPr/>
              <w:t>. The level of profit in the GMT&amp;S segment is influenced by overall market structure and the degree of volatility in the crude oil market as well as variable operating expenses. Operating results for the three-month period ending December 31, 2006 reflect an expected continuation of the current contango market and favorable market conditions (relative to our asset base and business model) generally consistent with the conditions experienced over most of 2005 and 2006 to date, although not quite as favorable as market conditions in the first nine months of 2006. Unexpected changes in market structure or volatility (or lack thereof) could cause actual results to differ materially from forecasted results.</w:t>
            </w:r>
          </w:p>
        </w:tc>
      </w:tr>
    </w:tbl>
    <w:tbl>
      <w:tblPr>
        <w:tblW w:w="4750" w:type="pct"/>
        <w:jc w:val="center"/>
        <w:tblInd w:w="0" w:type="dxa"/>
        <w:tblCellMar>
          <w:top w:w="0" w:type="dxa"/>
          <w:left w:w="0" w:type="dxa"/>
          <w:bottom w:w="0" w:type="dxa"/>
          <w:right w:w="0" w:type="dxa"/>
        </w:tblCellMar>
      </w:tblPr>
      <w:tblGrid>
        <w:gridCol w:w="3585"/>
        <w:gridCol w:w="251"/>
        <w:gridCol w:w="422"/>
        <w:gridCol w:w="1014"/>
        <w:gridCol w:w="174"/>
        <w:gridCol w:w="251"/>
        <w:gridCol w:w="432"/>
        <w:gridCol w:w="1033"/>
        <w:gridCol w:w="324"/>
        <w:gridCol w:w="251"/>
        <w:gridCol w:w="470"/>
        <w:gridCol w:w="1155"/>
        <w:gridCol w:w="332"/>
      </w:tblGrid>
      <w:tr>
        <w:trPr/>
        <w:tc>
          <w:tcPr>
            <w:tcW w:w="3585"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r>
      <w:tr>
        <w:trPr/>
        <w:tc>
          <w:tcPr>
            <w:tcW w:w="3585"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5526" w:type="dxa"/>
            <w:gridSpan w:val="10"/>
            <w:tcBorders>
              <w:bottom w:val="single" w:sz="2" w:space="0" w:color="000000"/>
            </w:tcBorders>
            <w:shd w:fill="auto" w:val="clear"/>
            <w:tcMar>
              <w:bottom w:w="28" w:type="dxa"/>
            </w:tcMar>
            <w:vAlign w:val="bottom"/>
          </w:tcPr>
          <w:p>
            <w:pPr>
              <w:pStyle w:val="TableContents"/>
              <w:spacing w:before="0" w:after="283"/>
              <w:jc w:val="center"/>
              <w:rPr/>
            </w:pPr>
            <w:r>
              <w:rPr/>
              <w:t>Calendar 2006</w:t>
            </w:r>
          </w:p>
        </w:tc>
        <w:tc>
          <w:tcPr>
            <w:tcW w:w="332" w:type="dxa"/>
            <w:tcBorders/>
            <w:shd w:fill="auto" w:val="clear"/>
            <w:vAlign w:val="bottom"/>
          </w:tcPr>
          <w:p>
            <w:pPr>
              <w:pStyle w:val="TableContents"/>
              <w:spacing w:before="0" w:after="283"/>
              <w:rPr/>
            </w:pPr>
            <w:r>
              <w:rPr/>
              <w:t> </w:t>
            </w:r>
          </w:p>
        </w:tc>
      </w:tr>
      <w:tr>
        <w:trPr/>
        <w:tc>
          <w:tcPr>
            <w:tcW w:w="3585"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436" w:type="dxa"/>
            <w:gridSpan w:val="2"/>
            <w:tcBorders>
              <w:bottom w:val="single" w:sz="2" w:space="0" w:color="000000"/>
            </w:tcBorders>
            <w:shd w:fill="auto" w:val="clear"/>
            <w:tcMar>
              <w:bottom w:w="28" w:type="dxa"/>
            </w:tcMar>
            <w:vAlign w:val="bottom"/>
          </w:tcPr>
          <w:p>
            <w:pPr>
              <w:pStyle w:val="TableContents"/>
              <w:spacing w:before="0" w:after="283"/>
              <w:jc w:val="center"/>
              <w:rPr/>
            </w:pPr>
            <w:r>
              <w:rPr/>
              <w:t>Actual</w:t>
            </w:r>
          </w:p>
        </w:tc>
        <w:tc>
          <w:tcPr>
            <w:tcW w:w="17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3665" w:type="dxa"/>
            <w:gridSpan w:val="6"/>
            <w:tcBorders>
              <w:bottom w:val="single" w:sz="2" w:space="0" w:color="000000"/>
            </w:tcBorders>
            <w:shd w:fill="auto" w:val="clear"/>
            <w:tcMar>
              <w:bottom w:w="28" w:type="dxa"/>
            </w:tcMar>
            <w:vAlign w:val="bottom"/>
          </w:tcPr>
          <w:p>
            <w:pPr>
              <w:pStyle w:val="TableContents"/>
              <w:spacing w:before="0" w:after="283"/>
              <w:jc w:val="center"/>
              <w:rPr/>
            </w:pPr>
            <w:r>
              <w:rPr/>
              <w:t>Guidance</w:t>
            </w:r>
          </w:p>
        </w:tc>
        <w:tc>
          <w:tcPr>
            <w:tcW w:w="332" w:type="dxa"/>
            <w:tcBorders/>
            <w:shd w:fill="auto" w:val="clear"/>
            <w:vAlign w:val="bottom"/>
          </w:tcPr>
          <w:p>
            <w:pPr>
              <w:pStyle w:val="TableContents"/>
              <w:spacing w:before="0" w:after="283"/>
              <w:rPr/>
            </w:pPr>
            <w:r>
              <w:rPr/>
              <w:t> </w:t>
            </w:r>
          </w:p>
        </w:tc>
      </w:tr>
      <w:tr>
        <w:trPr/>
        <w:tc>
          <w:tcPr>
            <w:tcW w:w="3585"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436" w:type="dxa"/>
            <w:gridSpan w:val="2"/>
            <w:tcBorders/>
            <w:shd w:fill="auto" w:val="clear"/>
            <w:vAlign w:val="bottom"/>
          </w:tcPr>
          <w:p>
            <w:pPr>
              <w:pStyle w:val="TableContents"/>
              <w:spacing w:before="0" w:after="283"/>
              <w:jc w:val="center"/>
              <w:rPr/>
            </w:pPr>
            <w:r>
              <w:rPr/>
              <w:t>Nine Months</w:t>
            </w:r>
          </w:p>
        </w:tc>
        <w:tc>
          <w:tcPr>
            <w:tcW w:w="17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465" w:type="dxa"/>
            <w:gridSpan w:val="2"/>
            <w:tcBorders/>
            <w:shd w:fill="auto" w:val="clear"/>
            <w:vAlign w:val="bottom"/>
          </w:tcPr>
          <w:p>
            <w:pPr>
              <w:pStyle w:val="TableContents"/>
              <w:spacing w:before="0" w:after="283"/>
              <w:jc w:val="center"/>
              <w:rPr/>
            </w:pPr>
            <w:r>
              <w:rPr/>
              <w:t>Three Months</w:t>
            </w:r>
          </w:p>
        </w:tc>
        <w:tc>
          <w:tcPr>
            <w:tcW w:w="32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625" w:type="dxa"/>
            <w:gridSpan w:val="2"/>
            <w:tcBorders/>
            <w:shd w:fill="auto" w:val="clear"/>
            <w:vAlign w:val="bottom"/>
          </w:tcPr>
          <w:p>
            <w:pPr>
              <w:pStyle w:val="TableContents"/>
              <w:spacing w:before="0" w:after="283"/>
              <w:jc w:val="center"/>
              <w:rPr/>
            </w:pPr>
            <w:r>
              <w:rPr/>
              <w:t>Twelve Months</w:t>
            </w:r>
          </w:p>
        </w:tc>
        <w:tc>
          <w:tcPr>
            <w:tcW w:w="332" w:type="dxa"/>
            <w:tcBorders/>
            <w:shd w:fill="auto" w:val="clear"/>
            <w:vAlign w:val="bottom"/>
          </w:tcPr>
          <w:p>
            <w:pPr>
              <w:pStyle w:val="TableContents"/>
              <w:spacing w:before="0" w:after="283"/>
              <w:rPr/>
            </w:pPr>
            <w:r>
              <w:rPr/>
              <w:t> </w:t>
            </w:r>
          </w:p>
        </w:tc>
      </w:tr>
      <w:tr>
        <w:trPr/>
        <w:tc>
          <w:tcPr>
            <w:tcW w:w="3585"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436" w:type="dxa"/>
            <w:gridSpan w:val="2"/>
            <w:tcBorders/>
            <w:shd w:fill="auto" w:val="clear"/>
            <w:vAlign w:val="bottom"/>
          </w:tcPr>
          <w:p>
            <w:pPr>
              <w:pStyle w:val="TableContents"/>
              <w:spacing w:before="0" w:after="283"/>
              <w:jc w:val="center"/>
              <w:rPr/>
            </w:pPr>
            <w:r>
              <w:rPr/>
              <w:t>Ended</w:t>
            </w:r>
          </w:p>
        </w:tc>
        <w:tc>
          <w:tcPr>
            <w:tcW w:w="17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465" w:type="dxa"/>
            <w:gridSpan w:val="2"/>
            <w:tcBorders/>
            <w:shd w:fill="auto" w:val="clear"/>
            <w:vAlign w:val="bottom"/>
          </w:tcPr>
          <w:p>
            <w:pPr>
              <w:pStyle w:val="TableContents"/>
              <w:spacing w:before="0" w:after="283"/>
              <w:jc w:val="center"/>
              <w:rPr/>
            </w:pPr>
            <w:r>
              <w:rPr/>
              <w:t>Ending</w:t>
            </w:r>
          </w:p>
        </w:tc>
        <w:tc>
          <w:tcPr>
            <w:tcW w:w="32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625" w:type="dxa"/>
            <w:gridSpan w:val="2"/>
            <w:tcBorders/>
            <w:shd w:fill="auto" w:val="clear"/>
            <w:vAlign w:val="bottom"/>
          </w:tcPr>
          <w:p>
            <w:pPr>
              <w:pStyle w:val="TableContents"/>
              <w:spacing w:before="0" w:after="283"/>
              <w:jc w:val="center"/>
              <w:rPr/>
            </w:pPr>
            <w:r>
              <w:rPr/>
              <w:t>Ending</w:t>
            </w:r>
          </w:p>
        </w:tc>
        <w:tc>
          <w:tcPr>
            <w:tcW w:w="332" w:type="dxa"/>
            <w:tcBorders/>
            <w:shd w:fill="auto" w:val="clear"/>
            <w:vAlign w:val="bottom"/>
          </w:tcPr>
          <w:p>
            <w:pPr>
              <w:pStyle w:val="TableContents"/>
              <w:spacing w:before="0" w:after="283"/>
              <w:rPr/>
            </w:pPr>
            <w:r>
              <w:rPr/>
              <w:t> </w:t>
            </w:r>
          </w:p>
        </w:tc>
      </w:tr>
      <w:tr>
        <w:trPr/>
        <w:tc>
          <w:tcPr>
            <w:tcW w:w="3585"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436" w:type="dxa"/>
            <w:gridSpan w:val="2"/>
            <w:tcBorders>
              <w:bottom w:val="single" w:sz="2" w:space="0" w:color="000000"/>
            </w:tcBorders>
            <w:shd w:fill="auto" w:val="clear"/>
            <w:tcMar>
              <w:bottom w:w="28" w:type="dxa"/>
            </w:tcMar>
            <w:vAlign w:val="bottom"/>
          </w:tcPr>
          <w:p>
            <w:pPr>
              <w:pStyle w:val="TableContents"/>
              <w:spacing w:before="0" w:after="283"/>
              <w:jc w:val="center"/>
              <w:rPr/>
            </w:pPr>
            <w:r>
              <w:rPr/>
              <w:t>September 30</w:t>
            </w:r>
          </w:p>
        </w:tc>
        <w:tc>
          <w:tcPr>
            <w:tcW w:w="17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465"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32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625" w:type="dxa"/>
            <w:gridSpan w:val="2"/>
            <w:tcBorders>
              <w:bottom w:val="single" w:sz="2" w:space="0" w:color="000000"/>
            </w:tcBorders>
            <w:shd w:fill="auto" w:val="clear"/>
            <w:tcMar>
              <w:bottom w:w="28" w:type="dxa"/>
            </w:tcMar>
            <w:vAlign w:val="bottom"/>
          </w:tcPr>
          <w:p>
            <w:pPr>
              <w:pStyle w:val="TableContents"/>
              <w:spacing w:before="0" w:after="283"/>
              <w:jc w:val="center"/>
              <w:rPr/>
            </w:pPr>
            <w:r>
              <w:rPr/>
              <w:t>December 31</w:t>
            </w:r>
          </w:p>
        </w:tc>
        <w:tc>
          <w:tcPr>
            <w:tcW w:w="332" w:type="dxa"/>
            <w:tcBorders/>
            <w:shd w:fill="auto" w:val="clear"/>
            <w:vAlign w:val="bottom"/>
          </w:tcPr>
          <w:p>
            <w:pPr>
              <w:pStyle w:val="TableContents"/>
              <w:spacing w:before="0" w:after="283"/>
              <w:rPr/>
            </w:pPr>
            <w:r>
              <w:rPr/>
              <w:t> </w:t>
            </w:r>
          </w:p>
        </w:tc>
      </w:tr>
      <w:tr>
        <w:trPr/>
        <w:tc>
          <w:tcPr>
            <w:tcW w:w="3585" w:type="dxa"/>
            <w:tcBorders/>
            <w:shd w:fill="CCEEFF" w:val="clear"/>
            <w:vAlign w:val="bottom"/>
          </w:tcPr>
          <w:p>
            <w:pPr>
              <w:pStyle w:val="TableContents"/>
              <w:spacing w:before="0" w:after="0"/>
              <w:ind w:left="225" w:right="0" w:hanging="225"/>
              <w:rPr/>
            </w:pPr>
            <w:r>
              <w:rPr/>
              <w:t>Average Daily Volumes (000 Bbls/d)</w:t>
            </w:r>
          </w:p>
        </w:tc>
        <w:tc>
          <w:tcPr>
            <w:tcW w:w="251"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r>
      <w:tr>
        <w:trPr/>
        <w:tc>
          <w:tcPr>
            <w:tcW w:w="3585" w:type="dxa"/>
            <w:tcBorders/>
            <w:shd w:fill="auto" w:val="clear"/>
            <w:vAlign w:val="bottom"/>
          </w:tcPr>
          <w:p>
            <w:pPr>
              <w:pStyle w:val="TableContents"/>
              <w:spacing w:before="0" w:after="0"/>
              <w:ind w:left="450" w:right="0" w:hanging="225"/>
              <w:rPr/>
            </w:pPr>
            <w:r>
              <w:rPr/>
              <w:t>Crude Oil Lease Gathering</w:t>
            </w:r>
          </w:p>
        </w:tc>
        <w:tc>
          <w:tcPr>
            <w:tcW w:w="251"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639</w:t>
            </w:r>
          </w:p>
        </w:tc>
        <w:tc>
          <w:tcPr>
            <w:tcW w:w="17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650</w:t>
            </w:r>
          </w:p>
        </w:tc>
        <w:tc>
          <w:tcPr>
            <w:tcW w:w="32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642</w:t>
            </w:r>
          </w:p>
        </w:tc>
        <w:tc>
          <w:tcPr>
            <w:tcW w:w="332" w:type="dxa"/>
            <w:tcBorders/>
            <w:shd w:fill="auto" w:val="clear"/>
            <w:vAlign w:val="bottom"/>
          </w:tcPr>
          <w:p>
            <w:pPr>
              <w:pStyle w:val="TableContents"/>
              <w:spacing w:before="0" w:after="283"/>
              <w:rPr/>
            </w:pPr>
            <w:r>
              <w:rPr/>
              <w:t> </w:t>
            </w:r>
          </w:p>
        </w:tc>
      </w:tr>
      <w:tr>
        <w:trPr/>
        <w:tc>
          <w:tcPr>
            <w:tcW w:w="3585" w:type="dxa"/>
            <w:tcBorders/>
            <w:shd w:fill="CCEEFF" w:val="clear"/>
            <w:vAlign w:val="bottom"/>
          </w:tcPr>
          <w:p>
            <w:pPr>
              <w:pStyle w:val="TableContents"/>
              <w:spacing w:before="0" w:after="0"/>
              <w:ind w:left="450" w:right="0" w:hanging="225"/>
              <w:rPr/>
            </w:pPr>
            <w:r>
              <w:rPr/>
              <w:t>LPG Sales and Third Party Processing</w:t>
            </w:r>
          </w:p>
        </w:tc>
        <w:tc>
          <w:tcPr>
            <w:tcW w:w="251"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60</w:t>
            </w:r>
          </w:p>
        </w:tc>
        <w:tc>
          <w:tcPr>
            <w:tcW w:w="174"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90</w:t>
            </w:r>
          </w:p>
        </w:tc>
        <w:tc>
          <w:tcPr>
            <w:tcW w:w="324"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68</w:t>
            </w:r>
          </w:p>
        </w:tc>
        <w:tc>
          <w:tcPr>
            <w:tcW w:w="332" w:type="dxa"/>
            <w:tcBorders/>
            <w:shd w:fill="CCEEFF" w:val="clear"/>
            <w:vAlign w:val="bottom"/>
          </w:tcPr>
          <w:p>
            <w:pPr>
              <w:pStyle w:val="TableContents"/>
              <w:spacing w:before="0" w:after="283"/>
              <w:rPr/>
            </w:pPr>
            <w:r>
              <w:rPr/>
              <w:t> </w:t>
            </w:r>
          </w:p>
        </w:tc>
      </w:tr>
      <w:tr>
        <w:trPr/>
        <w:tc>
          <w:tcPr>
            <w:tcW w:w="3585" w:type="dxa"/>
            <w:tcBorders/>
            <w:shd w:fill="auto" w:val="clear"/>
            <w:vAlign w:val="bottom"/>
          </w:tcPr>
          <w:p>
            <w:pPr>
              <w:pStyle w:val="TableContents"/>
              <w:spacing w:before="0" w:after="0"/>
              <w:ind w:left="450" w:right="0" w:hanging="225"/>
              <w:rPr/>
            </w:pPr>
            <w:r>
              <w:rPr/>
              <w:t>Waterborne foreign crude imported</w:t>
            </w:r>
          </w:p>
        </w:tc>
        <w:tc>
          <w:tcPr>
            <w:tcW w:w="251"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59</w:t>
            </w:r>
          </w:p>
        </w:tc>
        <w:tc>
          <w:tcPr>
            <w:tcW w:w="17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50</w:t>
            </w:r>
          </w:p>
        </w:tc>
        <w:tc>
          <w:tcPr>
            <w:tcW w:w="32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57</w:t>
            </w:r>
          </w:p>
        </w:tc>
        <w:tc>
          <w:tcPr>
            <w:tcW w:w="332" w:type="dxa"/>
            <w:tcBorders/>
            <w:shd w:fill="auto" w:val="clear"/>
            <w:vAlign w:val="bottom"/>
          </w:tcPr>
          <w:p>
            <w:pPr>
              <w:pStyle w:val="TableContents"/>
              <w:spacing w:before="0" w:after="283"/>
              <w:rPr/>
            </w:pPr>
            <w:r>
              <w:rPr/>
              <w:t> </w:t>
            </w:r>
          </w:p>
        </w:tc>
      </w:tr>
      <w:tr>
        <w:trPr/>
        <w:tc>
          <w:tcPr>
            <w:tcW w:w="3585" w:type="dxa"/>
            <w:tcBorders/>
            <w:shd w:fill="auto" w:val="clear"/>
            <w:vAlign w:val="center"/>
          </w:tcPr>
          <w:p>
            <w:pPr>
              <w:pStyle w:val="TableContents"/>
              <w:spacing w:before="0" w:after="0"/>
              <w:ind w:left="225" w:right="0" w:hanging="225"/>
              <w:rPr/>
            </w:pPr>
            <w:r>
              <w:rPr/>
              <w:t> </w:t>
            </w:r>
          </w:p>
        </w:tc>
        <w:tc>
          <w:tcPr>
            <w:tcW w:w="251" w:type="dxa"/>
            <w:tcBorders/>
            <w:shd w:fill="auto" w:val="clear"/>
            <w:vAlign w:val="center"/>
          </w:tcPr>
          <w:p>
            <w:pPr>
              <w:pStyle w:val="TableContents"/>
              <w:spacing w:before="0" w:after="283"/>
              <w:rPr/>
            </w:pPr>
            <w:r>
              <w:rPr/>
              <w:t> </w:t>
            </w:r>
          </w:p>
        </w:tc>
        <w:tc>
          <w:tcPr>
            <w:tcW w:w="14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4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24"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6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r>
      <w:tr>
        <w:trPr/>
        <w:tc>
          <w:tcPr>
            <w:tcW w:w="3585" w:type="dxa"/>
            <w:tcBorders/>
            <w:shd w:fill="CCEEFF" w:val="clear"/>
            <w:vAlign w:val="bottom"/>
          </w:tcPr>
          <w:p>
            <w:pPr>
              <w:pStyle w:val="TableContents"/>
              <w:spacing w:before="0" w:after="0"/>
              <w:ind w:left="225" w:right="0" w:hanging="225"/>
              <w:rPr/>
            </w:pPr>
            <w:r>
              <w:rPr/>
              <w:t> </w:t>
            </w:r>
          </w:p>
        </w:tc>
        <w:tc>
          <w:tcPr>
            <w:tcW w:w="251"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758</w:t>
            </w:r>
          </w:p>
        </w:tc>
        <w:tc>
          <w:tcPr>
            <w:tcW w:w="174"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790</w:t>
            </w:r>
          </w:p>
        </w:tc>
        <w:tc>
          <w:tcPr>
            <w:tcW w:w="324"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767</w:t>
            </w:r>
          </w:p>
        </w:tc>
        <w:tc>
          <w:tcPr>
            <w:tcW w:w="332" w:type="dxa"/>
            <w:tcBorders/>
            <w:shd w:fill="CCEEFF" w:val="clear"/>
            <w:vAlign w:val="bottom"/>
          </w:tcPr>
          <w:p>
            <w:pPr>
              <w:pStyle w:val="TableContents"/>
              <w:spacing w:before="0" w:after="283"/>
              <w:rPr/>
            </w:pPr>
            <w:r>
              <w:rPr/>
              <w:t> </w:t>
            </w:r>
          </w:p>
        </w:tc>
      </w:tr>
      <w:tr>
        <w:trPr/>
        <w:tc>
          <w:tcPr>
            <w:tcW w:w="3585" w:type="dxa"/>
            <w:tcBorders/>
            <w:shd w:fill="auto" w:val="clear"/>
            <w:vAlign w:val="center"/>
          </w:tcPr>
          <w:p>
            <w:pPr>
              <w:pStyle w:val="TableContents"/>
              <w:spacing w:before="0" w:after="0"/>
              <w:ind w:left="225" w:right="0" w:hanging="225"/>
              <w:rPr/>
            </w:pPr>
            <w:r>
              <w:rPr/>
              <w:t> </w:t>
            </w:r>
          </w:p>
        </w:tc>
        <w:tc>
          <w:tcPr>
            <w:tcW w:w="251" w:type="dxa"/>
            <w:tcBorders/>
            <w:shd w:fill="auto" w:val="clear"/>
            <w:vAlign w:val="center"/>
          </w:tcPr>
          <w:p>
            <w:pPr>
              <w:pStyle w:val="TableContents"/>
              <w:spacing w:before="0" w:after="283"/>
              <w:rPr/>
            </w:pPr>
            <w:r>
              <w:rPr/>
              <w:t> </w:t>
            </w:r>
          </w:p>
        </w:tc>
        <w:tc>
          <w:tcPr>
            <w:tcW w:w="14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4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24"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6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r>
      <w:tr>
        <w:trPr/>
        <w:tc>
          <w:tcPr>
            <w:tcW w:w="3585" w:type="dxa"/>
            <w:tcBorders/>
            <w:shd w:fill="auto" w:val="clear"/>
            <w:vAlign w:val="bottom"/>
          </w:tcPr>
          <w:p>
            <w:pPr>
              <w:pStyle w:val="TableContents"/>
              <w:spacing w:before="0" w:after="0"/>
              <w:ind w:left="225" w:right="0" w:hanging="225"/>
              <w:rPr/>
            </w:pPr>
            <w:r>
              <w:rPr/>
              <w:t> </w:t>
            </w:r>
          </w:p>
        </w:tc>
        <w:tc>
          <w:tcPr>
            <w:tcW w:w="251"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r>
      <w:tr>
        <w:trPr/>
        <w:tc>
          <w:tcPr>
            <w:tcW w:w="3585" w:type="dxa"/>
            <w:tcBorders/>
            <w:shd w:fill="auto" w:val="clear"/>
            <w:vAlign w:val="bottom"/>
          </w:tcPr>
          <w:p>
            <w:pPr>
              <w:pStyle w:val="TableContents"/>
              <w:spacing w:before="0" w:after="0"/>
              <w:ind w:left="225" w:right="0" w:hanging="225"/>
              <w:rPr/>
            </w:pPr>
            <w:r>
              <w:rPr/>
              <w:t>Segment Profit per Barrel ($/Bbl)</w:t>
            </w:r>
          </w:p>
        </w:tc>
        <w:tc>
          <w:tcPr>
            <w:tcW w:w="251"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r>
      <w:tr>
        <w:trPr/>
        <w:tc>
          <w:tcPr>
            <w:tcW w:w="3585" w:type="dxa"/>
            <w:tcBorders/>
            <w:shd w:fill="CCEEFF" w:val="clear"/>
            <w:vAlign w:val="bottom"/>
          </w:tcPr>
          <w:p>
            <w:pPr>
              <w:pStyle w:val="TableContents"/>
              <w:spacing w:before="0" w:after="0"/>
              <w:ind w:left="450" w:right="0" w:hanging="225"/>
              <w:rPr/>
            </w:pPr>
            <w:r>
              <w:rPr/>
              <w:t>As Reported</w:t>
            </w:r>
          </w:p>
        </w:tc>
        <w:tc>
          <w:tcPr>
            <w:tcW w:w="251"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left"/>
              <w:rPr/>
            </w:pPr>
            <w:r>
              <w:rPr/>
              <w:t>$</w:t>
            </w:r>
          </w:p>
        </w:tc>
        <w:tc>
          <w:tcPr>
            <w:tcW w:w="1014" w:type="dxa"/>
            <w:tcBorders/>
            <w:shd w:fill="CCEEFF" w:val="clear"/>
            <w:vAlign w:val="bottom"/>
          </w:tcPr>
          <w:p>
            <w:pPr>
              <w:pStyle w:val="TableContents"/>
              <w:spacing w:before="0" w:after="283"/>
              <w:jc w:val="right"/>
              <w:rPr/>
            </w:pPr>
            <w:r>
              <w:rPr/>
              <w:t>1.00</w:t>
            </w:r>
          </w:p>
        </w:tc>
        <w:tc>
          <w:tcPr>
            <w:tcW w:w="174"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left"/>
              <w:rPr/>
            </w:pPr>
            <w:r>
              <w:rPr/>
              <w:t>$</w:t>
            </w:r>
          </w:p>
        </w:tc>
        <w:tc>
          <w:tcPr>
            <w:tcW w:w="1033" w:type="dxa"/>
            <w:tcBorders/>
            <w:shd w:fill="CCEEFF" w:val="clear"/>
            <w:vAlign w:val="bottom"/>
          </w:tcPr>
          <w:p>
            <w:pPr>
              <w:pStyle w:val="TableContents"/>
              <w:spacing w:before="0" w:after="283"/>
              <w:jc w:val="right"/>
              <w:rPr/>
            </w:pPr>
            <w:r>
              <w:rPr/>
              <w:t>0.77</w:t>
            </w:r>
          </w:p>
        </w:tc>
        <w:tc>
          <w:tcPr>
            <w:tcW w:w="324" w:type="dxa"/>
            <w:tcBorders/>
            <w:shd w:fill="CCEEFF" w:val="clear"/>
            <w:vAlign w:val="bottom"/>
          </w:tcPr>
          <w:p>
            <w:pPr>
              <w:pStyle w:val="TableContents"/>
              <w:spacing w:before="0" w:after="283"/>
              <w:rPr/>
            </w:pPr>
            <w:r>
              <w:rPr/>
              <w:t>(1)</w:t>
            </w:r>
          </w:p>
        </w:tc>
        <w:tc>
          <w:tcPr>
            <w:tcW w:w="251"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jc w:val="left"/>
              <w:rPr/>
            </w:pPr>
            <w:r>
              <w:rPr/>
              <w:t>$</w:t>
            </w:r>
          </w:p>
        </w:tc>
        <w:tc>
          <w:tcPr>
            <w:tcW w:w="1155" w:type="dxa"/>
            <w:tcBorders/>
            <w:shd w:fill="CCEEFF" w:val="clear"/>
            <w:vAlign w:val="bottom"/>
          </w:tcPr>
          <w:p>
            <w:pPr>
              <w:pStyle w:val="TableContents"/>
              <w:spacing w:before="0" w:after="283"/>
              <w:jc w:val="right"/>
              <w:rPr/>
            </w:pPr>
            <w:r>
              <w:rPr/>
              <w:t>0.94</w:t>
            </w:r>
          </w:p>
        </w:tc>
        <w:tc>
          <w:tcPr>
            <w:tcW w:w="332" w:type="dxa"/>
            <w:tcBorders/>
            <w:shd w:fill="CCEEFF" w:val="clear"/>
            <w:vAlign w:val="bottom"/>
          </w:tcPr>
          <w:p>
            <w:pPr>
              <w:pStyle w:val="TableContents"/>
              <w:spacing w:before="0" w:after="283"/>
              <w:rPr/>
            </w:pPr>
            <w:r>
              <w:rPr/>
              <w:t>(1)</w:t>
            </w:r>
          </w:p>
        </w:tc>
      </w:tr>
      <w:tr>
        <w:trPr/>
        <w:tc>
          <w:tcPr>
            <w:tcW w:w="3585" w:type="dxa"/>
            <w:tcBorders/>
            <w:shd w:fill="auto" w:val="clear"/>
            <w:vAlign w:val="center"/>
          </w:tcPr>
          <w:p>
            <w:pPr>
              <w:pStyle w:val="TableContents"/>
              <w:spacing w:before="0" w:after="0"/>
              <w:ind w:left="225" w:right="0" w:hanging="225"/>
              <w:rPr/>
            </w:pPr>
            <w:r>
              <w:rPr/>
              <w:t> </w:t>
            </w:r>
          </w:p>
        </w:tc>
        <w:tc>
          <w:tcPr>
            <w:tcW w:w="251" w:type="dxa"/>
            <w:tcBorders/>
            <w:shd w:fill="auto" w:val="clear"/>
            <w:vAlign w:val="center"/>
          </w:tcPr>
          <w:p>
            <w:pPr>
              <w:pStyle w:val="TableContents"/>
              <w:spacing w:before="0" w:after="283"/>
              <w:rPr/>
            </w:pPr>
            <w:r>
              <w:rPr/>
              <w:t> </w:t>
            </w:r>
          </w:p>
        </w:tc>
        <w:tc>
          <w:tcPr>
            <w:tcW w:w="14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4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24"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6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r>
      <w:tr>
        <w:trPr/>
        <w:tc>
          <w:tcPr>
            <w:tcW w:w="3585" w:type="dxa"/>
            <w:tcBorders/>
            <w:shd w:fill="auto" w:val="clear"/>
            <w:vAlign w:val="bottom"/>
          </w:tcPr>
          <w:p>
            <w:pPr>
              <w:pStyle w:val="TableContents"/>
              <w:spacing w:before="0" w:after="0"/>
              <w:ind w:left="450" w:right="0" w:hanging="225"/>
              <w:rPr/>
            </w:pPr>
            <w:r>
              <w:rPr/>
              <w:t>Excluding Selected Items Impacting Comparability</w:t>
            </w:r>
          </w:p>
        </w:tc>
        <w:tc>
          <w:tcPr>
            <w:tcW w:w="251"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left"/>
              <w:rPr/>
            </w:pPr>
            <w:r>
              <w:rPr/>
              <w:t>$</w:t>
            </w:r>
          </w:p>
        </w:tc>
        <w:tc>
          <w:tcPr>
            <w:tcW w:w="1014" w:type="dxa"/>
            <w:tcBorders/>
            <w:shd w:fill="auto" w:val="clear"/>
            <w:vAlign w:val="bottom"/>
          </w:tcPr>
          <w:p>
            <w:pPr>
              <w:pStyle w:val="TableContents"/>
              <w:spacing w:before="0" w:after="283"/>
              <w:jc w:val="right"/>
              <w:rPr/>
            </w:pPr>
            <w:r>
              <w:rPr/>
              <w:t>1.00</w:t>
            </w:r>
          </w:p>
        </w:tc>
        <w:tc>
          <w:tcPr>
            <w:tcW w:w="174"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left"/>
              <w:rPr/>
            </w:pPr>
            <w:r>
              <w:rPr/>
              <w:t>$</w:t>
            </w:r>
          </w:p>
        </w:tc>
        <w:tc>
          <w:tcPr>
            <w:tcW w:w="1033" w:type="dxa"/>
            <w:tcBorders/>
            <w:shd w:fill="auto" w:val="clear"/>
            <w:vAlign w:val="bottom"/>
          </w:tcPr>
          <w:p>
            <w:pPr>
              <w:pStyle w:val="TableContents"/>
              <w:spacing w:before="0" w:after="283"/>
              <w:jc w:val="right"/>
              <w:rPr/>
            </w:pPr>
            <w:r>
              <w:rPr/>
              <w:t>0.83</w:t>
            </w:r>
          </w:p>
        </w:tc>
        <w:tc>
          <w:tcPr>
            <w:tcW w:w="324" w:type="dxa"/>
            <w:tcBorders/>
            <w:shd w:fill="auto" w:val="clear"/>
            <w:vAlign w:val="bottom"/>
          </w:tcPr>
          <w:p>
            <w:pPr>
              <w:pStyle w:val="TableContents"/>
              <w:spacing w:before="0" w:after="283"/>
              <w:rPr/>
            </w:pPr>
            <w:r>
              <w:rPr/>
              <w:t>(1)</w:t>
            </w:r>
          </w:p>
        </w:tc>
        <w:tc>
          <w:tcPr>
            <w:tcW w:w="25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left"/>
              <w:rPr/>
            </w:pPr>
            <w:r>
              <w:rPr/>
              <w:t>$</w:t>
            </w:r>
          </w:p>
        </w:tc>
        <w:tc>
          <w:tcPr>
            <w:tcW w:w="1155" w:type="dxa"/>
            <w:tcBorders/>
            <w:shd w:fill="auto" w:val="clear"/>
            <w:vAlign w:val="bottom"/>
          </w:tcPr>
          <w:p>
            <w:pPr>
              <w:pStyle w:val="TableContents"/>
              <w:spacing w:before="0" w:after="283"/>
              <w:jc w:val="right"/>
              <w:rPr/>
            </w:pPr>
            <w:r>
              <w:rPr/>
              <w:t>0.95</w:t>
            </w:r>
          </w:p>
        </w:tc>
        <w:tc>
          <w:tcPr>
            <w:tcW w:w="332" w:type="dxa"/>
            <w:tcBorders/>
            <w:shd w:fill="auto" w:val="clear"/>
            <w:vAlign w:val="bottom"/>
          </w:tcPr>
          <w:p>
            <w:pPr>
              <w:pStyle w:val="TableContents"/>
              <w:spacing w:before="0" w:after="283"/>
              <w:rPr/>
            </w:pPr>
            <w:r>
              <w:rPr/>
              <w:t>(1)</w:t>
            </w:r>
          </w:p>
        </w:tc>
      </w:tr>
      <w:tr>
        <w:trPr/>
        <w:tc>
          <w:tcPr>
            <w:tcW w:w="3585" w:type="dxa"/>
            <w:tcBorders/>
            <w:shd w:fill="auto" w:val="clear"/>
            <w:vAlign w:val="center"/>
          </w:tcPr>
          <w:p>
            <w:pPr>
              <w:pStyle w:val="TableContents"/>
              <w:spacing w:before="0" w:after="0"/>
              <w:ind w:left="225" w:right="0" w:hanging="225"/>
              <w:rPr/>
            </w:pPr>
            <w:r>
              <w:rPr/>
              <w:t> </w:t>
            </w:r>
          </w:p>
        </w:tc>
        <w:tc>
          <w:tcPr>
            <w:tcW w:w="251" w:type="dxa"/>
            <w:tcBorders/>
            <w:shd w:fill="auto" w:val="clear"/>
            <w:vAlign w:val="center"/>
          </w:tcPr>
          <w:p>
            <w:pPr>
              <w:pStyle w:val="TableContents"/>
              <w:spacing w:before="0" w:after="283"/>
              <w:rPr/>
            </w:pPr>
            <w:r>
              <w:rPr/>
              <w:t> </w:t>
            </w:r>
          </w:p>
        </w:tc>
        <w:tc>
          <w:tcPr>
            <w:tcW w:w="14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4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24"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6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32" w:type="dxa"/>
            <w:tcBorders/>
            <w:shd w:fill="auto" w:val="clear"/>
            <w:vAlign w:val="center"/>
          </w:tcPr>
          <w:p>
            <w:pPr>
              <w:pStyle w:val="TableContents"/>
              <w:spacing w:before="0" w:after="283"/>
              <w:rPr/>
            </w:pPr>
            <w:r>
              <w:rPr/>
              <w:t> </w:t>
            </w:r>
          </w:p>
        </w:tc>
      </w:tr>
    </w:tbl>
    <w:tbl>
      <w:tblPr>
        <w:tblW w:w="4750" w:type="pct"/>
        <w:jc w:val="center"/>
        <w:tblInd w:w="0" w:type="dxa"/>
        <w:tblCellMar>
          <w:top w:w="0" w:type="dxa"/>
          <w:left w:w="0" w:type="dxa"/>
          <w:bottom w:w="0" w:type="dxa"/>
          <w:right w:w="0" w:type="dxa"/>
        </w:tblCellMar>
      </w:tblPr>
      <w:tblGrid>
        <w:gridCol w:w="2423"/>
        <w:gridCol w:w="7271"/>
      </w:tblGrid>
      <w:tr>
        <w:trPr/>
        <w:tc>
          <w:tcPr>
            <w:tcW w:w="2423" w:type="dxa"/>
            <w:tcBorders/>
            <w:shd w:fill="auto" w:val="clear"/>
            <w:vAlign w:val="center"/>
          </w:tcPr>
          <w:p>
            <w:pPr>
              <w:pStyle w:val="TableContents"/>
              <w:spacing w:before="0" w:after="283"/>
              <w:rPr>
                <w:sz w:val="4"/>
                <w:szCs w:val="4"/>
              </w:rPr>
            </w:pPr>
            <w:r>
              <w:rPr>
                <w:sz w:val="4"/>
                <w:szCs w:val="4"/>
              </w:rPr>
            </w:r>
          </w:p>
        </w:tc>
        <w:tc>
          <w:tcPr>
            <w:tcW w:w="7271" w:type="dxa"/>
            <w:tcBorders/>
            <w:shd w:fill="auto" w:val="clear"/>
            <w:vAlign w:val="center"/>
          </w:tcPr>
          <w:p>
            <w:pPr>
              <w:pStyle w:val="TableContents"/>
              <w:spacing w:before="0" w:after="283"/>
              <w:rPr>
                <w:sz w:val="4"/>
                <w:szCs w:val="4"/>
              </w:rPr>
            </w:pPr>
            <w:r>
              <w:rPr>
                <w:sz w:val="4"/>
                <w:szCs w:val="4"/>
              </w:rPr>
            </w:r>
          </w:p>
        </w:tc>
      </w:tr>
      <w:tr>
        <w:trPr/>
        <w:tc>
          <w:tcPr>
            <w:tcW w:w="2423" w:type="dxa"/>
            <w:tcBorders>
              <w:bottom w:val="double" w:sz="2" w:space="0" w:color="000000"/>
            </w:tcBorders>
            <w:shd w:fill="auto" w:val="clear"/>
            <w:tcMar>
              <w:bottom w:w="28" w:type="dxa"/>
            </w:tcMar>
          </w:tcPr>
          <w:p>
            <w:pPr>
              <w:pStyle w:val="TableContents"/>
              <w:spacing w:before="0" w:after="283"/>
              <w:rPr/>
            </w:pPr>
            <w:r>
              <w:rPr/>
              <w:t> </w:t>
            </w:r>
          </w:p>
        </w:tc>
        <w:tc>
          <w:tcPr>
            <w:tcW w:w="7271" w:type="dxa"/>
            <w:tcBorders/>
            <w:shd w:fill="auto" w:val="clear"/>
          </w:tcPr>
          <w:p>
            <w:pPr>
              <w:pStyle w:val="TableContents"/>
              <w:spacing w:before="0" w:after="283"/>
              <w:rPr>
                <w:sz w:val="4"/>
                <w:szCs w:val="4"/>
              </w:rPr>
            </w:pPr>
            <w:r>
              <w:rPr>
                <w:sz w:val="4"/>
                <w:szCs w:val="4"/>
              </w:rPr>
            </w:r>
          </w:p>
        </w:tc>
      </w:tr>
    </w:tbl>
    <w:tbl>
      <w:tblPr>
        <w:tblW w:w="4750" w:type="pct"/>
        <w:jc w:val="center"/>
        <w:tblInd w:w="0" w:type="dxa"/>
        <w:tblCellMar>
          <w:top w:w="0" w:type="dxa"/>
          <w:left w:w="0" w:type="dxa"/>
          <w:bottom w:w="0" w:type="dxa"/>
          <w:right w:w="0" w:type="dxa"/>
        </w:tblCellMar>
      </w:tblPr>
      <w:tblGrid>
        <w:gridCol w:w="6546"/>
        <w:gridCol w:w="2182"/>
        <w:gridCol w:w="966"/>
      </w:tblGrid>
      <w:tr>
        <w:trPr/>
        <w:tc>
          <w:tcPr>
            <w:tcW w:w="6546" w:type="dxa"/>
            <w:tcBorders/>
            <w:shd w:fill="auto" w:val="clear"/>
            <w:vAlign w:val="center"/>
          </w:tcPr>
          <w:p>
            <w:pPr>
              <w:pStyle w:val="TableContents"/>
              <w:spacing w:before="0" w:after="283"/>
              <w:rPr>
                <w:sz w:val="4"/>
                <w:szCs w:val="4"/>
              </w:rPr>
            </w:pPr>
            <w:r>
              <w:rPr>
                <w:sz w:val="4"/>
                <w:szCs w:val="4"/>
              </w:rPr>
            </w:r>
          </w:p>
        </w:tc>
        <w:tc>
          <w:tcPr>
            <w:tcW w:w="218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r>
      <w:tr>
        <w:trPr/>
        <w:tc>
          <w:tcPr>
            <w:tcW w:w="6546" w:type="dxa"/>
            <w:tcBorders/>
            <w:shd w:fill="auto" w:val="clear"/>
          </w:tcPr>
          <w:p>
            <w:pPr>
              <w:pStyle w:val="TableContents"/>
              <w:spacing w:before="0" w:after="283"/>
              <w:jc w:val="left"/>
              <w:rPr/>
            </w:pPr>
            <w:r>
              <w:rPr/>
              <w:t>(1)</w:t>
            </w:r>
          </w:p>
        </w:tc>
        <w:tc>
          <w:tcPr>
            <w:tcW w:w="2182" w:type="dxa"/>
            <w:tcBorders/>
            <w:shd w:fill="auto" w:val="clear"/>
          </w:tcPr>
          <w:p>
            <w:pPr>
              <w:pStyle w:val="TableContents"/>
              <w:spacing w:before="0" w:after="283"/>
              <w:rPr/>
            </w:pPr>
            <w:r>
              <w:rPr/>
              <w:t> </w:t>
            </w:r>
          </w:p>
        </w:tc>
        <w:tc>
          <w:tcPr>
            <w:tcW w:w="966" w:type="dxa"/>
            <w:tcBorders/>
            <w:shd w:fill="auto" w:val="clear"/>
          </w:tcPr>
          <w:p>
            <w:pPr>
              <w:pStyle w:val="TableContents"/>
              <w:spacing w:before="0" w:after="283"/>
              <w:rPr/>
            </w:pPr>
            <w:r>
              <w:rPr/>
              <w:t>Mid-point of guidance.</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Segment profit is forecast using the volume assumptions stated above and estimates of unit margins, field operating costs, G&amp;A expenses and carrying costs for contango inventory based on current and anticipated market conditions. Field operating costs do not include depreciation. Realized unit margins for any given lease-gathered barrel could vary significantly based on a variety of factors including location, quality and contract structure. Based on our mid-point projection of adjusted segment profit per barrel for the three months ending December 31, 2006, a 15,000 Bbl/d variance in lease gathering volumes would impact fourth-quarter segment profits by approximately $1.0 million. A $0.01 variance in the aggregate average per-barrel margin would impact fourth-quarter segment profits by approximately $0.7 million. </w:t>
      </w:r>
    </w:p>
    <w:tbl>
      <w:tblPr>
        <w:tblW w:w="5000" w:type="pct"/>
        <w:jc w:val="left"/>
        <w:tblInd w:w="0" w:type="dxa"/>
        <w:tblCellMar>
          <w:top w:w="0" w:type="dxa"/>
          <w:left w:w="0" w:type="dxa"/>
          <w:bottom w:w="0" w:type="dxa"/>
          <w:right w:w="0" w:type="dxa"/>
        </w:tblCellMar>
      </w:tblPr>
      <w:tblGrid>
        <w:gridCol w:w="208"/>
        <w:gridCol w:w="127"/>
        <w:gridCol w:w="9870"/>
      </w:tblGrid>
      <w:tr>
        <w:trPr/>
        <w:tc>
          <w:tcPr>
            <w:tcW w:w="208" w:type="dxa"/>
            <w:tcBorders/>
            <w:shd w:fill="auto" w:val="clear"/>
          </w:tcPr>
          <w:p>
            <w:pPr>
              <w:pStyle w:val="TableContents"/>
              <w:spacing w:before="0" w:after="283"/>
              <w:jc w:val="left"/>
              <w:rPr/>
            </w:pPr>
            <w:r>
              <w:rPr/>
              <w:t>4.</w:t>
            </w:r>
          </w:p>
        </w:tc>
        <w:tc>
          <w:tcPr>
            <w:tcW w:w="127"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i/>
              </w:rPr>
              <w:t xml:space="preserve">Depreciation and Amortization. </w:t>
            </w:r>
            <w:r>
              <w:rPr/>
              <w:t>Depreciation and amortization are forecast based on our existing depreciable assets and forecasted capital expenditures. Depreciation is computed using the straight-line method over estimated useful lives, which range from 3 years (for office furniture and equipment) to 40 years (for certain pipelines, crude oil terminals and facilities).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205"/>
        <w:gridCol w:w="126"/>
        <w:gridCol w:w="9874"/>
      </w:tblGrid>
      <w:tr>
        <w:trPr/>
        <w:tc>
          <w:tcPr>
            <w:tcW w:w="205" w:type="dxa"/>
            <w:tcBorders/>
            <w:shd w:fill="auto" w:val="clear"/>
          </w:tcPr>
          <w:p>
            <w:pPr>
              <w:pStyle w:val="TableContents"/>
              <w:spacing w:before="0" w:after="283"/>
              <w:jc w:val="left"/>
              <w:rPr/>
            </w:pPr>
            <w:r>
              <w:rPr/>
              <w:t>5.</w:t>
            </w:r>
          </w:p>
        </w:tc>
        <w:tc>
          <w:tcPr>
            <w:tcW w:w="126" w:type="dxa"/>
            <w:tcBorders/>
            <w:shd w:fill="auto" w:val="clear"/>
          </w:tcPr>
          <w:p>
            <w:pPr>
              <w:pStyle w:val="TableContents"/>
              <w:spacing w:before="0" w:after="283"/>
              <w:rPr/>
            </w:pPr>
            <w:r>
              <w:rPr/>
              <w:t> </w:t>
            </w:r>
          </w:p>
        </w:tc>
        <w:tc>
          <w:tcPr>
            <w:tcW w:w="9874" w:type="dxa"/>
            <w:tcBorders/>
            <w:shd w:fill="auto" w:val="clear"/>
          </w:tcPr>
          <w:p>
            <w:pPr>
              <w:pStyle w:val="TableContents"/>
              <w:spacing w:before="0" w:after="283"/>
              <w:rPr/>
            </w:pPr>
            <w:r>
              <w:rPr>
                <w:i/>
              </w:rPr>
              <w:t xml:space="preserve">Statement of Financial Accounting Standards No. 133 Accounting for Derivative Instruments and Hedging Activities (SFAS 133). </w:t>
            </w:r>
            <w:r>
              <w:rPr/>
              <w:t>The guidance presented above does not include assumptions or projections with respect to potential gains or losses related to derivatives accounted for under SFAS 133, as there is no accurate way to forecast these potential gains or losses. The potential gains or losses related to these derivatives (primarily mark-to-market adjustments) could cause actual net income to differ materially from our projections.</w:t>
            </w:r>
          </w:p>
        </w:tc>
      </w:tr>
    </w:tbl>
    <w:tbl>
      <w:tblPr>
        <w:tblW w:w="5000" w:type="pct"/>
        <w:jc w:val="left"/>
        <w:tblInd w:w="0" w:type="dxa"/>
        <w:tblCellMar>
          <w:top w:w="0" w:type="dxa"/>
          <w:left w:w="0" w:type="dxa"/>
          <w:bottom w:w="0" w:type="dxa"/>
          <w:right w:w="0" w:type="dxa"/>
        </w:tblCellMar>
      </w:tblPr>
      <w:tblGrid>
        <w:gridCol w:w="200"/>
        <w:gridCol w:w="125"/>
        <w:gridCol w:w="9880"/>
      </w:tblGrid>
      <w:tr>
        <w:trPr/>
        <w:tc>
          <w:tcPr>
            <w:tcW w:w="200" w:type="dxa"/>
            <w:tcBorders/>
            <w:shd w:fill="auto" w:val="clear"/>
          </w:tcPr>
          <w:p>
            <w:pPr>
              <w:pStyle w:val="TableContents"/>
              <w:spacing w:before="0" w:after="283"/>
              <w:jc w:val="left"/>
              <w:rPr/>
            </w:pPr>
            <w:r>
              <w:rPr/>
              <w:t>6.</w:t>
            </w:r>
          </w:p>
        </w:tc>
        <w:tc>
          <w:tcPr>
            <w:tcW w:w="125" w:type="dxa"/>
            <w:tcBorders/>
            <w:shd w:fill="auto" w:val="clear"/>
          </w:tcPr>
          <w:p>
            <w:pPr>
              <w:pStyle w:val="TableContents"/>
              <w:spacing w:before="0" w:after="283"/>
              <w:rPr/>
            </w:pPr>
            <w:r>
              <w:rPr/>
              <w:t> </w:t>
            </w:r>
          </w:p>
        </w:tc>
        <w:tc>
          <w:tcPr>
            <w:tcW w:w="9880" w:type="dxa"/>
            <w:tcBorders/>
            <w:shd w:fill="auto" w:val="clear"/>
          </w:tcPr>
          <w:p>
            <w:pPr>
              <w:pStyle w:val="TableContents"/>
              <w:spacing w:before="0" w:after="283"/>
              <w:rPr/>
            </w:pPr>
            <w:r>
              <w:rPr>
                <w:i/>
              </w:rPr>
              <w:t xml:space="preserve">Acquisitions and Capital Expenditures. </w:t>
            </w:r>
            <w:r>
              <w:rPr/>
              <w:t>Although acquisitions constitute a key element of our growth strategy, the forecasted results and associated estimates do not include any assumptions or forecasts for any other acquisition that may be made after the date hereof. Capital expenditures for expansion projects are forecast to be approximately $310 million during calendar 2006 of which $214 million was incurred in the first nine months of 2006. Following are some of the more notable projects and estimated expenditures for the year.</w:t>
            </w:r>
          </w:p>
        </w:tc>
      </w:tr>
    </w:tbl>
    <w:tbl>
      <w:tblPr>
        <w:tblW w:w="4750" w:type="pct"/>
        <w:jc w:val="center"/>
        <w:tblInd w:w="0" w:type="dxa"/>
        <w:tblCellMar>
          <w:top w:w="0" w:type="dxa"/>
          <w:left w:w="0" w:type="dxa"/>
          <w:bottom w:w="0" w:type="dxa"/>
          <w:right w:w="0" w:type="dxa"/>
        </w:tblCellMar>
      </w:tblPr>
      <w:tblGrid>
        <w:gridCol w:w="7281"/>
        <w:gridCol w:w="414"/>
        <w:gridCol w:w="601"/>
        <w:gridCol w:w="1123"/>
        <w:gridCol w:w="275"/>
      </w:tblGrid>
      <w:tr>
        <w:trPr/>
        <w:tc>
          <w:tcPr>
            <w:tcW w:w="7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r>
      <w:tr>
        <w:trPr/>
        <w:tc>
          <w:tcPr>
            <w:tcW w:w="7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7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Calendar 2006</w:t>
            </w:r>
          </w:p>
        </w:tc>
        <w:tc>
          <w:tcPr>
            <w:tcW w:w="275" w:type="dxa"/>
            <w:tcBorders/>
            <w:shd w:fill="auto" w:val="clear"/>
            <w:vAlign w:val="bottom"/>
          </w:tcPr>
          <w:p>
            <w:pPr>
              <w:pStyle w:val="TableContents"/>
              <w:spacing w:before="0" w:after="283"/>
              <w:rPr/>
            </w:pPr>
            <w:r>
              <w:rPr/>
              <w:t> </w:t>
            </w:r>
          </w:p>
        </w:tc>
      </w:tr>
      <w:tr>
        <w:trPr/>
        <w:tc>
          <w:tcPr>
            <w:tcW w:w="7281"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724" w:type="dxa"/>
            <w:gridSpan w:val="2"/>
            <w:tcBorders/>
            <w:shd w:fill="auto" w:val="clear"/>
            <w:vAlign w:val="bottom"/>
          </w:tcPr>
          <w:p>
            <w:pPr>
              <w:pStyle w:val="TableContents"/>
              <w:spacing w:before="0" w:after="283"/>
              <w:jc w:val="center"/>
              <w:rPr>
                <w:b/>
              </w:rPr>
            </w:pPr>
            <w:r>
              <w:rPr>
                <w:b/>
              </w:rPr>
              <w:t>(in millions)</w:t>
            </w:r>
          </w:p>
        </w:tc>
        <w:tc>
          <w:tcPr>
            <w:tcW w:w="275" w:type="dxa"/>
            <w:tcBorders/>
            <w:shd w:fill="auto" w:val="clear"/>
            <w:vAlign w:val="bottom"/>
          </w:tcPr>
          <w:p>
            <w:pPr>
              <w:pStyle w:val="TableContents"/>
              <w:spacing w:before="0" w:after="283"/>
              <w:rPr/>
            </w:pPr>
            <w:r>
              <w:rPr/>
              <w:t> </w:t>
            </w:r>
          </w:p>
        </w:tc>
      </w:tr>
      <w:tr>
        <w:trPr/>
        <w:tc>
          <w:tcPr>
            <w:tcW w:w="7281" w:type="dxa"/>
            <w:tcBorders/>
            <w:shd w:fill="CCEEFF" w:val="clear"/>
            <w:vAlign w:val="bottom"/>
          </w:tcPr>
          <w:p>
            <w:pPr>
              <w:pStyle w:val="TableContents"/>
              <w:spacing w:before="0" w:after="0"/>
              <w:ind w:left="225" w:right="0" w:hanging="225"/>
              <w:rPr/>
            </w:pPr>
            <w:r>
              <w:rPr/>
              <w:t>Expansion Capital</w:t>
            </w:r>
          </w:p>
        </w:tc>
        <w:tc>
          <w:tcPr>
            <w:tcW w:w="414"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r>
      <w:tr>
        <w:trPr/>
        <w:tc>
          <w:tcPr>
            <w:tcW w:w="7281" w:type="dxa"/>
            <w:tcBorders/>
            <w:shd w:fill="auto" w:val="clear"/>
            <w:vAlign w:val="bottom"/>
          </w:tcPr>
          <w:p>
            <w:pPr>
              <w:pStyle w:val="TableContents"/>
              <w:spacing w:before="0" w:after="0"/>
              <w:ind w:left="225" w:right="0" w:hanging="225"/>
              <w:rPr/>
            </w:pPr>
            <w:r>
              <w:rPr>
                <w:b/>
              </w:rPr>
              <w:t></w:t>
            </w:r>
            <w:r>
              <w:rPr/>
              <w:t xml:space="preserve"> St. James, Louisiana storage facility  Phase I</w:t>
            </w:r>
          </w:p>
        </w:tc>
        <w:tc>
          <w:tcPr>
            <w:tcW w:w="414"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left"/>
              <w:rPr/>
            </w:pPr>
            <w:r>
              <w:rPr/>
              <w:t>$</w:t>
            </w:r>
          </w:p>
        </w:tc>
        <w:tc>
          <w:tcPr>
            <w:tcW w:w="1123" w:type="dxa"/>
            <w:tcBorders/>
            <w:shd w:fill="auto" w:val="clear"/>
            <w:vAlign w:val="bottom"/>
          </w:tcPr>
          <w:p>
            <w:pPr>
              <w:pStyle w:val="TableContents"/>
              <w:spacing w:before="0" w:after="283"/>
              <w:jc w:val="right"/>
              <w:rPr/>
            </w:pPr>
            <w:r>
              <w:rPr/>
              <w:t>72</w:t>
            </w:r>
          </w:p>
        </w:tc>
        <w:tc>
          <w:tcPr>
            <w:tcW w:w="275" w:type="dxa"/>
            <w:tcBorders/>
            <w:shd w:fill="auto" w:val="clear"/>
            <w:vAlign w:val="bottom"/>
          </w:tcPr>
          <w:p>
            <w:pPr>
              <w:pStyle w:val="TableContents"/>
              <w:spacing w:before="0" w:after="283"/>
              <w:rPr/>
            </w:pPr>
            <w:r>
              <w:rPr/>
              <w:t> </w:t>
            </w:r>
          </w:p>
        </w:tc>
      </w:tr>
      <w:tr>
        <w:trPr/>
        <w:tc>
          <w:tcPr>
            <w:tcW w:w="7281" w:type="dxa"/>
            <w:tcBorders/>
            <w:shd w:fill="CCEEFF" w:val="clear"/>
            <w:vAlign w:val="bottom"/>
          </w:tcPr>
          <w:p>
            <w:pPr>
              <w:pStyle w:val="TableContents"/>
              <w:spacing w:before="0" w:after="0"/>
              <w:ind w:left="225" w:right="0" w:hanging="225"/>
              <w:rPr/>
            </w:pPr>
            <w:r>
              <w:rPr>
                <w:b/>
              </w:rPr>
              <w:t></w:t>
            </w:r>
            <w:r>
              <w:rPr/>
              <w:t xml:space="preserve"> St. James, Louisiana storage facility  Phase II</w:t>
            </w:r>
          </w:p>
        </w:tc>
        <w:tc>
          <w:tcPr>
            <w:tcW w:w="414"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12</w:t>
            </w:r>
          </w:p>
        </w:tc>
        <w:tc>
          <w:tcPr>
            <w:tcW w:w="275" w:type="dxa"/>
            <w:tcBorders/>
            <w:shd w:fill="CCEEFF" w:val="clear"/>
            <w:vAlign w:val="bottom"/>
          </w:tcPr>
          <w:p>
            <w:pPr>
              <w:pStyle w:val="TableContents"/>
              <w:spacing w:before="0" w:after="283"/>
              <w:rPr/>
            </w:pPr>
            <w:r>
              <w:rPr/>
              <w:t> </w:t>
            </w:r>
          </w:p>
        </w:tc>
      </w:tr>
      <w:tr>
        <w:trPr/>
        <w:tc>
          <w:tcPr>
            <w:tcW w:w="7281" w:type="dxa"/>
            <w:tcBorders/>
            <w:shd w:fill="auto" w:val="clear"/>
            <w:vAlign w:val="bottom"/>
          </w:tcPr>
          <w:p>
            <w:pPr>
              <w:pStyle w:val="TableContents"/>
              <w:spacing w:before="0" w:after="0"/>
              <w:ind w:left="225" w:right="0" w:hanging="225"/>
              <w:rPr/>
            </w:pPr>
            <w:r>
              <w:rPr>
                <w:b/>
              </w:rPr>
              <w:t></w:t>
            </w:r>
            <w:r>
              <w:rPr/>
              <w:t xml:space="preserve"> Kerrobert tankage</w:t>
            </w:r>
          </w:p>
        </w:tc>
        <w:tc>
          <w:tcPr>
            <w:tcW w:w="414"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31</w:t>
            </w:r>
          </w:p>
        </w:tc>
        <w:tc>
          <w:tcPr>
            <w:tcW w:w="275" w:type="dxa"/>
            <w:tcBorders/>
            <w:shd w:fill="auto" w:val="clear"/>
            <w:vAlign w:val="bottom"/>
          </w:tcPr>
          <w:p>
            <w:pPr>
              <w:pStyle w:val="TableContents"/>
              <w:spacing w:before="0" w:after="283"/>
              <w:rPr/>
            </w:pPr>
            <w:r>
              <w:rPr/>
              <w:t> </w:t>
            </w:r>
          </w:p>
        </w:tc>
      </w:tr>
      <w:tr>
        <w:trPr/>
        <w:tc>
          <w:tcPr>
            <w:tcW w:w="7281" w:type="dxa"/>
            <w:tcBorders/>
            <w:shd w:fill="CCEEFF" w:val="clear"/>
            <w:vAlign w:val="bottom"/>
          </w:tcPr>
          <w:p>
            <w:pPr>
              <w:pStyle w:val="TableContents"/>
              <w:spacing w:before="0" w:after="0"/>
              <w:ind w:left="225" w:right="0" w:hanging="225"/>
              <w:rPr/>
            </w:pPr>
            <w:r>
              <w:rPr>
                <w:b/>
              </w:rPr>
              <w:t></w:t>
            </w:r>
            <w:r>
              <w:rPr/>
              <w:t xml:space="preserve"> East Texas/Louisiana tankage</w:t>
            </w:r>
          </w:p>
        </w:tc>
        <w:tc>
          <w:tcPr>
            <w:tcW w:w="414"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17</w:t>
            </w:r>
          </w:p>
        </w:tc>
        <w:tc>
          <w:tcPr>
            <w:tcW w:w="275" w:type="dxa"/>
            <w:tcBorders/>
            <w:shd w:fill="CCEEFF" w:val="clear"/>
            <w:vAlign w:val="bottom"/>
          </w:tcPr>
          <w:p>
            <w:pPr>
              <w:pStyle w:val="TableContents"/>
              <w:spacing w:before="0" w:after="283"/>
              <w:rPr/>
            </w:pPr>
            <w:r>
              <w:rPr/>
              <w:t> </w:t>
            </w:r>
          </w:p>
        </w:tc>
      </w:tr>
      <w:tr>
        <w:trPr/>
        <w:tc>
          <w:tcPr>
            <w:tcW w:w="7281" w:type="dxa"/>
            <w:tcBorders/>
            <w:shd w:fill="auto" w:val="clear"/>
            <w:vAlign w:val="bottom"/>
          </w:tcPr>
          <w:p>
            <w:pPr>
              <w:pStyle w:val="TableContents"/>
              <w:spacing w:before="0" w:after="0"/>
              <w:ind w:left="225" w:right="0" w:hanging="225"/>
              <w:rPr/>
            </w:pPr>
            <w:r>
              <w:rPr>
                <w:b/>
              </w:rPr>
              <w:t></w:t>
            </w:r>
            <w:r>
              <w:rPr/>
              <w:t xml:space="preserve"> Spraberry System expansion</w:t>
            </w:r>
          </w:p>
        </w:tc>
        <w:tc>
          <w:tcPr>
            <w:tcW w:w="414"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15</w:t>
            </w:r>
          </w:p>
        </w:tc>
        <w:tc>
          <w:tcPr>
            <w:tcW w:w="275" w:type="dxa"/>
            <w:tcBorders/>
            <w:shd w:fill="auto" w:val="clear"/>
            <w:vAlign w:val="bottom"/>
          </w:tcPr>
          <w:p>
            <w:pPr>
              <w:pStyle w:val="TableContents"/>
              <w:spacing w:before="0" w:after="283"/>
              <w:rPr/>
            </w:pPr>
            <w:r>
              <w:rPr/>
              <w:t> </w:t>
            </w:r>
          </w:p>
        </w:tc>
      </w:tr>
      <w:tr>
        <w:trPr/>
        <w:tc>
          <w:tcPr>
            <w:tcW w:w="7281" w:type="dxa"/>
            <w:tcBorders/>
            <w:shd w:fill="CCEEFF" w:val="clear"/>
            <w:vAlign w:val="bottom"/>
          </w:tcPr>
          <w:p>
            <w:pPr>
              <w:pStyle w:val="TableContents"/>
              <w:spacing w:before="0" w:after="0"/>
              <w:ind w:left="225" w:right="0" w:hanging="225"/>
              <w:rPr/>
            </w:pPr>
            <w:r>
              <w:rPr>
                <w:b/>
              </w:rPr>
              <w:t></w:t>
            </w:r>
            <w:r>
              <w:rPr/>
              <w:t xml:space="preserve"> Cushing Tankage  Phase VI</w:t>
            </w:r>
          </w:p>
        </w:tc>
        <w:tc>
          <w:tcPr>
            <w:tcW w:w="414"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14</w:t>
            </w:r>
          </w:p>
        </w:tc>
        <w:tc>
          <w:tcPr>
            <w:tcW w:w="275" w:type="dxa"/>
            <w:tcBorders/>
            <w:shd w:fill="CCEEFF" w:val="clear"/>
            <w:vAlign w:val="bottom"/>
          </w:tcPr>
          <w:p>
            <w:pPr>
              <w:pStyle w:val="TableContents"/>
              <w:spacing w:before="0" w:after="283"/>
              <w:rPr/>
            </w:pPr>
            <w:r>
              <w:rPr/>
              <w:t> </w:t>
            </w:r>
          </w:p>
        </w:tc>
      </w:tr>
      <w:tr>
        <w:trPr/>
        <w:tc>
          <w:tcPr>
            <w:tcW w:w="7281" w:type="dxa"/>
            <w:tcBorders/>
            <w:shd w:fill="auto" w:val="clear"/>
            <w:vAlign w:val="bottom"/>
          </w:tcPr>
          <w:p>
            <w:pPr>
              <w:pStyle w:val="TableContents"/>
              <w:spacing w:before="0" w:after="0"/>
              <w:ind w:left="225" w:right="0" w:hanging="225"/>
              <w:rPr/>
            </w:pPr>
            <w:r>
              <w:rPr>
                <w:b/>
              </w:rPr>
              <w:t></w:t>
            </w:r>
            <w:r>
              <w:rPr/>
              <w:t xml:space="preserve"> High Prairie rail terminals</w:t>
            </w:r>
          </w:p>
        </w:tc>
        <w:tc>
          <w:tcPr>
            <w:tcW w:w="414"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13</w:t>
            </w:r>
          </w:p>
        </w:tc>
        <w:tc>
          <w:tcPr>
            <w:tcW w:w="275" w:type="dxa"/>
            <w:tcBorders/>
            <w:shd w:fill="auto" w:val="clear"/>
            <w:vAlign w:val="bottom"/>
          </w:tcPr>
          <w:p>
            <w:pPr>
              <w:pStyle w:val="TableContents"/>
              <w:spacing w:before="0" w:after="283"/>
              <w:rPr/>
            </w:pPr>
            <w:r>
              <w:rPr/>
              <w:t> </w:t>
            </w:r>
          </w:p>
        </w:tc>
      </w:tr>
      <w:tr>
        <w:trPr/>
        <w:tc>
          <w:tcPr>
            <w:tcW w:w="7281" w:type="dxa"/>
            <w:tcBorders/>
            <w:shd w:fill="CCEEFF" w:val="clear"/>
            <w:vAlign w:val="bottom"/>
          </w:tcPr>
          <w:p>
            <w:pPr>
              <w:pStyle w:val="TableContents"/>
              <w:spacing w:before="0" w:after="0"/>
              <w:ind w:left="225" w:right="0" w:hanging="225"/>
              <w:rPr/>
            </w:pPr>
            <w:r>
              <w:rPr>
                <w:b/>
              </w:rPr>
              <w:t></w:t>
            </w:r>
            <w:r>
              <w:rPr/>
              <w:t xml:space="preserve"> Midale/Regina truck terminal</w:t>
            </w:r>
          </w:p>
        </w:tc>
        <w:tc>
          <w:tcPr>
            <w:tcW w:w="414"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13</w:t>
            </w:r>
          </w:p>
        </w:tc>
        <w:tc>
          <w:tcPr>
            <w:tcW w:w="275" w:type="dxa"/>
            <w:tcBorders/>
            <w:shd w:fill="CCEEFF" w:val="clear"/>
            <w:vAlign w:val="bottom"/>
          </w:tcPr>
          <w:p>
            <w:pPr>
              <w:pStyle w:val="TableContents"/>
              <w:spacing w:before="0" w:after="283"/>
              <w:rPr/>
            </w:pPr>
            <w:r>
              <w:rPr/>
              <w:t> </w:t>
            </w:r>
          </w:p>
        </w:tc>
      </w:tr>
      <w:tr>
        <w:trPr/>
        <w:tc>
          <w:tcPr>
            <w:tcW w:w="7281" w:type="dxa"/>
            <w:tcBorders/>
            <w:shd w:fill="auto" w:val="clear"/>
            <w:vAlign w:val="bottom"/>
          </w:tcPr>
          <w:p>
            <w:pPr>
              <w:pStyle w:val="TableContents"/>
              <w:spacing w:before="0" w:after="0"/>
              <w:ind w:left="225" w:right="0" w:hanging="225"/>
              <w:rPr/>
            </w:pPr>
            <w:r>
              <w:rPr>
                <w:b/>
              </w:rPr>
              <w:t></w:t>
            </w:r>
            <w:r>
              <w:rPr/>
              <w:t xml:space="preserve"> Truck trailers</w:t>
            </w:r>
          </w:p>
        </w:tc>
        <w:tc>
          <w:tcPr>
            <w:tcW w:w="414"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9</w:t>
            </w:r>
          </w:p>
        </w:tc>
        <w:tc>
          <w:tcPr>
            <w:tcW w:w="275" w:type="dxa"/>
            <w:tcBorders/>
            <w:shd w:fill="auto" w:val="clear"/>
            <w:vAlign w:val="bottom"/>
          </w:tcPr>
          <w:p>
            <w:pPr>
              <w:pStyle w:val="TableContents"/>
              <w:spacing w:before="0" w:after="283"/>
              <w:rPr/>
            </w:pPr>
            <w:r>
              <w:rPr/>
              <w:t> </w:t>
            </w:r>
          </w:p>
        </w:tc>
      </w:tr>
      <w:tr>
        <w:trPr/>
        <w:tc>
          <w:tcPr>
            <w:tcW w:w="7281" w:type="dxa"/>
            <w:tcBorders/>
            <w:shd w:fill="CCEEFF" w:val="clear"/>
            <w:vAlign w:val="bottom"/>
          </w:tcPr>
          <w:p>
            <w:pPr>
              <w:pStyle w:val="TableContents"/>
              <w:spacing w:before="0" w:after="0"/>
              <w:ind w:left="225" w:right="0" w:hanging="225"/>
              <w:rPr/>
            </w:pPr>
            <w:r>
              <w:rPr>
                <w:b/>
              </w:rPr>
              <w:t></w:t>
            </w:r>
            <w:r>
              <w:rPr/>
              <w:t xml:space="preserve"> Wichita Falls tankage</w:t>
            </w:r>
          </w:p>
        </w:tc>
        <w:tc>
          <w:tcPr>
            <w:tcW w:w="414"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8</w:t>
            </w:r>
          </w:p>
        </w:tc>
        <w:tc>
          <w:tcPr>
            <w:tcW w:w="275" w:type="dxa"/>
            <w:tcBorders/>
            <w:shd w:fill="CCEEFF" w:val="clear"/>
            <w:vAlign w:val="bottom"/>
          </w:tcPr>
          <w:p>
            <w:pPr>
              <w:pStyle w:val="TableContents"/>
              <w:spacing w:before="0" w:after="283"/>
              <w:rPr/>
            </w:pPr>
            <w:r>
              <w:rPr/>
              <w:t> </w:t>
            </w:r>
          </w:p>
        </w:tc>
      </w:tr>
      <w:tr>
        <w:trPr/>
        <w:tc>
          <w:tcPr>
            <w:tcW w:w="7281" w:type="dxa"/>
            <w:tcBorders/>
            <w:shd w:fill="auto" w:val="clear"/>
            <w:vAlign w:val="bottom"/>
          </w:tcPr>
          <w:p>
            <w:pPr>
              <w:pStyle w:val="TableContents"/>
              <w:spacing w:before="0" w:after="0"/>
              <w:ind w:left="225" w:right="0" w:hanging="225"/>
              <w:rPr/>
            </w:pPr>
            <w:r>
              <w:rPr>
                <w:b/>
              </w:rPr>
              <w:t></w:t>
            </w:r>
            <w:r>
              <w:rPr/>
              <w:t xml:space="preserve"> Basin connectionOklahoma</w:t>
            </w:r>
          </w:p>
        </w:tc>
        <w:tc>
          <w:tcPr>
            <w:tcW w:w="414"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8</w:t>
            </w:r>
          </w:p>
        </w:tc>
        <w:tc>
          <w:tcPr>
            <w:tcW w:w="275" w:type="dxa"/>
            <w:tcBorders/>
            <w:shd w:fill="auto" w:val="clear"/>
            <w:vAlign w:val="bottom"/>
          </w:tcPr>
          <w:p>
            <w:pPr>
              <w:pStyle w:val="TableContents"/>
              <w:spacing w:before="0" w:after="283"/>
              <w:rPr/>
            </w:pPr>
            <w:r>
              <w:rPr/>
              <w:t> </w:t>
            </w:r>
          </w:p>
        </w:tc>
      </w:tr>
      <w:tr>
        <w:trPr/>
        <w:tc>
          <w:tcPr>
            <w:tcW w:w="7281" w:type="dxa"/>
            <w:tcBorders/>
            <w:shd w:fill="CCEEFF" w:val="clear"/>
            <w:vAlign w:val="bottom"/>
          </w:tcPr>
          <w:p>
            <w:pPr>
              <w:pStyle w:val="TableContents"/>
              <w:spacing w:before="0" w:after="0"/>
              <w:ind w:left="225" w:right="0" w:hanging="225"/>
              <w:rPr/>
            </w:pPr>
            <w:r>
              <w:rPr>
                <w:b/>
              </w:rPr>
              <w:t></w:t>
            </w:r>
            <w:r>
              <w:rPr/>
              <w:t xml:space="preserve"> Mobile/ Ten Mile tankage and metering</w:t>
            </w:r>
          </w:p>
        </w:tc>
        <w:tc>
          <w:tcPr>
            <w:tcW w:w="414"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6</w:t>
            </w:r>
          </w:p>
        </w:tc>
        <w:tc>
          <w:tcPr>
            <w:tcW w:w="275" w:type="dxa"/>
            <w:tcBorders/>
            <w:shd w:fill="CCEEFF" w:val="clear"/>
            <w:vAlign w:val="bottom"/>
          </w:tcPr>
          <w:p>
            <w:pPr>
              <w:pStyle w:val="TableContents"/>
              <w:spacing w:before="0" w:after="283"/>
              <w:rPr/>
            </w:pPr>
            <w:r>
              <w:rPr/>
              <w:t> </w:t>
            </w:r>
          </w:p>
        </w:tc>
      </w:tr>
      <w:tr>
        <w:trPr/>
        <w:tc>
          <w:tcPr>
            <w:tcW w:w="7281" w:type="dxa"/>
            <w:tcBorders/>
            <w:shd w:fill="auto" w:val="clear"/>
            <w:vAlign w:val="bottom"/>
          </w:tcPr>
          <w:p>
            <w:pPr>
              <w:pStyle w:val="TableContents"/>
              <w:spacing w:before="0" w:after="0"/>
              <w:ind w:left="225" w:right="0" w:hanging="225"/>
              <w:rPr/>
            </w:pPr>
            <w:r>
              <w:rPr>
                <w:b/>
              </w:rPr>
              <w:t></w:t>
            </w:r>
            <w:r>
              <w:rPr/>
              <w:t xml:space="preserve"> Other Projects</w:t>
            </w:r>
          </w:p>
        </w:tc>
        <w:tc>
          <w:tcPr>
            <w:tcW w:w="414"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92</w:t>
            </w:r>
          </w:p>
        </w:tc>
        <w:tc>
          <w:tcPr>
            <w:tcW w:w="275" w:type="dxa"/>
            <w:tcBorders/>
            <w:shd w:fill="auto" w:val="clear"/>
            <w:vAlign w:val="bottom"/>
          </w:tcPr>
          <w:p>
            <w:pPr>
              <w:pStyle w:val="TableContents"/>
              <w:spacing w:before="0" w:after="283"/>
              <w:rPr/>
            </w:pPr>
            <w:r>
              <w:rPr/>
              <w:t> </w:t>
            </w:r>
          </w:p>
        </w:tc>
      </w:tr>
      <w:tr>
        <w:trPr/>
        <w:tc>
          <w:tcPr>
            <w:tcW w:w="7281" w:type="dxa"/>
            <w:tcBorders/>
            <w:shd w:fill="auto" w:val="clear"/>
            <w:vAlign w:val="center"/>
          </w:tcPr>
          <w:p>
            <w:pPr>
              <w:pStyle w:val="TableContents"/>
              <w:spacing w:before="0" w:after="0"/>
              <w:ind w:left="225" w:right="0" w:hanging="225"/>
              <w:rPr/>
            </w:pPr>
            <w:r>
              <w:rPr/>
              <w:t> </w:t>
            </w:r>
          </w:p>
        </w:tc>
        <w:tc>
          <w:tcPr>
            <w:tcW w:w="414" w:type="dxa"/>
            <w:tcBorders/>
            <w:shd w:fill="auto" w:val="clear"/>
            <w:vAlign w:val="center"/>
          </w:tcPr>
          <w:p>
            <w:pPr>
              <w:pStyle w:val="TableContents"/>
              <w:spacing w:before="0" w:after="283"/>
              <w:rPr/>
            </w:pPr>
            <w:r>
              <w:rPr/>
              <w:t> </w:t>
            </w:r>
          </w:p>
        </w:tc>
        <w:tc>
          <w:tcPr>
            <w:tcW w:w="17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r>
      <w:tr>
        <w:trPr/>
        <w:tc>
          <w:tcPr>
            <w:tcW w:w="7281" w:type="dxa"/>
            <w:tcBorders/>
            <w:shd w:fill="CCEEFF" w:val="clear"/>
            <w:vAlign w:val="bottom"/>
          </w:tcPr>
          <w:p>
            <w:pPr>
              <w:pStyle w:val="TableContents"/>
              <w:spacing w:before="0" w:after="0"/>
              <w:ind w:left="225" w:right="0" w:hanging="225"/>
              <w:rPr/>
            </w:pPr>
            <w:r>
              <w:rPr/>
              <w:t> </w:t>
            </w:r>
          </w:p>
        </w:tc>
        <w:tc>
          <w:tcPr>
            <w:tcW w:w="414"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310</w:t>
            </w:r>
          </w:p>
        </w:tc>
        <w:tc>
          <w:tcPr>
            <w:tcW w:w="275" w:type="dxa"/>
            <w:tcBorders/>
            <w:shd w:fill="CCEEFF" w:val="clear"/>
            <w:vAlign w:val="bottom"/>
          </w:tcPr>
          <w:p>
            <w:pPr>
              <w:pStyle w:val="TableContents"/>
              <w:spacing w:before="0" w:after="283"/>
              <w:rPr/>
            </w:pPr>
            <w:r>
              <w:rPr/>
              <w:t> </w:t>
            </w:r>
          </w:p>
        </w:tc>
      </w:tr>
      <w:tr>
        <w:trPr/>
        <w:tc>
          <w:tcPr>
            <w:tcW w:w="7281" w:type="dxa"/>
            <w:tcBorders/>
            <w:shd w:fill="auto" w:val="clear"/>
            <w:vAlign w:val="bottom"/>
          </w:tcPr>
          <w:p>
            <w:pPr>
              <w:pStyle w:val="TableContents"/>
              <w:spacing w:before="0" w:after="0"/>
              <w:ind w:left="225" w:right="0" w:hanging="225"/>
              <w:rPr/>
            </w:pPr>
            <w:r>
              <w:rPr/>
              <w:t>Maintenance Capital</w:t>
            </w:r>
          </w:p>
        </w:tc>
        <w:tc>
          <w:tcPr>
            <w:tcW w:w="414"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21</w:t>
            </w:r>
          </w:p>
        </w:tc>
        <w:tc>
          <w:tcPr>
            <w:tcW w:w="275" w:type="dxa"/>
            <w:tcBorders/>
            <w:shd w:fill="auto" w:val="clear"/>
            <w:vAlign w:val="bottom"/>
          </w:tcPr>
          <w:p>
            <w:pPr>
              <w:pStyle w:val="TableContents"/>
              <w:spacing w:before="0" w:after="283"/>
              <w:rPr/>
            </w:pPr>
            <w:r>
              <w:rPr/>
              <w:t> </w:t>
            </w:r>
          </w:p>
        </w:tc>
      </w:tr>
      <w:tr>
        <w:trPr/>
        <w:tc>
          <w:tcPr>
            <w:tcW w:w="7281" w:type="dxa"/>
            <w:tcBorders/>
            <w:shd w:fill="auto" w:val="clear"/>
            <w:vAlign w:val="center"/>
          </w:tcPr>
          <w:p>
            <w:pPr>
              <w:pStyle w:val="TableContents"/>
              <w:spacing w:before="0" w:after="0"/>
              <w:ind w:left="225" w:right="0" w:hanging="225"/>
              <w:rPr/>
            </w:pPr>
            <w:r>
              <w:rPr/>
              <w:t> </w:t>
            </w:r>
          </w:p>
        </w:tc>
        <w:tc>
          <w:tcPr>
            <w:tcW w:w="414" w:type="dxa"/>
            <w:tcBorders/>
            <w:shd w:fill="auto" w:val="clear"/>
            <w:vAlign w:val="center"/>
          </w:tcPr>
          <w:p>
            <w:pPr>
              <w:pStyle w:val="TableContents"/>
              <w:spacing w:before="0" w:after="283"/>
              <w:rPr/>
            </w:pPr>
            <w:r>
              <w:rPr/>
              <w:t> </w:t>
            </w:r>
          </w:p>
        </w:tc>
        <w:tc>
          <w:tcPr>
            <w:tcW w:w="17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r>
      <w:tr>
        <w:trPr/>
        <w:tc>
          <w:tcPr>
            <w:tcW w:w="7281" w:type="dxa"/>
            <w:tcBorders/>
            <w:shd w:fill="CCEEFF" w:val="clear"/>
            <w:vAlign w:val="bottom"/>
          </w:tcPr>
          <w:p>
            <w:pPr>
              <w:pStyle w:val="TableContents"/>
              <w:spacing w:before="0" w:after="0"/>
              <w:ind w:left="225" w:right="0" w:hanging="225"/>
              <w:rPr/>
            </w:pPr>
            <w:r>
              <w:rPr/>
              <w:t>Total Projected Capital Expenditures (excluding acquisitions)</w:t>
            </w:r>
          </w:p>
        </w:tc>
        <w:tc>
          <w:tcPr>
            <w:tcW w:w="414"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left"/>
              <w:rPr/>
            </w:pPr>
            <w:r>
              <w:rPr/>
              <w:t>$</w:t>
            </w:r>
          </w:p>
        </w:tc>
        <w:tc>
          <w:tcPr>
            <w:tcW w:w="1123" w:type="dxa"/>
            <w:tcBorders/>
            <w:shd w:fill="CCEEFF" w:val="clear"/>
            <w:vAlign w:val="bottom"/>
          </w:tcPr>
          <w:p>
            <w:pPr>
              <w:pStyle w:val="TableContents"/>
              <w:spacing w:before="0" w:after="283"/>
              <w:jc w:val="right"/>
              <w:rPr/>
            </w:pPr>
            <w:r>
              <w:rPr/>
              <w:t>331</w:t>
            </w:r>
          </w:p>
        </w:tc>
        <w:tc>
          <w:tcPr>
            <w:tcW w:w="275" w:type="dxa"/>
            <w:tcBorders/>
            <w:shd w:fill="CCEEFF" w:val="clear"/>
            <w:vAlign w:val="bottom"/>
          </w:tcPr>
          <w:p>
            <w:pPr>
              <w:pStyle w:val="TableContents"/>
              <w:spacing w:before="0" w:after="283"/>
              <w:rPr/>
            </w:pPr>
            <w:r>
              <w:rPr/>
              <w:t> </w:t>
            </w:r>
          </w:p>
        </w:tc>
      </w:tr>
      <w:tr>
        <w:trPr/>
        <w:tc>
          <w:tcPr>
            <w:tcW w:w="7281" w:type="dxa"/>
            <w:tcBorders/>
            <w:shd w:fill="auto" w:val="clear"/>
            <w:vAlign w:val="center"/>
          </w:tcPr>
          <w:p>
            <w:pPr>
              <w:pStyle w:val="TableContents"/>
              <w:spacing w:before="0" w:after="0"/>
              <w:ind w:left="225" w:right="0" w:hanging="225"/>
              <w:rPr/>
            </w:pPr>
            <w:r>
              <w:rPr/>
              <w:t> </w:t>
            </w:r>
          </w:p>
        </w:tc>
        <w:tc>
          <w:tcPr>
            <w:tcW w:w="414" w:type="dxa"/>
            <w:tcBorders/>
            <w:shd w:fill="auto" w:val="clear"/>
            <w:vAlign w:val="center"/>
          </w:tcPr>
          <w:p>
            <w:pPr>
              <w:pStyle w:val="TableContents"/>
              <w:spacing w:before="0" w:after="283"/>
              <w:rPr/>
            </w:pPr>
            <w:r>
              <w:rPr/>
              <w:t> </w:t>
            </w:r>
          </w:p>
        </w:tc>
        <w:tc>
          <w:tcPr>
            <w:tcW w:w="17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201"/>
        <w:gridCol w:w="125"/>
        <w:gridCol w:w="9879"/>
      </w:tblGrid>
      <w:tr>
        <w:trPr/>
        <w:tc>
          <w:tcPr>
            <w:tcW w:w="201" w:type="dxa"/>
            <w:tcBorders/>
            <w:shd w:fill="auto" w:val="clear"/>
          </w:tcPr>
          <w:p>
            <w:pPr>
              <w:pStyle w:val="TableContents"/>
              <w:spacing w:before="0" w:after="283"/>
              <w:jc w:val="left"/>
              <w:rPr/>
            </w:pPr>
            <w:r>
              <w:rPr/>
              <w:t>7.</w:t>
            </w:r>
          </w:p>
        </w:tc>
        <w:tc>
          <w:tcPr>
            <w:tcW w:w="125" w:type="dxa"/>
            <w:tcBorders/>
            <w:shd w:fill="auto" w:val="clear"/>
          </w:tcPr>
          <w:p>
            <w:pPr>
              <w:pStyle w:val="TableContents"/>
              <w:spacing w:before="0" w:after="283"/>
              <w:rPr/>
            </w:pPr>
            <w:r>
              <w:rPr/>
              <w:t> </w:t>
            </w:r>
          </w:p>
        </w:tc>
        <w:tc>
          <w:tcPr>
            <w:tcW w:w="9879" w:type="dxa"/>
            <w:tcBorders/>
            <w:shd w:fill="auto" w:val="clear"/>
          </w:tcPr>
          <w:p>
            <w:pPr>
              <w:pStyle w:val="TableContents"/>
              <w:spacing w:before="0" w:after="283"/>
              <w:rPr/>
            </w:pPr>
            <w:r>
              <w:rPr>
                <w:i/>
              </w:rPr>
              <w:t xml:space="preserve">Capital Structure. </w:t>
            </w:r>
            <w:r>
              <w:rPr/>
              <w:t>This guidance is based on our capital structure as of September 30, 2006 as adjusted to give effect to the aggregate $1 billion private placement of 10-year and 30-year senior notes (New Senior Notes) that closed on October 30, 2006. The net proceeds from the New Senior Notes will be used to fund the cash portion of the Pacific Energy acquisition expected to close in the fourth quarter of 2006. Pending closing of the Pacific Energy merger, we intend to invest excess proceeds that are not used to repay outstanding indebtedness or for general partnership purposes in short-term investments. In the event the Pacific Energy acquisition does not close by February 15, 2007, we are required to call the New Senior Notes at 101% of the principal amount. See Note 8 for treatment of interest expense and interest income attributable to the New Senior Notes during the fourth quarter.</w:t>
            </w:r>
          </w:p>
        </w:tc>
      </w:tr>
      <w:tr>
        <w:trPr/>
        <w:tc>
          <w:tcPr>
            <w:tcW w:w="201" w:type="dxa"/>
            <w:tcBorders/>
            <w:shd w:fill="auto" w:val="clear"/>
            <w:vAlign w:val="center"/>
          </w:tcPr>
          <w:p>
            <w:pPr>
              <w:pStyle w:val="TableContents"/>
              <w:spacing w:before="0" w:after="283"/>
              <w:rPr/>
            </w:pPr>
            <w:r>
              <w:rPr/>
              <w:t> </w:t>
            </w:r>
          </w:p>
        </w:tc>
        <w:tc>
          <w:tcPr>
            <w:tcW w:w="10004" w:type="dxa"/>
            <w:gridSpan w:val="2"/>
            <w:tcBorders/>
            <w:shd w:fill="auto" w:val="clear"/>
          </w:tcPr>
          <w:p>
            <w:pPr>
              <w:pStyle w:val="TableContents"/>
              <w:spacing w:before="0" w:after="283"/>
              <w:rPr>
                <w:sz w:val="4"/>
                <w:szCs w:val="4"/>
              </w:rPr>
            </w:pPr>
            <w:r>
              <w:rPr>
                <w:sz w:val="4"/>
                <w:szCs w:val="4"/>
              </w:rPr>
            </w:r>
          </w:p>
        </w:tc>
      </w:tr>
      <w:tr>
        <w:trPr/>
        <w:tc>
          <w:tcPr>
            <w:tcW w:w="201" w:type="dxa"/>
            <w:tcBorders/>
            <w:shd w:fill="auto" w:val="clear"/>
          </w:tcPr>
          <w:p>
            <w:pPr>
              <w:pStyle w:val="TableContents"/>
              <w:spacing w:before="0" w:after="283"/>
              <w:jc w:val="left"/>
              <w:rPr/>
            </w:pPr>
            <w:r>
              <w:rPr/>
              <w:t> </w:t>
            </w:r>
          </w:p>
        </w:tc>
        <w:tc>
          <w:tcPr>
            <w:tcW w:w="125" w:type="dxa"/>
            <w:tcBorders/>
            <w:shd w:fill="auto" w:val="clear"/>
          </w:tcPr>
          <w:p>
            <w:pPr>
              <w:pStyle w:val="TableContents"/>
              <w:spacing w:before="0" w:after="283"/>
              <w:rPr/>
            </w:pPr>
            <w:r>
              <w:rPr/>
              <w:t> </w:t>
            </w:r>
          </w:p>
        </w:tc>
        <w:tc>
          <w:tcPr>
            <w:tcW w:w="9879" w:type="dxa"/>
            <w:tcBorders/>
            <w:shd w:fill="auto" w:val="clear"/>
          </w:tcPr>
          <w:p>
            <w:pPr>
              <w:pStyle w:val="TableContents"/>
              <w:spacing w:before="0" w:after="283"/>
              <w:rPr/>
            </w:pPr>
            <w:r>
              <w:rPr/>
              <w:t>The Partnerships policy is to finance acquisitions and major growth capital projects with at least 50% equity or cash flow in excess of distributions.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202"/>
        <w:gridCol w:w="124"/>
        <w:gridCol w:w="9879"/>
      </w:tblGrid>
      <w:tr>
        <w:trPr/>
        <w:tc>
          <w:tcPr>
            <w:tcW w:w="202" w:type="dxa"/>
            <w:tcBorders/>
            <w:shd w:fill="auto" w:val="clear"/>
          </w:tcPr>
          <w:p>
            <w:pPr>
              <w:pStyle w:val="TableContents"/>
              <w:spacing w:before="0" w:after="283"/>
              <w:jc w:val="left"/>
              <w:rPr/>
            </w:pPr>
            <w:r>
              <w:rPr/>
              <w:t>8.</w:t>
            </w:r>
          </w:p>
        </w:tc>
        <w:tc>
          <w:tcPr>
            <w:tcW w:w="124" w:type="dxa"/>
            <w:tcBorders/>
            <w:shd w:fill="auto" w:val="clear"/>
          </w:tcPr>
          <w:p>
            <w:pPr>
              <w:pStyle w:val="TableContents"/>
              <w:spacing w:before="0" w:after="283"/>
              <w:rPr/>
            </w:pPr>
            <w:r>
              <w:rPr/>
              <w:t> </w:t>
            </w:r>
          </w:p>
        </w:tc>
        <w:tc>
          <w:tcPr>
            <w:tcW w:w="9879" w:type="dxa"/>
            <w:tcBorders/>
            <w:shd w:fill="auto" w:val="clear"/>
          </w:tcPr>
          <w:p>
            <w:pPr>
              <w:pStyle w:val="TableContents"/>
              <w:spacing w:before="0" w:after="283"/>
              <w:rPr/>
            </w:pPr>
            <w:r>
              <w:rPr>
                <w:i/>
              </w:rPr>
              <w:t xml:space="preserve">Interest Expense. </w:t>
            </w:r>
            <w:r>
              <w:rPr/>
              <w:t>Debt balances are projected based on estimated cash flows, current distribution rates, forecasted capital expenditures for maintenance and expansion projects, expected timing of collections and payments, and forecasted levels of inventory and other working capital sources and uses.</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pPr>
            <w:r>
              <w:rPr/>
              <w:t> </w:t>
            </w:r>
          </w:p>
        </w:tc>
        <w:tc>
          <w:tcPr>
            <w:tcW w:w="124" w:type="dxa"/>
            <w:tcBorders/>
            <w:shd w:fill="auto" w:val="clear"/>
          </w:tcPr>
          <w:p>
            <w:pPr>
              <w:pStyle w:val="TableContents"/>
              <w:spacing w:before="0" w:after="283"/>
              <w:rPr/>
            </w:pPr>
            <w:r>
              <w:rPr/>
              <w:t> </w:t>
            </w:r>
          </w:p>
        </w:tc>
        <w:tc>
          <w:tcPr>
            <w:tcW w:w="9879" w:type="dxa"/>
            <w:tcBorders/>
            <w:shd w:fill="auto" w:val="clear"/>
          </w:tcPr>
          <w:p>
            <w:pPr>
              <w:pStyle w:val="TableContents"/>
              <w:spacing w:before="0" w:after="283"/>
              <w:rPr/>
            </w:pPr>
            <w:r>
              <w:rPr/>
              <w:t>Interest expense for the three months ending December 31, 2006 is expected to be between $19.3 million and $20.1 million, assuming an average long-term debt balance excluding the New Senior Notes of approximately $1.3 billion during the period and an all-in average rate of approximately 6.2%. Included in the effective cost of debt are projected interest payments, as well as commitment fees, amortization of long-term debt discounts, deferred amounts associated with terminated interest-rate hedges and interest on short-term debt for non-contango inventory (primarily hedged LPG inventory and New York Mercantile Exchange and International Petroleum Exchange margin deposits). At September 30, 2006, 100% of our long-term debt balance was fixed at an average interest rate of 6.1%. Interest expense does not include interest on borrowings for contango inventory. We treat those costs as carrying costs of crude oil and include it as part of the purchase price of crude oil.</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pPr>
            <w:r>
              <w:rPr/>
              <w:t> </w:t>
            </w:r>
          </w:p>
        </w:tc>
        <w:tc>
          <w:tcPr>
            <w:tcW w:w="124" w:type="dxa"/>
            <w:tcBorders/>
            <w:shd w:fill="auto" w:val="clear"/>
          </w:tcPr>
          <w:p>
            <w:pPr>
              <w:pStyle w:val="TableContents"/>
              <w:spacing w:before="0" w:after="283"/>
              <w:rPr/>
            </w:pPr>
            <w:r>
              <w:rPr/>
              <w:t> </w:t>
            </w:r>
          </w:p>
        </w:tc>
        <w:tc>
          <w:tcPr>
            <w:tcW w:w="9879" w:type="dxa"/>
            <w:tcBorders/>
            <w:shd w:fill="auto" w:val="clear"/>
          </w:tcPr>
          <w:p>
            <w:pPr>
              <w:pStyle w:val="TableContents"/>
              <w:spacing w:before="0" w:after="283"/>
              <w:rPr/>
            </w:pPr>
            <w:r>
              <w:rPr/>
              <w:t>The amount of interest expense noted in the preceding paragraph excludes approximately $10.8 million of interest expense associated with the New Senior Notes discussed in Note 7 above, as well as approximately $8.7 million of interest income earned from investing the net proceeds from the notes offering pending closing of the Pacific Energy acquisition. These amounts are included as separate line items in our primary guidance table, but have been treated as Selected Items Impacting Comparability in arriving at Adjusted EBITDA and Adjusted Net Income. We believe this is consistent with our treatment of excluding any contribution from Pacific Energy in our guidance pending the closing of the acquisition. In the event the Pacific Energy acquisition does not close by February 15, 2007, we are required to call the New Senior Notes at 101% of the principal amount. See Note 12 for an estimate on Adjusted EBITDA and Adjusted Net Income of the impact of the Pacific Energy acquisition assuming the acquisition closes on November 15, 2006.</w:t>
            </w:r>
          </w:p>
        </w:tc>
      </w:tr>
      <w:tr>
        <w:trPr/>
        <w:tc>
          <w:tcPr>
            <w:tcW w:w="202" w:type="dxa"/>
            <w:tcBorders/>
            <w:shd w:fill="auto" w:val="clear"/>
            <w:vAlign w:val="center"/>
          </w:tcPr>
          <w:p>
            <w:pPr>
              <w:pStyle w:val="TableContents"/>
              <w:spacing w:before="0" w:after="283"/>
              <w:rPr/>
            </w:pPr>
            <w:r>
              <w:rPr/>
              <w:t> </w:t>
            </w:r>
          </w:p>
        </w:tc>
        <w:tc>
          <w:tcPr>
            <w:tcW w:w="10003" w:type="dxa"/>
            <w:gridSpan w:val="2"/>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jc w:val="left"/>
              <w:rPr/>
            </w:pPr>
            <w:r>
              <w:rPr/>
              <w:t>9.</w:t>
            </w:r>
          </w:p>
        </w:tc>
        <w:tc>
          <w:tcPr>
            <w:tcW w:w="124" w:type="dxa"/>
            <w:tcBorders/>
            <w:shd w:fill="auto" w:val="clear"/>
          </w:tcPr>
          <w:p>
            <w:pPr>
              <w:pStyle w:val="TableContents"/>
              <w:spacing w:before="0" w:after="283"/>
              <w:rPr/>
            </w:pPr>
            <w:r>
              <w:rPr/>
              <w:t> </w:t>
            </w:r>
          </w:p>
        </w:tc>
        <w:tc>
          <w:tcPr>
            <w:tcW w:w="9879" w:type="dxa"/>
            <w:tcBorders/>
            <w:shd w:fill="auto" w:val="clear"/>
          </w:tcPr>
          <w:p>
            <w:pPr>
              <w:pStyle w:val="TableContents"/>
              <w:spacing w:before="0" w:after="283"/>
              <w:rPr/>
            </w:pPr>
            <w:r>
              <w:rPr>
                <w:i/>
              </w:rPr>
              <w:t xml:space="preserve">Net Income per Unit. </w:t>
            </w:r>
            <w:r>
              <w:rPr/>
              <w:t xml:space="preserve">Basic net income per limited partner unit is calculated by dividing net income allocated to limited partners by the basic weighted average units outstanding during the period. Under </w:t>
            </w:r>
            <w:r>
              <w:rPr>
                <w:i/>
              </w:rPr>
              <w:t xml:space="preserve">Emerging Issues Task Force Issue 03-06: Participating Securities and the Two-Class Method under FASB Statement No. 128 </w:t>
            </w:r>
            <w:r>
              <w:rPr/>
              <w:t>(EITF 03-06), when the Partnerships aggregate net income exceeds the aggregate distribution made during such period, earnings per limited partner unit are calculated as if all of the earnings for the period were distributed, regardless of the pro forma nature of the allocation and whether those earnings would actually be distributed during a particular period from an economic or practical perspective. Although EITF 03-06 does not impact overall net income or other financial results of the Partnership, for periods in which aggregate net income exceeds the aggregate distributions for such period, earnings per limited partner unit will be reduced. The following table sets forth the computation of basic and diluted earnings per limited partner unit.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tbl>
      <w:tblPr>
        <w:tblW w:w="4850" w:type="pct"/>
        <w:jc w:val="right"/>
        <w:tblInd w:w="0" w:type="dxa"/>
        <w:tblCellMar>
          <w:top w:w="0" w:type="dxa"/>
          <w:left w:w="0" w:type="dxa"/>
          <w:bottom w:w="0" w:type="dxa"/>
          <w:right w:w="0" w:type="dxa"/>
        </w:tblCellMar>
      </w:tblPr>
      <w:tblGrid>
        <w:gridCol w:w="3140"/>
        <w:gridCol w:w="258"/>
        <w:gridCol w:w="328"/>
        <w:gridCol w:w="806"/>
        <w:gridCol w:w="261"/>
        <w:gridCol w:w="288"/>
        <w:gridCol w:w="328"/>
        <w:gridCol w:w="809"/>
        <w:gridCol w:w="245"/>
        <w:gridCol w:w="279"/>
        <w:gridCol w:w="325"/>
        <w:gridCol w:w="864"/>
        <w:gridCol w:w="259"/>
        <w:gridCol w:w="287"/>
        <w:gridCol w:w="325"/>
        <w:gridCol w:w="873"/>
        <w:gridCol w:w="223"/>
      </w:tblGrid>
      <w:tr>
        <w:trPr/>
        <w:tc>
          <w:tcPr>
            <w:tcW w:w="314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6277"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Guidance (in millions, except per unit data)</w:t>
            </w:r>
          </w:p>
        </w:tc>
        <w:tc>
          <w:tcPr>
            <w:tcW w:w="223" w:type="dxa"/>
            <w:tcBorders/>
            <w:shd w:fill="auto"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820" w:type="dxa"/>
            <w:gridSpan w:val="6"/>
            <w:tcBorders/>
            <w:shd w:fill="auto" w:val="clear"/>
            <w:vAlign w:val="bottom"/>
          </w:tcPr>
          <w:p>
            <w:pPr>
              <w:pStyle w:val="TableContents"/>
              <w:spacing w:before="0" w:after="283"/>
              <w:jc w:val="center"/>
              <w:rPr>
                <w:b/>
              </w:rPr>
            </w:pPr>
            <w:r>
              <w:rPr>
                <w:b/>
              </w:rPr>
              <w:t>Three Months Ending</w:t>
            </w:r>
          </w:p>
        </w:tc>
        <w:tc>
          <w:tcPr>
            <w:tcW w:w="24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933" w:type="dxa"/>
            <w:gridSpan w:val="6"/>
            <w:tcBorders/>
            <w:shd w:fill="auto" w:val="clear"/>
            <w:vAlign w:val="bottom"/>
          </w:tcPr>
          <w:p>
            <w:pPr>
              <w:pStyle w:val="TableContents"/>
              <w:spacing w:before="0" w:after="283"/>
              <w:jc w:val="center"/>
              <w:rPr>
                <w:b/>
              </w:rPr>
            </w:pPr>
            <w:r>
              <w:rPr>
                <w:b/>
              </w:rPr>
              <w:t>Twelve Months Ending</w:t>
            </w:r>
          </w:p>
        </w:tc>
        <w:tc>
          <w:tcPr>
            <w:tcW w:w="223" w:type="dxa"/>
            <w:tcBorders/>
            <w:shd w:fill="auto"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82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2006</w:t>
            </w:r>
          </w:p>
        </w:tc>
        <w:tc>
          <w:tcPr>
            <w:tcW w:w="24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933"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2006</w:t>
            </w:r>
          </w:p>
        </w:tc>
        <w:tc>
          <w:tcPr>
            <w:tcW w:w="223" w:type="dxa"/>
            <w:tcBorders/>
            <w:shd w:fill="auto"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13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26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3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24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8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25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19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223" w:type="dxa"/>
            <w:tcBorders/>
            <w:shd w:fill="auto"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225" w:right="0" w:hanging="225"/>
              <w:rPr/>
            </w:pPr>
            <w:r>
              <w:rPr/>
              <w:t>Numerator for basic and diluted earnings per limited partner unit:</w:t>
            </w:r>
          </w:p>
        </w:tc>
        <w:tc>
          <w:tcPr>
            <w:tcW w:w="258"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0"/>
              <w:ind w:left="225" w:right="0" w:hanging="225"/>
              <w:rPr/>
            </w:pPr>
            <w:r>
              <w:rPr/>
              <w:t> </w:t>
            </w:r>
          </w:p>
        </w:tc>
        <w:tc>
          <w:tcPr>
            <w:tcW w:w="25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0"/>
              <w:ind w:left="225" w:right="0" w:hanging="225"/>
              <w:rPr/>
            </w:pPr>
            <w:r>
              <w:rPr/>
              <w:t>Net Income</w:t>
            </w:r>
          </w:p>
        </w:tc>
        <w:tc>
          <w:tcPr>
            <w:tcW w:w="25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jc w:val="left"/>
              <w:rPr/>
            </w:pPr>
            <w:r>
              <w:rPr/>
              <w:t>$</w:t>
            </w:r>
          </w:p>
        </w:tc>
        <w:tc>
          <w:tcPr>
            <w:tcW w:w="806" w:type="dxa"/>
            <w:tcBorders/>
            <w:shd w:fill="auto" w:val="clear"/>
            <w:vAlign w:val="bottom"/>
          </w:tcPr>
          <w:p>
            <w:pPr>
              <w:pStyle w:val="TableContents"/>
              <w:spacing w:before="0" w:after="283"/>
              <w:jc w:val="right"/>
              <w:rPr/>
            </w:pPr>
            <w:r>
              <w:rPr/>
              <w:t>56.4</w:t>
            </w:r>
          </w:p>
        </w:tc>
        <w:tc>
          <w:tcPr>
            <w:tcW w:w="26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67.6</w:t>
            </w:r>
          </w:p>
        </w:tc>
        <w:tc>
          <w:tcPr>
            <w:tcW w:w="24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w:t>
            </w:r>
          </w:p>
        </w:tc>
        <w:tc>
          <w:tcPr>
            <w:tcW w:w="864" w:type="dxa"/>
            <w:tcBorders/>
            <w:shd w:fill="auto" w:val="clear"/>
            <w:vAlign w:val="bottom"/>
          </w:tcPr>
          <w:p>
            <w:pPr>
              <w:pStyle w:val="TableContents"/>
              <w:spacing w:before="0" w:after="283"/>
              <w:jc w:val="right"/>
              <w:rPr/>
            </w:pPr>
            <w:r>
              <w:rPr/>
              <w:t>295.5</w:t>
            </w:r>
          </w:p>
        </w:tc>
        <w:tc>
          <w:tcPr>
            <w:tcW w:w="25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306.7</w:t>
            </w:r>
          </w:p>
        </w:tc>
        <w:tc>
          <w:tcPr>
            <w:tcW w:w="223" w:type="dxa"/>
            <w:tcBorders/>
            <w:shd w:fill="auto"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225" w:right="0" w:hanging="225"/>
              <w:rPr/>
            </w:pPr>
            <w:r>
              <w:rPr/>
              <w:t>Less:</w:t>
            </w:r>
          </w:p>
        </w:tc>
        <w:tc>
          <w:tcPr>
            <w:tcW w:w="258"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0"/>
              <w:ind w:left="450" w:right="0" w:hanging="225"/>
              <w:rPr/>
            </w:pPr>
            <w:r>
              <w:rPr/>
              <w:t>General partners incentive distribution</w:t>
            </w:r>
          </w:p>
        </w:tc>
        <w:tc>
          <w:tcPr>
            <w:tcW w:w="25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jc w:val="left"/>
              <w:rPr/>
            </w:pPr>
            <w:r>
              <w:rPr/>
              <w:t> </w:t>
            </w:r>
          </w:p>
        </w:tc>
        <w:tc>
          <w:tcPr>
            <w:tcW w:w="806" w:type="dxa"/>
            <w:tcBorders/>
            <w:shd w:fill="auto" w:val="clear"/>
            <w:vAlign w:val="bottom"/>
          </w:tcPr>
          <w:p>
            <w:pPr>
              <w:pStyle w:val="TableContents"/>
              <w:spacing w:before="0" w:after="283"/>
              <w:jc w:val="right"/>
              <w:rPr/>
            </w:pPr>
            <w:r>
              <w:rPr/>
              <w:t>(11.1</w:t>
            </w:r>
          </w:p>
        </w:tc>
        <w:tc>
          <w:tcPr>
            <w:tcW w:w="261" w:type="dxa"/>
            <w:tcBorders/>
            <w:shd w:fill="auto" w:val="clear"/>
            <w:vAlign w:val="bottom"/>
          </w:tcPr>
          <w:p>
            <w:pPr>
              <w:pStyle w:val="TableContents"/>
              <w:spacing w:before="0" w:after="283"/>
              <w:rPr/>
            </w:pPr>
            <w:r>
              <w:rPr/>
              <w:t>)</w:t>
            </w:r>
          </w:p>
        </w:tc>
        <w:tc>
          <w:tcPr>
            <w:tcW w:w="28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(11.1</w:t>
            </w:r>
          </w:p>
        </w:tc>
        <w:tc>
          <w:tcPr>
            <w:tcW w:w="245"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 </w:t>
            </w:r>
          </w:p>
        </w:tc>
        <w:tc>
          <w:tcPr>
            <w:tcW w:w="864" w:type="dxa"/>
            <w:tcBorders/>
            <w:shd w:fill="auto" w:val="clear"/>
            <w:vAlign w:val="bottom"/>
          </w:tcPr>
          <w:p>
            <w:pPr>
              <w:pStyle w:val="TableContents"/>
              <w:spacing w:before="0" w:after="283"/>
              <w:jc w:val="right"/>
              <w:rPr/>
            </w:pPr>
            <w:r>
              <w:rPr/>
              <w:t>(33.1</w:t>
            </w:r>
          </w:p>
        </w:tc>
        <w:tc>
          <w:tcPr>
            <w:tcW w:w="259" w:type="dxa"/>
            <w:tcBorders/>
            <w:shd w:fill="auto" w:val="clear"/>
            <w:vAlign w:val="bottom"/>
          </w:tcPr>
          <w:p>
            <w:pPr>
              <w:pStyle w:val="TableContents"/>
              <w:spacing w:before="0" w:after="283"/>
              <w:rPr/>
            </w:pPr>
            <w:r>
              <w:rPr/>
              <w:t>)</w:t>
            </w:r>
          </w:p>
        </w:tc>
        <w:tc>
          <w:tcPr>
            <w:tcW w:w="28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right"/>
              <w:rPr/>
            </w:pPr>
            <w:r>
              <w:rPr/>
              <w:t>(33.1</w:t>
            </w:r>
          </w:p>
        </w:tc>
        <w:tc>
          <w:tcPr>
            <w:tcW w:w="223" w:type="dxa"/>
            <w:tcBorders/>
            <w:shd w:fill="auto" w:val="clear"/>
            <w:vAlign w:val="bottom"/>
          </w:tcPr>
          <w:p>
            <w:pPr>
              <w:pStyle w:val="TableContents"/>
              <w:spacing w:before="0" w:after="283"/>
              <w:rPr/>
            </w:pPr>
            <w:r>
              <w:rPr/>
              <w:t>)</w:t>
            </w:r>
          </w:p>
        </w:tc>
      </w:tr>
      <w:tr>
        <w:trPr/>
        <w:tc>
          <w:tcPr>
            <w:tcW w:w="3140" w:type="dxa"/>
            <w:tcBorders/>
            <w:shd w:fill="auto" w:val="clear"/>
            <w:vAlign w:val="center"/>
          </w:tcPr>
          <w:p>
            <w:pPr>
              <w:pStyle w:val="TableContents"/>
              <w:spacing w:before="0" w:after="0"/>
              <w:ind w:left="225" w:right="0" w:hanging="225"/>
              <w:rPr/>
            </w:pPr>
            <w:r>
              <w:rPr/>
              <w:t> </w:t>
            </w:r>
          </w:p>
        </w:tc>
        <w:tc>
          <w:tcPr>
            <w:tcW w:w="258" w:type="dxa"/>
            <w:tcBorders/>
            <w:shd w:fill="auto" w:val="clear"/>
            <w:vAlign w:val="center"/>
          </w:tcPr>
          <w:p>
            <w:pPr>
              <w:pStyle w:val="TableContents"/>
              <w:spacing w:before="0" w:after="283"/>
              <w:rPr/>
            </w:pPr>
            <w:r>
              <w:rPr/>
              <w:t> </w:t>
            </w:r>
          </w:p>
        </w:tc>
        <w:tc>
          <w:tcPr>
            <w:tcW w:w="11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61"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1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9" w:type="dxa"/>
            <w:tcBorders/>
            <w:shd w:fill="auto" w:val="clear"/>
            <w:vAlign w:val="center"/>
          </w:tcPr>
          <w:p>
            <w:pPr>
              <w:pStyle w:val="TableContents"/>
              <w:spacing w:before="0" w:after="283"/>
              <w:rPr/>
            </w:pPr>
            <w:r>
              <w:rPr/>
              <w:t> </w:t>
            </w:r>
          </w:p>
        </w:tc>
        <w:tc>
          <w:tcPr>
            <w:tcW w:w="287" w:type="dxa"/>
            <w:tcBorders/>
            <w:shd w:fill="auto" w:val="clear"/>
            <w:vAlign w:val="center"/>
          </w:tcPr>
          <w:p>
            <w:pPr>
              <w:pStyle w:val="TableContents"/>
              <w:spacing w:before="0" w:after="283"/>
              <w:rPr/>
            </w:pPr>
            <w:r>
              <w:rPr/>
              <w:t> </w:t>
            </w:r>
          </w:p>
        </w:tc>
        <w:tc>
          <w:tcPr>
            <w:tcW w:w="11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3" w:type="dxa"/>
            <w:tcBorders/>
            <w:shd w:fill="auto" w:val="clear"/>
            <w:vAlign w:val="center"/>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225" w:right="0" w:hanging="225"/>
              <w:rPr/>
            </w:pPr>
            <w:r>
              <w:rPr/>
              <w:t> </w:t>
            </w:r>
          </w:p>
        </w:tc>
        <w:tc>
          <w:tcPr>
            <w:tcW w:w="258"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45.3</w:t>
            </w:r>
          </w:p>
        </w:tc>
        <w:tc>
          <w:tcPr>
            <w:tcW w:w="261"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56.5</w:t>
            </w:r>
          </w:p>
        </w:tc>
        <w:tc>
          <w:tcPr>
            <w:tcW w:w="24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262.4</w:t>
            </w:r>
          </w:p>
        </w:tc>
        <w:tc>
          <w:tcPr>
            <w:tcW w:w="25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273.6</w:t>
            </w:r>
          </w:p>
        </w:tc>
        <w:tc>
          <w:tcPr>
            <w:tcW w:w="223" w:type="dxa"/>
            <w:tcBorders/>
            <w:shd w:fill="CCEEFF"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0"/>
              <w:ind w:left="450" w:right="0" w:hanging="225"/>
              <w:rPr/>
            </w:pPr>
            <w:r>
              <w:rPr/>
              <w:t>General partner 2% ownership</w:t>
            </w:r>
          </w:p>
        </w:tc>
        <w:tc>
          <w:tcPr>
            <w:tcW w:w="25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jc w:val="left"/>
              <w:rPr/>
            </w:pPr>
            <w:r>
              <w:rPr/>
              <w:t> </w:t>
            </w:r>
          </w:p>
        </w:tc>
        <w:tc>
          <w:tcPr>
            <w:tcW w:w="806" w:type="dxa"/>
            <w:tcBorders/>
            <w:shd w:fill="auto" w:val="clear"/>
            <w:vAlign w:val="bottom"/>
          </w:tcPr>
          <w:p>
            <w:pPr>
              <w:pStyle w:val="TableContents"/>
              <w:spacing w:before="0" w:after="283"/>
              <w:jc w:val="right"/>
              <w:rPr/>
            </w:pPr>
            <w:r>
              <w:rPr/>
              <w:t>(0.9</w:t>
            </w:r>
          </w:p>
        </w:tc>
        <w:tc>
          <w:tcPr>
            <w:tcW w:w="261" w:type="dxa"/>
            <w:tcBorders/>
            <w:shd w:fill="auto" w:val="clear"/>
            <w:vAlign w:val="bottom"/>
          </w:tcPr>
          <w:p>
            <w:pPr>
              <w:pStyle w:val="TableContents"/>
              <w:spacing w:before="0" w:after="283"/>
              <w:rPr/>
            </w:pPr>
            <w:r>
              <w:rPr/>
              <w:t>)</w:t>
            </w:r>
          </w:p>
        </w:tc>
        <w:tc>
          <w:tcPr>
            <w:tcW w:w="28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(1.1</w:t>
            </w:r>
          </w:p>
        </w:tc>
        <w:tc>
          <w:tcPr>
            <w:tcW w:w="245" w:type="dxa"/>
            <w:tcBorders/>
            <w:shd w:fill="auto" w:val="clear"/>
            <w:vAlign w:val="bottom"/>
          </w:tcPr>
          <w:p>
            <w:pPr>
              <w:pStyle w:val="TableContents"/>
              <w:spacing w:before="0" w:after="283"/>
              <w:rPr/>
            </w:pPr>
            <w:r>
              <w:rPr/>
              <w:t>)</w:t>
            </w:r>
          </w:p>
        </w:tc>
        <w:tc>
          <w:tcPr>
            <w:tcW w:w="27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 </w:t>
            </w:r>
          </w:p>
        </w:tc>
        <w:tc>
          <w:tcPr>
            <w:tcW w:w="864" w:type="dxa"/>
            <w:tcBorders/>
            <w:shd w:fill="auto" w:val="clear"/>
            <w:vAlign w:val="bottom"/>
          </w:tcPr>
          <w:p>
            <w:pPr>
              <w:pStyle w:val="TableContents"/>
              <w:spacing w:before="0" w:after="283"/>
              <w:jc w:val="right"/>
              <w:rPr/>
            </w:pPr>
            <w:r>
              <w:rPr/>
              <w:t>(5.3</w:t>
            </w:r>
          </w:p>
        </w:tc>
        <w:tc>
          <w:tcPr>
            <w:tcW w:w="259" w:type="dxa"/>
            <w:tcBorders/>
            <w:shd w:fill="auto" w:val="clear"/>
            <w:vAlign w:val="bottom"/>
          </w:tcPr>
          <w:p>
            <w:pPr>
              <w:pStyle w:val="TableContents"/>
              <w:spacing w:before="0" w:after="283"/>
              <w:rPr/>
            </w:pPr>
            <w:r>
              <w:rPr/>
              <w:t>)</w:t>
            </w:r>
          </w:p>
        </w:tc>
        <w:tc>
          <w:tcPr>
            <w:tcW w:w="28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right"/>
              <w:rPr/>
            </w:pPr>
            <w:r>
              <w:rPr/>
              <w:t>(5.5</w:t>
            </w:r>
          </w:p>
        </w:tc>
        <w:tc>
          <w:tcPr>
            <w:tcW w:w="223" w:type="dxa"/>
            <w:tcBorders/>
            <w:shd w:fill="auto" w:val="clear"/>
            <w:vAlign w:val="bottom"/>
          </w:tcPr>
          <w:p>
            <w:pPr>
              <w:pStyle w:val="TableContents"/>
              <w:spacing w:before="0" w:after="283"/>
              <w:rPr/>
            </w:pPr>
            <w:r>
              <w:rPr/>
              <w:t>)</w:t>
            </w:r>
          </w:p>
        </w:tc>
      </w:tr>
      <w:tr>
        <w:trPr/>
        <w:tc>
          <w:tcPr>
            <w:tcW w:w="3140" w:type="dxa"/>
            <w:tcBorders/>
            <w:shd w:fill="auto" w:val="clear"/>
            <w:vAlign w:val="center"/>
          </w:tcPr>
          <w:p>
            <w:pPr>
              <w:pStyle w:val="TableContents"/>
              <w:spacing w:before="0" w:after="0"/>
              <w:ind w:left="225" w:right="0" w:hanging="225"/>
              <w:rPr/>
            </w:pPr>
            <w:r>
              <w:rPr/>
              <w:t> </w:t>
            </w:r>
          </w:p>
        </w:tc>
        <w:tc>
          <w:tcPr>
            <w:tcW w:w="258" w:type="dxa"/>
            <w:tcBorders/>
            <w:shd w:fill="auto" w:val="clear"/>
            <w:vAlign w:val="center"/>
          </w:tcPr>
          <w:p>
            <w:pPr>
              <w:pStyle w:val="TableContents"/>
              <w:spacing w:before="0" w:after="283"/>
              <w:rPr/>
            </w:pPr>
            <w:r>
              <w:rPr/>
              <w:t> </w:t>
            </w:r>
          </w:p>
        </w:tc>
        <w:tc>
          <w:tcPr>
            <w:tcW w:w="11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61"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1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9" w:type="dxa"/>
            <w:tcBorders/>
            <w:shd w:fill="auto" w:val="clear"/>
            <w:vAlign w:val="center"/>
          </w:tcPr>
          <w:p>
            <w:pPr>
              <w:pStyle w:val="TableContents"/>
              <w:spacing w:before="0" w:after="283"/>
              <w:rPr/>
            </w:pPr>
            <w:r>
              <w:rPr/>
              <w:t> </w:t>
            </w:r>
          </w:p>
        </w:tc>
        <w:tc>
          <w:tcPr>
            <w:tcW w:w="287" w:type="dxa"/>
            <w:tcBorders/>
            <w:shd w:fill="auto" w:val="clear"/>
            <w:vAlign w:val="center"/>
          </w:tcPr>
          <w:p>
            <w:pPr>
              <w:pStyle w:val="TableContents"/>
              <w:spacing w:before="0" w:after="283"/>
              <w:rPr/>
            </w:pPr>
            <w:r>
              <w:rPr/>
              <w:t> </w:t>
            </w:r>
          </w:p>
        </w:tc>
        <w:tc>
          <w:tcPr>
            <w:tcW w:w="11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3" w:type="dxa"/>
            <w:tcBorders/>
            <w:shd w:fill="auto" w:val="clear"/>
            <w:vAlign w:val="center"/>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450" w:right="0" w:hanging="225"/>
              <w:rPr/>
            </w:pPr>
            <w:r>
              <w:rPr/>
              <w:t>Net income available to limited partners</w:t>
            </w:r>
          </w:p>
        </w:tc>
        <w:tc>
          <w:tcPr>
            <w:tcW w:w="258"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44.4</w:t>
            </w:r>
          </w:p>
        </w:tc>
        <w:tc>
          <w:tcPr>
            <w:tcW w:w="261"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55.4</w:t>
            </w:r>
          </w:p>
        </w:tc>
        <w:tc>
          <w:tcPr>
            <w:tcW w:w="24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257.1</w:t>
            </w:r>
          </w:p>
        </w:tc>
        <w:tc>
          <w:tcPr>
            <w:tcW w:w="25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268.1</w:t>
            </w:r>
          </w:p>
        </w:tc>
        <w:tc>
          <w:tcPr>
            <w:tcW w:w="223" w:type="dxa"/>
            <w:tcBorders/>
            <w:shd w:fill="CCEEFF"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0"/>
              <w:ind w:left="450" w:right="0" w:hanging="225"/>
              <w:rPr/>
            </w:pPr>
            <w:r>
              <w:rPr/>
              <w:t>Pro forma additional general partners distribution</w:t>
            </w:r>
          </w:p>
        </w:tc>
        <w:tc>
          <w:tcPr>
            <w:tcW w:w="25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w:t>
            </w:r>
          </w:p>
        </w:tc>
        <w:tc>
          <w:tcPr>
            <w:tcW w:w="26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w:t>
            </w:r>
          </w:p>
        </w:tc>
        <w:tc>
          <w:tcPr>
            <w:tcW w:w="24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 </w:t>
            </w:r>
          </w:p>
        </w:tc>
        <w:tc>
          <w:tcPr>
            <w:tcW w:w="864" w:type="dxa"/>
            <w:tcBorders/>
            <w:shd w:fill="auto" w:val="clear"/>
            <w:vAlign w:val="bottom"/>
          </w:tcPr>
          <w:p>
            <w:pPr>
              <w:pStyle w:val="TableContents"/>
              <w:spacing w:before="0" w:after="283"/>
              <w:jc w:val="right"/>
              <w:rPr/>
            </w:pPr>
            <w:r>
              <w:rPr/>
              <w:t>(16.1</w:t>
            </w:r>
          </w:p>
        </w:tc>
        <w:tc>
          <w:tcPr>
            <w:tcW w:w="259" w:type="dxa"/>
            <w:tcBorders/>
            <w:shd w:fill="auto" w:val="clear"/>
            <w:vAlign w:val="bottom"/>
          </w:tcPr>
          <w:p>
            <w:pPr>
              <w:pStyle w:val="TableContents"/>
              <w:spacing w:before="0" w:after="283"/>
              <w:rPr/>
            </w:pPr>
            <w:r>
              <w:rPr/>
              <w:t>)</w:t>
            </w:r>
          </w:p>
        </w:tc>
        <w:tc>
          <w:tcPr>
            <w:tcW w:w="28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right"/>
              <w:rPr/>
            </w:pPr>
            <w:r>
              <w:rPr/>
              <w:t>(21.5</w:t>
            </w:r>
          </w:p>
        </w:tc>
        <w:tc>
          <w:tcPr>
            <w:tcW w:w="223" w:type="dxa"/>
            <w:tcBorders/>
            <w:shd w:fill="auto" w:val="clear"/>
            <w:vAlign w:val="bottom"/>
          </w:tcPr>
          <w:p>
            <w:pPr>
              <w:pStyle w:val="TableContents"/>
              <w:spacing w:before="0" w:after="283"/>
              <w:rPr/>
            </w:pPr>
            <w:r>
              <w:rPr/>
              <w:t>)</w:t>
            </w:r>
          </w:p>
        </w:tc>
      </w:tr>
      <w:tr>
        <w:trPr/>
        <w:tc>
          <w:tcPr>
            <w:tcW w:w="3140" w:type="dxa"/>
            <w:tcBorders/>
            <w:shd w:fill="auto" w:val="clear"/>
            <w:vAlign w:val="center"/>
          </w:tcPr>
          <w:p>
            <w:pPr>
              <w:pStyle w:val="TableContents"/>
              <w:spacing w:before="0" w:after="0"/>
              <w:ind w:left="225" w:right="0" w:hanging="225"/>
              <w:rPr/>
            </w:pPr>
            <w:r>
              <w:rPr/>
              <w:t> </w:t>
            </w:r>
          </w:p>
        </w:tc>
        <w:tc>
          <w:tcPr>
            <w:tcW w:w="258" w:type="dxa"/>
            <w:tcBorders/>
            <w:shd w:fill="auto" w:val="clear"/>
            <w:vAlign w:val="center"/>
          </w:tcPr>
          <w:p>
            <w:pPr>
              <w:pStyle w:val="TableContents"/>
              <w:spacing w:before="0" w:after="283"/>
              <w:rPr/>
            </w:pPr>
            <w:r>
              <w:rPr/>
              <w:t> </w:t>
            </w:r>
          </w:p>
        </w:tc>
        <w:tc>
          <w:tcPr>
            <w:tcW w:w="11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61"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1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9" w:type="dxa"/>
            <w:tcBorders/>
            <w:shd w:fill="auto" w:val="clear"/>
            <w:vAlign w:val="center"/>
          </w:tcPr>
          <w:p>
            <w:pPr>
              <w:pStyle w:val="TableContents"/>
              <w:spacing w:before="0" w:after="283"/>
              <w:rPr/>
            </w:pPr>
            <w:r>
              <w:rPr/>
              <w:t> </w:t>
            </w:r>
          </w:p>
        </w:tc>
        <w:tc>
          <w:tcPr>
            <w:tcW w:w="287" w:type="dxa"/>
            <w:tcBorders/>
            <w:shd w:fill="auto" w:val="clear"/>
            <w:vAlign w:val="center"/>
          </w:tcPr>
          <w:p>
            <w:pPr>
              <w:pStyle w:val="TableContents"/>
              <w:spacing w:before="0" w:after="283"/>
              <w:rPr/>
            </w:pPr>
            <w:r>
              <w:rPr/>
              <w:t> </w:t>
            </w:r>
          </w:p>
        </w:tc>
        <w:tc>
          <w:tcPr>
            <w:tcW w:w="11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3" w:type="dxa"/>
            <w:tcBorders/>
            <w:shd w:fill="auto" w:val="clear"/>
            <w:vAlign w:val="center"/>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225" w:right="0" w:hanging="225"/>
              <w:rPr/>
            </w:pPr>
            <w:r>
              <w:rPr/>
              <w:t>Net Income available for limited partners under EITF 03-06</w:t>
            </w:r>
          </w:p>
        </w:tc>
        <w:tc>
          <w:tcPr>
            <w:tcW w:w="258"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jc w:val="left"/>
              <w:rPr/>
            </w:pPr>
            <w:r>
              <w:rPr/>
              <w:t>$</w:t>
            </w:r>
          </w:p>
        </w:tc>
        <w:tc>
          <w:tcPr>
            <w:tcW w:w="806" w:type="dxa"/>
            <w:tcBorders/>
            <w:shd w:fill="CCEEFF" w:val="clear"/>
            <w:vAlign w:val="bottom"/>
          </w:tcPr>
          <w:p>
            <w:pPr>
              <w:pStyle w:val="TableContents"/>
              <w:spacing w:before="0" w:after="283"/>
              <w:jc w:val="right"/>
              <w:rPr/>
            </w:pPr>
            <w:r>
              <w:rPr/>
              <w:t>44.4</w:t>
            </w:r>
          </w:p>
        </w:tc>
        <w:tc>
          <w:tcPr>
            <w:tcW w:w="261"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55.4</w:t>
            </w:r>
          </w:p>
        </w:tc>
        <w:tc>
          <w:tcPr>
            <w:tcW w:w="24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jc w:val="left"/>
              <w:rPr/>
            </w:pPr>
            <w:r>
              <w:rPr/>
              <w:t>$</w:t>
            </w:r>
          </w:p>
        </w:tc>
        <w:tc>
          <w:tcPr>
            <w:tcW w:w="864" w:type="dxa"/>
            <w:tcBorders/>
            <w:shd w:fill="CCEEFF" w:val="clear"/>
            <w:vAlign w:val="bottom"/>
          </w:tcPr>
          <w:p>
            <w:pPr>
              <w:pStyle w:val="TableContents"/>
              <w:spacing w:before="0" w:after="283"/>
              <w:jc w:val="right"/>
              <w:rPr/>
            </w:pPr>
            <w:r>
              <w:rPr/>
              <w:t>241.0</w:t>
            </w:r>
          </w:p>
        </w:tc>
        <w:tc>
          <w:tcPr>
            <w:tcW w:w="25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jc w:val="left"/>
              <w:rPr/>
            </w:pPr>
            <w:r>
              <w:rPr/>
              <w:t>$</w:t>
            </w:r>
          </w:p>
        </w:tc>
        <w:tc>
          <w:tcPr>
            <w:tcW w:w="873" w:type="dxa"/>
            <w:tcBorders/>
            <w:shd w:fill="CCEEFF" w:val="clear"/>
            <w:vAlign w:val="bottom"/>
          </w:tcPr>
          <w:p>
            <w:pPr>
              <w:pStyle w:val="TableContents"/>
              <w:spacing w:before="0" w:after="283"/>
              <w:jc w:val="right"/>
              <w:rPr/>
            </w:pPr>
            <w:r>
              <w:rPr/>
              <w:t>246.6</w:t>
            </w:r>
          </w:p>
        </w:tc>
        <w:tc>
          <w:tcPr>
            <w:tcW w:w="223" w:type="dxa"/>
            <w:tcBorders/>
            <w:shd w:fill="CCEEFF" w:val="clear"/>
            <w:vAlign w:val="bottom"/>
          </w:tcPr>
          <w:p>
            <w:pPr>
              <w:pStyle w:val="TableContents"/>
              <w:spacing w:before="0" w:after="283"/>
              <w:rPr/>
            </w:pPr>
            <w:r>
              <w:rPr/>
              <w:t> </w:t>
            </w:r>
          </w:p>
        </w:tc>
      </w:tr>
      <w:tr>
        <w:trPr/>
        <w:tc>
          <w:tcPr>
            <w:tcW w:w="3140" w:type="dxa"/>
            <w:tcBorders/>
            <w:shd w:fill="auto" w:val="clear"/>
            <w:vAlign w:val="center"/>
          </w:tcPr>
          <w:p>
            <w:pPr>
              <w:pStyle w:val="TableContents"/>
              <w:spacing w:before="0" w:after="0"/>
              <w:ind w:left="225" w:right="0" w:hanging="225"/>
              <w:rPr/>
            </w:pPr>
            <w:r>
              <w:rPr/>
              <w:t> </w:t>
            </w:r>
          </w:p>
        </w:tc>
        <w:tc>
          <w:tcPr>
            <w:tcW w:w="258" w:type="dxa"/>
            <w:tcBorders/>
            <w:shd w:fill="auto" w:val="clear"/>
            <w:vAlign w:val="center"/>
          </w:tcPr>
          <w:p>
            <w:pPr>
              <w:pStyle w:val="TableContents"/>
              <w:spacing w:before="0" w:after="283"/>
              <w:rPr/>
            </w:pPr>
            <w:r>
              <w:rPr/>
              <w:t> </w:t>
            </w:r>
          </w:p>
        </w:tc>
        <w:tc>
          <w:tcPr>
            <w:tcW w:w="113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61"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1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11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9" w:type="dxa"/>
            <w:tcBorders/>
            <w:shd w:fill="auto" w:val="clear"/>
            <w:vAlign w:val="center"/>
          </w:tcPr>
          <w:p>
            <w:pPr>
              <w:pStyle w:val="TableContents"/>
              <w:spacing w:before="0" w:after="283"/>
              <w:rPr/>
            </w:pPr>
            <w:r>
              <w:rPr/>
              <w:t> </w:t>
            </w:r>
          </w:p>
        </w:tc>
        <w:tc>
          <w:tcPr>
            <w:tcW w:w="287" w:type="dxa"/>
            <w:tcBorders/>
            <w:shd w:fill="auto" w:val="clear"/>
            <w:vAlign w:val="center"/>
          </w:tcPr>
          <w:p>
            <w:pPr>
              <w:pStyle w:val="TableContents"/>
              <w:spacing w:before="0" w:after="283"/>
              <w:rPr/>
            </w:pPr>
            <w:r>
              <w:rPr/>
              <w:t> </w:t>
            </w:r>
          </w:p>
        </w:tc>
        <w:tc>
          <w:tcPr>
            <w:tcW w:w="11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3" w:type="dxa"/>
            <w:tcBorders/>
            <w:shd w:fill="auto" w:val="clear"/>
            <w:vAlign w:val="center"/>
          </w:tcPr>
          <w:p>
            <w:pPr>
              <w:pStyle w:val="TableContents"/>
              <w:spacing w:before="0" w:after="283"/>
              <w:rPr/>
            </w:pPr>
            <w:r>
              <w:rPr/>
              <w:t> </w:t>
            </w:r>
          </w:p>
        </w:tc>
      </w:tr>
      <w:tr>
        <w:trPr/>
        <w:tc>
          <w:tcPr>
            <w:tcW w:w="3140" w:type="dxa"/>
            <w:tcBorders/>
            <w:shd w:fill="auto" w:val="clear"/>
            <w:vAlign w:val="bottom"/>
          </w:tcPr>
          <w:p>
            <w:pPr>
              <w:pStyle w:val="TableContents"/>
              <w:spacing w:before="0" w:after="0"/>
              <w:ind w:left="225" w:right="0" w:hanging="225"/>
              <w:rPr/>
            </w:pPr>
            <w:r>
              <w:rPr/>
              <w:t>Denominator:</w:t>
            </w:r>
          </w:p>
        </w:tc>
        <w:tc>
          <w:tcPr>
            <w:tcW w:w="25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450" w:right="0" w:hanging="225"/>
              <w:rPr/>
            </w:pPr>
            <w:r>
              <w:rPr/>
              <w:t>Denominator for basic earnings per limited partner unit-weighted average number of limited partner units</w:t>
            </w:r>
          </w:p>
        </w:tc>
        <w:tc>
          <w:tcPr>
            <w:tcW w:w="258"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81.0</w:t>
            </w:r>
          </w:p>
        </w:tc>
        <w:tc>
          <w:tcPr>
            <w:tcW w:w="261"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81.0</w:t>
            </w:r>
          </w:p>
        </w:tc>
        <w:tc>
          <w:tcPr>
            <w:tcW w:w="24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78.0</w:t>
            </w:r>
          </w:p>
        </w:tc>
        <w:tc>
          <w:tcPr>
            <w:tcW w:w="25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78.0</w:t>
            </w:r>
          </w:p>
        </w:tc>
        <w:tc>
          <w:tcPr>
            <w:tcW w:w="223" w:type="dxa"/>
            <w:tcBorders/>
            <w:shd w:fill="CCEEFF"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0"/>
              <w:ind w:left="450" w:right="0" w:hanging="225"/>
              <w:rPr/>
            </w:pPr>
            <w:r>
              <w:rPr/>
              <w:t>Effect of dilutive securities:</w:t>
            </w:r>
          </w:p>
        </w:tc>
        <w:tc>
          <w:tcPr>
            <w:tcW w:w="25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450" w:right="0" w:hanging="225"/>
              <w:rPr/>
            </w:pPr>
            <w:r>
              <w:rPr/>
              <w:t>Weighted average LTIP units</w:t>
            </w:r>
          </w:p>
        </w:tc>
        <w:tc>
          <w:tcPr>
            <w:tcW w:w="258"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1.0</w:t>
            </w:r>
          </w:p>
        </w:tc>
        <w:tc>
          <w:tcPr>
            <w:tcW w:w="261"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1.0</w:t>
            </w:r>
          </w:p>
        </w:tc>
        <w:tc>
          <w:tcPr>
            <w:tcW w:w="24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0.8</w:t>
            </w:r>
          </w:p>
        </w:tc>
        <w:tc>
          <w:tcPr>
            <w:tcW w:w="25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0.8</w:t>
            </w:r>
          </w:p>
        </w:tc>
        <w:tc>
          <w:tcPr>
            <w:tcW w:w="223" w:type="dxa"/>
            <w:tcBorders/>
            <w:shd w:fill="CCEEFF" w:val="clear"/>
            <w:vAlign w:val="bottom"/>
          </w:tcPr>
          <w:p>
            <w:pPr>
              <w:pStyle w:val="TableContents"/>
              <w:spacing w:before="0" w:after="283"/>
              <w:rPr/>
            </w:pPr>
            <w:r>
              <w:rPr/>
              <w:t> </w:t>
            </w:r>
          </w:p>
        </w:tc>
      </w:tr>
      <w:tr>
        <w:trPr/>
        <w:tc>
          <w:tcPr>
            <w:tcW w:w="3140" w:type="dxa"/>
            <w:tcBorders/>
            <w:shd w:fill="auto" w:val="clear"/>
            <w:vAlign w:val="center"/>
          </w:tcPr>
          <w:p>
            <w:pPr>
              <w:pStyle w:val="TableContents"/>
              <w:spacing w:before="0" w:after="0"/>
              <w:ind w:left="225" w:right="0" w:hanging="225"/>
              <w:rPr/>
            </w:pPr>
            <w:r>
              <w:rPr/>
              <w:t> </w:t>
            </w:r>
          </w:p>
        </w:tc>
        <w:tc>
          <w:tcPr>
            <w:tcW w:w="258" w:type="dxa"/>
            <w:tcBorders/>
            <w:shd w:fill="auto" w:val="clear"/>
            <w:vAlign w:val="center"/>
          </w:tcPr>
          <w:p>
            <w:pPr>
              <w:pStyle w:val="TableContents"/>
              <w:spacing w:before="0" w:after="283"/>
              <w:rPr/>
            </w:pPr>
            <w:r>
              <w:rPr/>
              <w:t> </w:t>
            </w:r>
          </w:p>
        </w:tc>
        <w:tc>
          <w:tcPr>
            <w:tcW w:w="11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61"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1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11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9" w:type="dxa"/>
            <w:tcBorders/>
            <w:shd w:fill="auto" w:val="clear"/>
            <w:vAlign w:val="center"/>
          </w:tcPr>
          <w:p>
            <w:pPr>
              <w:pStyle w:val="TableContents"/>
              <w:spacing w:before="0" w:after="283"/>
              <w:rPr/>
            </w:pPr>
            <w:r>
              <w:rPr/>
              <w:t> </w:t>
            </w:r>
          </w:p>
        </w:tc>
        <w:tc>
          <w:tcPr>
            <w:tcW w:w="287" w:type="dxa"/>
            <w:tcBorders/>
            <w:shd w:fill="auto" w:val="clear"/>
            <w:vAlign w:val="center"/>
          </w:tcPr>
          <w:p>
            <w:pPr>
              <w:pStyle w:val="TableContents"/>
              <w:spacing w:before="0" w:after="283"/>
              <w:rPr/>
            </w:pPr>
            <w:r>
              <w:rPr/>
              <w:t> </w:t>
            </w:r>
          </w:p>
        </w:tc>
        <w:tc>
          <w:tcPr>
            <w:tcW w:w="11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3" w:type="dxa"/>
            <w:tcBorders/>
            <w:shd w:fill="auto" w:val="clear"/>
            <w:vAlign w:val="center"/>
          </w:tcPr>
          <w:p>
            <w:pPr>
              <w:pStyle w:val="TableContents"/>
              <w:spacing w:before="0" w:after="283"/>
              <w:rPr/>
            </w:pPr>
            <w:r>
              <w:rPr/>
              <w:t> </w:t>
            </w:r>
          </w:p>
        </w:tc>
      </w:tr>
      <w:tr>
        <w:trPr/>
        <w:tc>
          <w:tcPr>
            <w:tcW w:w="3140" w:type="dxa"/>
            <w:tcBorders/>
            <w:shd w:fill="auto" w:val="clear"/>
            <w:vAlign w:val="bottom"/>
          </w:tcPr>
          <w:p>
            <w:pPr>
              <w:pStyle w:val="TableContents"/>
              <w:spacing w:before="0" w:after="0"/>
              <w:ind w:left="450" w:right="0" w:hanging="225"/>
              <w:rPr/>
            </w:pPr>
            <w:r>
              <w:rPr/>
              <w:t>Denominator for diluted earnings per limited partner unit-weighted average number of limited partner units</w:t>
            </w:r>
          </w:p>
        </w:tc>
        <w:tc>
          <w:tcPr>
            <w:tcW w:w="25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82.0</w:t>
            </w:r>
          </w:p>
        </w:tc>
        <w:tc>
          <w:tcPr>
            <w:tcW w:w="26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82.0</w:t>
            </w:r>
          </w:p>
        </w:tc>
        <w:tc>
          <w:tcPr>
            <w:tcW w:w="24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78.8</w:t>
            </w:r>
          </w:p>
        </w:tc>
        <w:tc>
          <w:tcPr>
            <w:tcW w:w="25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78.8</w:t>
            </w:r>
          </w:p>
        </w:tc>
        <w:tc>
          <w:tcPr>
            <w:tcW w:w="223" w:type="dxa"/>
            <w:tcBorders/>
            <w:shd w:fill="auto" w:val="clear"/>
            <w:vAlign w:val="bottom"/>
          </w:tcPr>
          <w:p>
            <w:pPr>
              <w:pStyle w:val="TableContents"/>
              <w:spacing w:before="0" w:after="283"/>
              <w:rPr/>
            </w:pPr>
            <w:r>
              <w:rPr/>
              <w:t> </w:t>
            </w:r>
          </w:p>
        </w:tc>
      </w:tr>
      <w:tr>
        <w:trPr/>
        <w:tc>
          <w:tcPr>
            <w:tcW w:w="3140" w:type="dxa"/>
            <w:tcBorders/>
            <w:shd w:fill="auto" w:val="clear"/>
            <w:vAlign w:val="center"/>
          </w:tcPr>
          <w:p>
            <w:pPr>
              <w:pStyle w:val="TableContents"/>
              <w:spacing w:before="0" w:after="0"/>
              <w:ind w:left="225" w:right="0" w:hanging="225"/>
              <w:rPr/>
            </w:pPr>
            <w:r>
              <w:rPr/>
              <w:t> </w:t>
            </w:r>
          </w:p>
        </w:tc>
        <w:tc>
          <w:tcPr>
            <w:tcW w:w="258" w:type="dxa"/>
            <w:tcBorders/>
            <w:shd w:fill="auto" w:val="clear"/>
            <w:vAlign w:val="center"/>
          </w:tcPr>
          <w:p>
            <w:pPr>
              <w:pStyle w:val="TableContents"/>
              <w:spacing w:before="0" w:after="283"/>
              <w:rPr/>
            </w:pPr>
            <w:r>
              <w:rPr/>
              <w:t> </w:t>
            </w:r>
          </w:p>
        </w:tc>
        <w:tc>
          <w:tcPr>
            <w:tcW w:w="113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61"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1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11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9" w:type="dxa"/>
            <w:tcBorders/>
            <w:shd w:fill="auto" w:val="clear"/>
            <w:vAlign w:val="center"/>
          </w:tcPr>
          <w:p>
            <w:pPr>
              <w:pStyle w:val="TableContents"/>
              <w:spacing w:before="0" w:after="283"/>
              <w:rPr/>
            </w:pPr>
            <w:r>
              <w:rPr/>
              <w:t> </w:t>
            </w:r>
          </w:p>
        </w:tc>
        <w:tc>
          <w:tcPr>
            <w:tcW w:w="287" w:type="dxa"/>
            <w:tcBorders/>
            <w:shd w:fill="auto" w:val="clear"/>
            <w:vAlign w:val="center"/>
          </w:tcPr>
          <w:p>
            <w:pPr>
              <w:pStyle w:val="TableContents"/>
              <w:spacing w:before="0" w:after="283"/>
              <w:rPr/>
            </w:pPr>
            <w:r>
              <w:rPr/>
              <w:t> </w:t>
            </w:r>
          </w:p>
        </w:tc>
        <w:tc>
          <w:tcPr>
            <w:tcW w:w="11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3" w:type="dxa"/>
            <w:tcBorders/>
            <w:shd w:fill="auto" w:val="clear"/>
            <w:vAlign w:val="center"/>
          </w:tcPr>
          <w:p>
            <w:pPr>
              <w:pStyle w:val="TableContents"/>
              <w:spacing w:before="0" w:after="283"/>
              <w:rPr/>
            </w:pPr>
            <w:r>
              <w:rPr/>
              <w:t> </w:t>
            </w:r>
          </w:p>
        </w:tc>
      </w:tr>
      <w:tr>
        <w:trPr/>
        <w:tc>
          <w:tcPr>
            <w:tcW w:w="3140" w:type="dxa"/>
            <w:tcBorders/>
            <w:shd w:fill="auto" w:val="clear"/>
            <w:vAlign w:val="bottom"/>
          </w:tcPr>
          <w:p>
            <w:pPr>
              <w:pStyle w:val="TableContents"/>
              <w:spacing w:before="0" w:after="0"/>
              <w:ind w:left="225" w:right="0" w:hanging="225"/>
              <w:rPr/>
            </w:pPr>
            <w:r>
              <w:rPr/>
              <w:t> </w:t>
            </w:r>
          </w:p>
        </w:tc>
        <w:tc>
          <w:tcPr>
            <w:tcW w:w="25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225" w:right="0" w:hanging="225"/>
              <w:rPr/>
            </w:pPr>
            <w:r>
              <w:rPr/>
              <w:t>Basic net income per limited partner unit</w:t>
            </w:r>
          </w:p>
        </w:tc>
        <w:tc>
          <w:tcPr>
            <w:tcW w:w="258"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jc w:val="left"/>
              <w:rPr/>
            </w:pPr>
            <w:r>
              <w:rPr/>
              <w:t>$</w:t>
            </w:r>
          </w:p>
        </w:tc>
        <w:tc>
          <w:tcPr>
            <w:tcW w:w="806" w:type="dxa"/>
            <w:tcBorders/>
            <w:shd w:fill="CCEEFF" w:val="clear"/>
            <w:vAlign w:val="bottom"/>
          </w:tcPr>
          <w:p>
            <w:pPr>
              <w:pStyle w:val="TableContents"/>
              <w:spacing w:before="0" w:after="283"/>
              <w:jc w:val="right"/>
              <w:rPr/>
            </w:pPr>
            <w:r>
              <w:rPr/>
              <w:t>0.55</w:t>
            </w:r>
          </w:p>
        </w:tc>
        <w:tc>
          <w:tcPr>
            <w:tcW w:w="261"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0.68</w:t>
            </w:r>
          </w:p>
        </w:tc>
        <w:tc>
          <w:tcPr>
            <w:tcW w:w="24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jc w:val="left"/>
              <w:rPr/>
            </w:pPr>
            <w:r>
              <w:rPr/>
              <w:t>$</w:t>
            </w:r>
          </w:p>
        </w:tc>
        <w:tc>
          <w:tcPr>
            <w:tcW w:w="864" w:type="dxa"/>
            <w:tcBorders/>
            <w:shd w:fill="CCEEFF" w:val="clear"/>
            <w:vAlign w:val="bottom"/>
          </w:tcPr>
          <w:p>
            <w:pPr>
              <w:pStyle w:val="TableContents"/>
              <w:spacing w:before="0" w:after="283"/>
              <w:jc w:val="right"/>
              <w:rPr/>
            </w:pPr>
            <w:r>
              <w:rPr/>
              <w:t>3.09</w:t>
            </w:r>
          </w:p>
        </w:tc>
        <w:tc>
          <w:tcPr>
            <w:tcW w:w="259"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jc w:val="left"/>
              <w:rPr/>
            </w:pPr>
            <w:r>
              <w:rPr/>
              <w:t>$</w:t>
            </w:r>
          </w:p>
        </w:tc>
        <w:tc>
          <w:tcPr>
            <w:tcW w:w="873" w:type="dxa"/>
            <w:tcBorders/>
            <w:shd w:fill="CCEEFF" w:val="clear"/>
            <w:vAlign w:val="bottom"/>
          </w:tcPr>
          <w:p>
            <w:pPr>
              <w:pStyle w:val="TableContents"/>
              <w:spacing w:before="0" w:after="283"/>
              <w:jc w:val="right"/>
              <w:rPr/>
            </w:pPr>
            <w:r>
              <w:rPr/>
              <w:t>3.16</w:t>
            </w:r>
          </w:p>
        </w:tc>
        <w:tc>
          <w:tcPr>
            <w:tcW w:w="223" w:type="dxa"/>
            <w:tcBorders/>
            <w:shd w:fill="CCEEFF" w:val="clear"/>
            <w:vAlign w:val="bottom"/>
          </w:tcPr>
          <w:p>
            <w:pPr>
              <w:pStyle w:val="TableContents"/>
              <w:spacing w:before="0" w:after="283"/>
              <w:rPr/>
            </w:pPr>
            <w:r>
              <w:rPr/>
              <w:t> </w:t>
            </w:r>
          </w:p>
        </w:tc>
      </w:tr>
      <w:tr>
        <w:trPr/>
        <w:tc>
          <w:tcPr>
            <w:tcW w:w="3140" w:type="dxa"/>
            <w:tcBorders/>
            <w:shd w:fill="auto" w:val="clear"/>
            <w:vAlign w:val="center"/>
          </w:tcPr>
          <w:p>
            <w:pPr>
              <w:pStyle w:val="TableContents"/>
              <w:spacing w:before="0" w:after="0"/>
              <w:ind w:left="225" w:right="0" w:hanging="225"/>
              <w:rPr/>
            </w:pPr>
            <w:r>
              <w:rPr/>
              <w:t> </w:t>
            </w:r>
          </w:p>
        </w:tc>
        <w:tc>
          <w:tcPr>
            <w:tcW w:w="258" w:type="dxa"/>
            <w:tcBorders/>
            <w:shd w:fill="auto" w:val="clear"/>
            <w:vAlign w:val="center"/>
          </w:tcPr>
          <w:p>
            <w:pPr>
              <w:pStyle w:val="TableContents"/>
              <w:spacing w:before="0" w:after="283"/>
              <w:rPr/>
            </w:pPr>
            <w:r>
              <w:rPr/>
              <w:t> </w:t>
            </w:r>
          </w:p>
        </w:tc>
        <w:tc>
          <w:tcPr>
            <w:tcW w:w="113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61"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1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11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9" w:type="dxa"/>
            <w:tcBorders/>
            <w:shd w:fill="auto" w:val="clear"/>
            <w:vAlign w:val="center"/>
          </w:tcPr>
          <w:p>
            <w:pPr>
              <w:pStyle w:val="TableContents"/>
              <w:spacing w:before="0" w:after="283"/>
              <w:rPr/>
            </w:pPr>
            <w:r>
              <w:rPr/>
              <w:t> </w:t>
            </w:r>
          </w:p>
        </w:tc>
        <w:tc>
          <w:tcPr>
            <w:tcW w:w="287" w:type="dxa"/>
            <w:tcBorders/>
            <w:shd w:fill="auto" w:val="clear"/>
            <w:vAlign w:val="center"/>
          </w:tcPr>
          <w:p>
            <w:pPr>
              <w:pStyle w:val="TableContents"/>
              <w:spacing w:before="0" w:after="283"/>
              <w:rPr/>
            </w:pPr>
            <w:r>
              <w:rPr/>
              <w:t> </w:t>
            </w:r>
          </w:p>
        </w:tc>
        <w:tc>
          <w:tcPr>
            <w:tcW w:w="11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3" w:type="dxa"/>
            <w:tcBorders/>
            <w:shd w:fill="auto" w:val="clear"/>
            <w:vAlign w:val="center"/>
          </w:tcPr>
          <w:p>
            <w:pPr>
              <w:pStyle w:val="TableContents"/>
              <w:spacing w:before="0" w:after="283"/>
              <w:rPr/>
            </w:pPr>
            <w:r>
              <w:rPr/>
              <w:t> </w:t>
            </w:r>
          </w:p>
        </w:tc>
      </w:tr>
      <w:tr>
        <w:trPr/>
        <w:tc>
          <w:tcPr>
            <w:tcW w:w="3140" w:type="dxa"/>
            <w:tcBorders/>
            <w:shd w:fill="auto" w:val="clear"/>
            <w:vAlign w:val="bottom"/>
          </w:tcPr>
          <w:p>
            <w:pPr>
              <w:pStyle w:val="TableContents"/>
              <w:spacing w:before="0" w:after="0"/>
              <w:ind w:left="225" w:right="0" w:hanging="225"/>
              <w:rPr/>
            </w:pPr>
            <w:r>
              <w:rPr/>
              <w:t>Diluted net income per limited partner unit</w:t>
            </w:r>
          </w:p>
        </w:tc>
        <w:tc>
          <w:tcPr>
            <w:tcW w:w="25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jc w:val="left"/>
              <w:rPr/>
            </w:pPr>
            <w:r>
              <w:rPr/>
              <w:t>$</w:t>
            </w:r>
          </w:p>
        </w:tc>
        <w:tc>
          <w:tcPr>
            <w:tcW w:w="806" w:type="dxa"/>
            <w:tcBorders/>
            <w:shd w:fill="auto" w:val="clear"/>
            <w:vAlign w:val="bottom"/>
          </w:tcPr>
          <w:p>
            <w:pPr>
              <w:pStyle w:val="TableContents"/>
              <w:spacing w:before="0" w:after="283"/>
              <w:jc w:val="right"/>
              <w:rPr/>
            </w:pPr>
            <w:r>
              <w:rPr/>
              <w:t>0.54</w:t>
            </w:r>
          </w:p>
        </w:tc>
        <w:tc>
          <w:tcPr>
            <w:tcW w:w="26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0.67</w:t>
            </w:r>
          </w:p>
        </w:tc>
        <w:tc>
          <w:tcPr>
            <w:tcW w:w="24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w:t>
            </w:r>
          </w:p>
        </w:tc>
        <w:tc>
          <w:tcPr>
            <w:tcW w:w="864" w:type="dxa"/>
            <w:tcBorders/>
            <w:shd w:fill="auto" w:val="clear"/>
            <w:vAlign w:val="bottom"/>
          </w:tcPr>
          <w:p>
            <w:pPr>
              <w:pStyle w:val="TableContents"/>
              <w:spacing w:before="0" w:after="283"/>
              <w:jc w:val="right"/>
              <w:rPr/>
            </w:pPr>
            <w:r>
              <w:rPr/>
              <w:t>3.06</w:t>
            </w:r>
          </w:p>
        </w:tc>
        <w:tc>
          <w:tcPr>
            <w:tcW w:w="25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3.13</w:t>
            </w:r>
          </w:p>
        </w:tc>
        <w:tc>
          <w:tcPr>
            <w:tcW w:w="223" w:type="dxa"/>
            <w:tcBorders/>
            <w:shd w:fill="auto" w:val="clear"/>
            <w:vAlign w:val="bottom"/>
          </w:tcPr>
          <w:p>
            <w:pPr>
              <w:pStyle w:val="TableContents"/>
              <w:spacing w:before="0" w:after="283"/>
              <w:rPr/>
            </w:pPr>
            <w:r>
              <w:rPr/>
              <w:t> </w:t>
            </w:r>
          </w:p>
        </w:tc>
      </w:tr>
      <w:tr>
        <w:trPr/>
        <w:tc>
          <w:tcPr>
            <w:tcW w:w="3140" w:type="dxa"/>
            <w:tcBorders/>
            <w:shd w:fill="auto" w:val="clear"/>
            <w:vAlign w:val="center"/>
          </w:tcPr>
          <w:p>
            <w:pPr>
              <w:pStyle w:val="TableContents"/>
              <w:spacing w:before="0" w:after="0"/>
              <w:ind w:left="225" w:right="0" w:hanging="225"/>
              <w:rPr/>
            </w:pPr>
            <w:r>
              <w:rPr/>
              <w:t> </w:t>
            </w:r>
          </w:p>
        </w:tc>
        <w:tc>
          <w:tcPr>
            <w:tcW w:w="258" w:type="dxa"/>
            <w:tcBorders/>
            <w:shd w:fill="auto" w:val="clear"/>
            <w:vAlign w:val="center"/>
          </w:tcPr>
          <w:p>
            <w:pPr>
              <w:pStyle w:val="TableContents"/>
              <w:spacing w:before="0" w:after="283"/>
              <w:rPr/>
            </w:pPr>
            <w:r>
              <w:rPr/>
              <w:t> </w:t>
            </w:r>
          </w:p>
        </w:tc>
        <w:tc>
          <w:tcPr>
            <w:tcW w:w="113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61"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1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c>
          <w:tcPr>
            <w:tcW w:w="279" w:type="dxa"/>
            <w:tcBorders/>
            <w:shd w:fill="auto" w:val="clear"/>
            <w:vAlign w:val="center"/>
          </w:tcPr>
          <w:p>
            <w:pPr>
              <w:pStyle w:val="TableContents"/>
              <w:spacing w:before="0" w:after="283"/>
              <w:rPr/>
            </w:pPr>
            <w:r>
              <w:rPr/>
              <w:t> </w:t>
            </w:r>
          </w:p>
        </w:tc>
        <w:tc>
          <w:tcPr>
            <w:tcW w:w="11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9" w:type="dxa"/>
            <w:tcBorders/>
            <w:shd w:fill="auto" w:val="clear"/>
            <w:vAlign w:val="center"/>
          </w:tcPr>
          <w:p>
            <w:pPr>
              <w:pStyle w:val="TableContents"/>
              <w:spacing w:before="0" w:after="283"/>
              <w:rPr/>
            </w:pPr>
            <w:r>
              <w:rPr/>
              <w:t> </w:t>
            </w:r>
          </w:p>
        </w:tc>
        <w:tc>
          <w:tcPr>
            <w:tcW w:w="287" w:type="dxa"/>
            <w:tcBorders/>
            <w:shd w:fill="auto" w:val="clear"/>
            <w:vAlign w:val="center"/>
          </w:tcPr>
          <w:p>
            <w:pPr>
              <w:pStyle w:val="TableContents"/>
              <w:spacing w:before="0" w:after="283"/>
              <w:rPr/>
            </w:pPr>
            <w:r>
              <w:rPr/>
              <w:t> </w:t>
            </w:r>
          </w:p>
        </w:tc>
        <w:tc>
          <w:tcPr>
            <w:tcW w:w="11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3"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26"/>
        <w:gridCol w:w="133"/>
        <w:gridCol w:w="9746"/>
      </w:tblGrid>
      <w:tr>
        <w:trPr/>
        <w:tc>
          <w:tcPr>
            <w:tcW w:w="326"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746" w:type="dxa"/>
            <w:tcBorders/>
            <w:shd w:fill="auto" w:val="clear"/>
          </w:tcPr>
          <w:p>
            <w:pPr>
              <w:pStyle w:val="TableContents"/>
              <w:spacing w:before="0" w:after="283"/>
              <w:rPr/>
            </w:pPr>
            <w:r>
              <w:rPr/>
              <w:t>Net income allocated to limited partners is impacted by the income allocated to the general partner and the amount of the incentive distribution paid to the general partner. The amount of income allocated to our limited partnership interests is 98% of the total partnership income after deducting the amount of the general partners incentive distribution. Based on our current annualized distribution rate of $3.00 per unit, our general partners distribution is forecast to be approximately $49.3 million annually, of which $44.3 million is attributed to the incentive distribution rights. The relative amount of the incentive distribution varies directionally with the number of units outstanding and the level of the distribution on the units. For distribution rates where EITF 03-06 does not apply, each $0.05 per unit annual increase in the distribution over $3.00 per unit decreases net income available for limited partners by approximately $4.0 million ($0.05 per unit) on an annualized basis.</w:t>
            </w:r>
          </w:p>
        </w:tc>
      </w:tr>
      <w:tr>
        <w:trPr/>
        <w:tc>
          <w:tcPr>
            <w:tcW w:w="326" w:type="dxa"/>
            <w:tcBorders/>
            <w:shd w:fill="auto" w:val="clear"/>
            <w:vAlign w:val="center"/>
          </w:tcPr>
          <w:p>
            <w:pPr>
              <w:pStyle w:val="TableContents"/>
              <w:spacing w:before="0" w:after="283"/>
              <w:rPr/>
            </w:pPr>
            <w:r>
              <w:rPr/>
              <w:t> </w:t>
            </w:r>
          </w:p>
        </w:tc>
        <w:tc>
          <w:tcPr>
            <w:tcW w:w="9879" w:type="dxa"/>
            <w:gridSpan w:val="2"/>
            <w:tcBorders/>
            <w:shd w:fill="auto" w:val="clear"/>
          </w:tcPr>
          <w:p>
            <w:pPr>
              <w:pStyle w:val="TableContents"/>
              <w:spacing w:before="0" w:after="283"/>
              <w:rPr>
                <w:sz w:val="4"/>
                <w:szCs w:val="4"/>
              </w:rPr>
            </w:pPr>
            <w:r>
              <w:rPr>
                <w:sz w:val="4"/>
                <w:szCs w:val="4"/>
              </w:rPr>
            </w:r>
          </w:p>
        </w:tc>
      </w:tr>
      <w:tr>
        <w:trPr/>
        <w:tc>
          <w:tcPr>
            <w:tcW w:w="326" w:type="dxa"/>
            <w:tcBorders/>
            <w:shd w:fill="auto" w:val="clear"/>
          </w:tcPr>
          <w:p>
            <w:pPr>
              <w:pStyle w:val="TableContents"/>
              <w:spacing w:before="0" w:after="283"/>
              <w:jc w:val="left"/>
              <w:rPr/>
            </w:pPr>
            <w:r>
              <w:rPr/>
              <w:t>10.</w:t>
            </w:r>
          </w:p>
        </w:tc>
        <w:tc>
          <w:tcPr>
            <w:tcW w:w="133" w:type="dxa"/>
            <w:tcBorders/>
            <w:shd w:fill="auto" w:val="clear"/>
          </w:tcPr>
          <w:p>
            <w:pPr>
              <w:pStyle w:val="TableContents"/>
              <w:spacing w:before="0" w:after="283"/>
              <w:rPr/>
            </w:pPr>
            <w:r>
              <w:rPr/>
              <w:t> </w:t>
            </w:r>
          </w:p>
        </w:tc>
        <w:tc>
          <w:tcPr>
            <w:tcW w:w="9746" w:type="dxa"/>
            <w:tcBorders/>
            <w:shd w:fill="auto" w:val="clear"/>
          </w:tcPr>
          <w:p>
            <w:pPr>
              <w:pStyle w:val="TableContents"/>
              <w:spacing w:before="0" w:after="283"/>
              <w:rPr/>
            </w:pPr>
            <w:r>
              <w:rPr>
                <w:i/>
              </w:rPr>
              <w:t>Long-term Incentive Plans</w:t>
            </w:r>
            <w:r>
              <w:rPr/>
              <w:t>. The majority of grants outstanding under our Long-Term Incentive Plans contain vesting criteria that are based on a combination of performance benchmarks and service period. The grants will vest in various percentages, typically on the later to occur of specified earliest vesting dates and the dates on which minimum distribution levels are reached. Among the various grants, vesting dates range from May 2007 to December 2010 and minimum annualized distribution levels range from $2.60 to $4.00. For some awards, a percentage of any remaining units will vest on a date certain in 2011 or 2012.</w:t>
            </w:r>
          </w:p>
        </w:tc>
      </w:tr>
      <w:tr>
        <w:trPr/>
        <w:tc>
          <w:tcPr>
            <w:tcW w:w="326" w:type="dxa"/>
            <w:tcBorders/>
            <w:shd w:fill="auto" w:val="clear"/>
            <w:vAlign w:val="center"/>
          </w:tcPr>
          <w:p>
            <w:pPr>
              <w:pStyle w:val="TableContents"/>
              <w:spacing w:before="0" w:after="283"/>
              <w:rPr/>
            </w:pPr>
            <w:r>
              <w:rPr/>
              <w:t> </w:t>
            </w:r>
          </w:p>
        </w:tc>
        <w:tc>
          <w:tcPr>
            <w:tcW w:w="9879" w:type="dxa"/>
            <w:gridSpan w:val="2"/>
            <w:tcBorders/>
            <w:shd w:fill="auto" w:val="clear"/>
          </w:tcPr>
          <w:p>
            <w:pPr>
              <w:pStyle w:val="TableContents"/>
              <w:spacing w:before="0" w:after="283"/>
              <w:rPr>
                <w:sz w:val="4"/>
                <w:szCs w:val="4"/>
              </w:rPr>
            </w:pPr>
            <w:r>
              <w:rPr>
                <w:sz w:val="4"/>
                <w:szCs w:val="4"/>
              </w:rPr>
            </w:r>
          </w:p>
        </w:tc>
      </w:tr>
      <w:tr>
        <w:trPr/>
        <w:tc>
          <w:tcPr>
            <w:tcW w:w="326"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746" w:type="dxa"/>
            <w:tcBorders/>
            <w:shd w:fill="auto" w:val="clear"/>
          </w:tcPr>
          <w:p>
            <w:pPr>
              <w:pStyle w:val="TableContents"/>
              <w:spacing w:before="0" w:after="283"/>
              <w:rPr/>
            </w:pPr>
            <w:r>
              <w:rPr/>
              <w:t>We have reached the annualized distribution level of $3.00 and it has been deemed probable that the $3.20 distribution level will be achieved. Accordingly, guidance includes, for grants that vest at annualized distribution levels of $3.20 or less, an accrual over the corresponding service period at an assumed market price of $46.15 per unit as well as the fair value associated with awards that will vest on a date certain. For 2006, the guidance includes approximately $36.5 million of principally non-cash expense associated with these grants. The earliest significant vesting event for outstanding grants will occur in May 2007.</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27"/>
        <w:gridCol w:w="133"/>
        <w:gridCol w:w="9745"/>
      </w:tblGrid>
      <w:tr>
        <w:trPr/>
        <w:tc>
          <w:tcPr>
            <w:tcW w:w="327"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745" w:type="dxa"/>
            <w:tcBorders/>
            <w:shd w:fill="auto" w:val="clear"/>
          </w:tcPr>
          <w:p>
            <w:pPr>
              <w:pStyle w:val="TableContents"/>
              <w:spacing w:before="0" w:after="283"/>
              <w:rPr/>
            </w:pPr>
            <w:r>
              <w:rPr/>
              <w:t>The actual amount of LTIP expense amortization in any given year will be directly influenced by our unit price at the end of each reporting period and the amount of amortization in the early years as well as new unit grants. Therefore, actual net income could differ materially from our projections.</w:t>
            </w:r>
          </w:p>
        </w:tc>
      </w:tr>
      <w:tr>
        <w:trPr/>
        <w:tc>
          <w:tcPr>
            <w:tcW w:w="327" w:type="dxa"/>
            <w:tcBorders/>
            <w:shd w:fill="auto" w:val="clear"/>
            <w:vAlign w:val="center"/>
          </w:tcPr>
          <w:p>
            <w:pPr>
              <w:pStyle w:val="TableContents"/>
              <w:spacing w:before="0" w:after="283"/>
              <w:rPr/>
            </w:pPr>
            <w:r>
              <w:rPr/>
              <w:t> </w:t>
            </w:r>
          </w:p>
        </w:tc>
        <w:tc>
          <w:tcPr>
            <w:tcW w:w="9878" w:type="dxa"/>
            <w:gridSpan w:val="2"/>
            <w:tcBorders/>
            <w:shd w:fill="auto" w:val="clear"/>
          </w:tcPr>
          <w:p>
            <w:pPr>
              <w:pStyle w:val="TableContents"/>
              <w:spacing w:before="0" w:after="283"/>
              <w:rPr>
                <w:sz w:val="4"/>
                <w:szCs w:val="4"/>
              </w:rPr>
            </w:pPr>
            <w:r>
              <w:rPr>
                <w:sz w:val="4"/>
                <w:szCs w:val="4"/>
              </w:rPr>
            </w:r>
          </w:p>
        </w:tc>
      </w:tr>
      <w:tr>
        <w:trPr/>
        <w:tc>
          <w:tcPr>
            <w:tcW w:w="327" w:type="dxa"/>
            <w:tcBorders/>
            <w:shd w:fill="auto" w:val="clear"/>
          </w:tcPr>
          <w:p>
            <w:pPr>
              <w:pStyle w:val="TableContents"/>
              <w:spacing w:before="0" w:after="283"/>
              <w:jc w:val="left"/>
              <w:rPr/>
            </w:pPr>
            <w:r>
              <w:rPr/>
              <w:t> </w:t>
            </w:r>
          </w:p>
        </w:tc>
        <w:tc>
          <w:tcPr>
            <w:tcW w:w="133" w:type="dxa"/>
            <w:tcBorders/>
            <w:shd w:fill="auto" w:val="clear"/>
          </w:tcPr>
          <w:p>
            <w:pPr>
              <w:pStyle w:val="TableContents"/>
              <w:spacing w:before="0" w:after="283"/>
              <w:rPr/>
            </w:pPr>
            <w:r>
              <w:rPr/>
              <w:t> </w:t>
            </w:r>
          </w:p>
        </w:tc>
        <w:tc>
          <w:tcPr>
            <w:tcW w:w="9745" w:type="dxa"/>
            <w:tcBorders/>
            <w:shd w:fill="auto" w:val="clear"/>
          </w:tcPr>
          <w:p>
            <w:pPr>
              <w:pStyle w:val="TableContents"/>
              <w:spacing w:before="0" w:after="283"/>
              <w:rPr/>
            </w:pPr>
            <w:r>
              <w:rPr/>
              <w:t>Effective January 1, 2006 we adopted SFAS 123(R) Share-Based Payment, resulting in a cumulative effect of change in accounting principle gain of $6.3 million.</w:t>
            </w:r>
          </w:p>
        </w:tc>
      </w:tr>
      <w:tr>
        <w:trPr/>
        <w:tc>
          <w:tcPr>
            <w:tcW w:w="327" w:type="dxa"/>
            <w:tcBorders/>
            <w:shd w:fill="auto" w:val="clear"/>
            <w:vAlign w:val="center"/>
          </w:tcPr>
          <w:p>
            <w:pPr>
              <w:pStyle w:val="TableContents"/>
              <w:spacing w:before="0" w:after="283"/>
              <w:rPr/>
            </w:pPr>
            <w:r>
              <w:rPr/>
              <w:t> </w:t>
            </w:r>
          </w:p>
        </w:tc>
        <w:tc>
          <w:tcPr>
            <w:tcW w:w="9878" w:type="dxa"/>
            <w:gridSpan w:val="2"/>
            <w:tcBorders/>
            <w:shd w:fill="auto" w:val="clear"/>
          </w:tcPr>
          <w:p>
            <w:pPr>
              <w:pStyle w:val="TableContents"/>
              <w:spacing w:before="0" w:after="283"/>
              <w:rPr>
                <w:sz w:val="4"/>
                <w:szCs w:val="4"/>
              </w:rPr>
            </w:pPr>
            <w:r>
              <w:rPr>
                <w:sz w:val="4"/>
                <w:szCs w:val="4"/>
              </w:rPr>
            </w:r>
          </w:p>
        </w:tc>
      </w:tr>
      <w:tr>
        <w:trPr/>
        <w:tc>
          <w:tcPr>
            <w:tcW w:w="327" w:type="dxa"/>
            <w:tcBorders/>
            <w:shd w:fill="auto" w:val="clear"/>
          </w:tcPr>
          <w:p>
            <w:pPr>
              <w:pStyle w:val="TableContents"/>
              <w:spacing w:before="0" w:after="283"/>
              <w:jc w:val="left"/>
              <w:rPr/>
            </w:pPr>
            <w:r>
              <w:rPr/>
              <w:t>11.</w:t>
            </w:r>
          </w:p>
        </w:tc>
        <w:tc>
          <w:tcPr>
            <w:tcW w:w="133" w:type="dxa"/>
            <w:tcBorders/>
            <w:shd w:fill="auto" w:val="clear"/>
          </w:tcPr>
          <w:p>
            <w:pPr>
              <w:pStyle w:val="TableContents"/>
              <w:spacing w:before="0" w:after="283"/>
              <w:rPr/>
            </w:pPr>
            <w:r>
              <w:rPr/>
              <w:t> </w:t>
            </w:r>
          </w:p>
        </w:tc>
        <w:tc>
          <w:tcPr>
            <w:tcW w:w="9745" w:type="dxa"/>
            <w:tcBorders/>
            <w:shd w:fill="auto" w:val="clear"/>
          </w:tcPr>
          <w:p>
            <w:pPr>
              <w:pStyle w:val="TableContents"/>
              <w:spacing w:before="0" w:after="283"/>
              <w:rPr/>
            </w:pPr>
            <w:r>
              <w:rPr>
                <w:i/>
              </w:rPr>
              <w:t xml:space="preserve">Reconciliation of EBITDA and EBIT to Net Income. </w:t>
            </w:r>
            <w:r>
              <w:rPr/>
              <w:t>The following table reconciles the 2006 guidance ranges for EBITDA and EBIT to net income.</w:t>
            </w:r>
          </w:p>
        </w:tc>
      </w:tr>
    </w:tbl>
    <w:tbl>
      <w:tblPr>
        <w:tblW w:w="5000" w:type="pct"/>
        <w:jc w:val="center"/>
        <w:tblInd w:w="0" w:type="dxa"/>
        <w:tblCellMar>
          <w:top w:w="0" w:type="dxa"/>
          <w:left w:w="0" w:type="dxa"/>
          <w:bottom w:w="0" w:type="dxa"/>
          <w:right w:w="0" w:type="dxa"/>
        </w:tblCellMar>
      </w:tblPr>
      <w:tblGrid>
        <w:gridCol w:w="3417"/>
        <w:gridCol w:w="272"/>
        <w:gridCol w:w="330"/>
        <w:gridCol w:w="848"/>
        <w:gridCol w:w="215"/>
        <w:gridCol w:w="301"/>
        <w:gridCol w:w="330"/>
        <w:gridCol w:w="851"/>
        <w:gridCol w:w="186"/>
        <w:gridCol w:w="271"/>
        <w:gridCol w:w="340"/>
        <w:gridCol w:w="891"/>
        <w:gridCol w:w="218"/>
        <w:gridCol w:w="304"/>
        <w:gridCol w:w="340"/>
        <w:gridCol w:w="894"/>
        <w:gridCol w:w="197"/>
      </w:tblGrid>
      <w:tr>
        <w:trPr/>
        <w:tc>
          <w:tcPr>
            <w:tcW w:w="3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r>
      <w:tr>
        <w:trPr/>
        <w:tc>
          <w:tcPr>
            <w:tcW w:w="3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6319"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Guidance</w:t>
            </w:r>
          </w:p>
        </w:tc>
        <w:tc>
          <w:tcPr>
            <w:tcW w:w="197" w:type="dxa"/>
            <w:tcBorders/>
            <w:shd w:fill="auto" w:val="clear"/>
            <w:vAlign w:val="bottom"/>
          </w:tcPr>
          <w:p>
            <w:pPr>
              <w:pStyle w:val="TableContents"/>
              <w:spacing w:before="0" w:after="283"/>
              <w:rPr/>
            </w:pPr>
            <w:r>
              <w:rPr/>
              <w:t> </w:t>
            </w:r>
          </w:p>
        </w:tc>
      </w:tr>
      <w:tr>
        <w:trPr/>
        <w:tc>
          <w:tcPr>
            <w:tcW w:w="3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2875" w:type="dxa"/>
            <w:gridSpan w:val="6"/>
            <w:tcBorders/>
            <w:shd w:fill="auto" w:val="clear"/>
            <w:vAlign w:val="bottom"/>
          </w:tcPr>
          <w:p>
            <w:pPr>
              <w:pStyle w:val="TableContents"/>
              <w:spacing w:before="0" w:after="283"/>
              <w:jc w:val="center"/>
              <w:rPr>
                <w:b/>
              </w:rPr>
            </w:pPr>
            <w:r>
              <w:rPr>
                <w:b/>
              </w:rPr>
              <w:t>Three Months Ending</w:t>
            </w:r>
          </w:p>
        </w:tc>
        <w:tc>
          <w:tcPr>
            <w:tcW w:w="186"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2987" w:type="dxa"/>
            <w:gridSpan w:val="6"/>
            <w:tcBorders/>
            <w:shd w:fill="auto" w:val="clear"/>
            <w:vAlign w:val="bottom"/>
          </w:tcPr>
          <w:p>
            <w:pPr>
              <w:pStyle w:val="TableContents"/>
              <w:spacing w:before="0" w:after="283"/>
              <w:jc w:val="center"/>
              <w:rPr>
                <w:b/>
              </w:rPr>
            </w:pPr>
            <w:r>
              <w:rPr>
                <w:b/>
              </w:rPr>
              <w:t>Twelve Months Ending</w:t>
            </w:r>
          </w:p>
        </w:tc>
        <w:tc>
          <w:tcPr>
            <w:tcW w:w="197" w:type="dxa"/>
            <w:tcBorders/>
            <w:shd w:fill="auto" w:val="clear"/>
            <w:vAlign w:val="bottom"/>
          </w:tcPr>
          <w:p>
            <w:pPr>
              <w:pStyle w:val="TableContents"/>
              <w:spacing w:before="0" w:after="283"/>
              <w:rPr/>
            </w:pPr>
            <w:r>
              <w:rPr/>
              <w:t> </w:t>
            </w:r>
          </w:p>
        </w:tc>
      </w:tr>
      <w:tr>
        <w:trPr/>
        <w:tc>
          <w:tcPr>
            <w:tcW w:w="3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287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2006</w:t>
            </w:r>
          </w:p>
        </w:tc>
        <w:tc>
          <w:tcPr>
            <w:tcW w:w="186"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298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2006</w:t>
            </w:r>
          </w:p>
        </w:tc>
        <w:tc>
          <w:tcPr>
            <w:tcW w:w="197" w:type="dxa"/>
            <w:tcBorders/>
            <w:shd w:fill="auto" w:val="clear"/>
            <w:vAlign w:val="bottom"/>
          </w:tcPr>
          <w:p>
            <w:pPr>
              <w:pStyle w:val="TableContents"/>
              <w:spacing w:before="0" w:after="283"/>
              <w:rPr/>
            </w:pPr>
            <w:r>
              <w:rPr/>
              <w:t> </w:t>
            </w:r>
          </w:p>
        </w:tc>
      </w:tr>
      <w:tr>
        <w:trPr/>
        <w:tc>
          <w:tcPr>
            <w:tcW w:w="3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7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215"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18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86"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3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21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3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97" w:type="dxa"/>
            <w:tcBorders/>
            <w:shd w:fill="auto" w:val="clear"/>
            <w:vAlign w:val="bottom"/>
          </w:tcPr>
          <w:p>
            <w:pPr>
              <w:pStyle w:val="TableContents"/>
              <w:spacing w:before="0" w:after="283"/>
              <w:rPr/>
            </w:pPr>
            <w:r>
              <w:rPr/>
              <w:t> </w:t>
            </w:r>
          </w:p>
        </w:tc>
      </w:tr>
      <w:tr>
        <w:trPr/>
        <w:tc>
          <w:tcPr>
            <w:tcW w:w="341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6319" w:type="dxa"/>
            <w:gridSpan w:val="14"/>
            <w:tcBorders/>
            <w:shd w:fill="auto" w:val="clear"/>
            <w:vAlign w:val="bottom"/>
          </w:tcPr>
          <w:p>
            <w:pPr>
              <w:pStyle w:val="TableContents"/>
              <w:spacing w:before="0" w:after="283"/>
              <w:jc w:val="center"/>
              <w:rPr>
                <w:b/>
              </w:rPr>
            </w:pPr>
            <w:r>
              <w:rPr>
                <w:b/>
              </w:rPr>
              <w:t>(in millions)</w:t>
            </w:r>
          </w:p>
        </w:tc>
        <w:tc>
          <w:tcPr>
            <w:tcW w:w="197" w:type="dxa"/>
            <w:tcBorders/>
            <w:shd w:fill="auto" w:val="clear"/>
            <w:vAlign w:val="bottom"/>
          </w:tcPr>
          <w:p>
            <w:pPr>
              <w:pStyle w:val="TableContents"/>
              <w:spacing w:before="0" w:after="283"/>
              <w:rPr/>
            </w:pPr>
            <w:r>
              <w:rPr/>
              <w:t> </w:t>
            </w:r>
          </w:p>
        </w:tc>
      </w:tr>
      <w:tr>
        <w:trPr/>
        <w:tc>
          <w:tcPr>
            <w:tcW w:w="3417" w:type="dxa"/>
            <w:tcBorders/>
            <w:shd w:fill="CCEEFF" w:val="clear"/>
            <w:vAlign w:val="bottom"/>
          </w:tcPr>
          <w:p>
            <w:pPr>
              <w:pStyle w:val="TableContents"/>
              <w:spacing w:before="0" w:after="0"/>
              <w:ind w:left="225" w:right="0" w:hanging="225"/>
              <w:rPr>
                <w:b/>
              </w:rPr>
            </w:pPr>
            <w:r>
              <w:rPr>
                <w:b/>
              </w:rPr>
              <w:t>Reconciliation to Net Income</w:t>
            </w:r>
          </w:p>
        </w:tc>
        <w:tc>
          <w:tcPr>
            <w:tcW w:w="272"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r>
      <w:tr>
        <w:trPr/>
        <w:tc>
          <w:tcPr>
            <w:tcW w:w="3417" w:type="dxa"/>
            <w:tcBorders/>
            <w:shd w:fill="auto" w:val="clear"/>
            <w:vAlign w:val="bottom"/>
          </w:tcPr>
          <w:p>
            <w:pPr>
              <w:pStyle w:val="TableContents"/>
              <w:spacing w:before="0" w:after="0"/>
              <w:ind w:left="450" w:right="0" w:hanging="225"/>
              <w:rPr/>
            </w:pPr>
            <w:r>
              <w:rPr/>
              <w:t>EBITDA</w:t>
            </w:r>
          </w:p>
        </w:tc>
        <w:tc>
          <w:tcPr>
            <w:tcW w:w="272"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jc w:val="left"/>
              <w:rPr/>
            </w:pPr>
            <w:r>
              <w:rPr/>
              <w:t>$</w:t>
            </w:r>
          </w:p>
        </w:tc>
        <w:tc>
          <w:tcPr>
            <w:tcW w:w="848" w:type="dxa"/>
            <w:tcBorders/>
            <w:shd w:fill="auto" w:val="clear"/>
            <w:vAlign w:val="bottom"/>
          </w:tcPr>
          <w:p>
            <w:pPr>
              <w:pStyle w:val="TableContents"/>
              <w:spacing w:before="0" w:after="283"/>
              <w:jc w:val="right"/>
              <w:rPr/>
            </w:pPr>
            <w:r>
              <w:rPr/>
              <w:t>105.6</w:t>
            </w:r>
          </w:p>
        </w:tc>
        <w:tc>
          <w:tcPr>
            <w:tcW w:w="215"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jc w:val="left"/>
              <w:rPr/>
            </w:pPr>
            <w:r>
              <w:rPr/>
              <w:t>$</w:t>
            </w:r>
          </w:p>
        </w:tc>
        <w:tc>
          <w:tcPr>
            <w:tcW w:w="851" w:type="dxa"/>
            <w:tcBorders/>
            <w:shd w:fill="auto" w:val="clear"/>
            <w:vAlign w:val="bottom"/>
          </w:tcPr>
          <w:p>
            <w:pPr>
              <w:pStyle w:val="TableContents"/>
              <w:spacing w:before="0" w:after="283"/>
              <w:jc w:val="right"/>
              <w:rPr/>
            </w:pPr>
            <w:r>
              <w:rPr/>
              <w:t>115.6</w:t>
            </w:r>
          </w:p>
        </w:tc>
        <w:tc>
          <w:tcPr>
            <w:tcW w:w="186"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jc w:val="left"/>
              <w:rPr/>
            </w:pPr>
            <w:r>
              <w:rPr/>
              <w:t>$</w:t>
            </w:r>
          </w:p>
        </w:tc>
        <w:tc>
          <w:tcPr>
            <w:tcW w:w="891" w:type="dxa"/>
            <w:tcBorders/>
            <w:shd w:fill="auto" w:val="clear"/>
            <w:vAlign w:val="bottom"/>
          </w:tcPr>
          <w:p>
            <w:pPr>
              <w:pStyle w:val="TableContents"/>
              <w:spacing w:before="0" w:after="283"/>
              <w:jc w:val="right"/>
              <w:rPr/>
            </w:pPr>
            <w:r>
              <w:rPr/>
              <w:t>464.3</w:t>
            </w:r>
          </w:p>
        </w:tc>
        <w:tc>
          <w:tcPr>
            <w:tcW w:w="21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jc w:val="left"/>
              <w:rPr/>
            </w:pPr>
            <w:r>
              <w:rPr/>
              <w:t>$</w:t>
            </w:r>
          </w:p>
        </w:tc>
        <w:tc>
          <w:tcPr>
            <w:tcW w:w="894" w:type="dxa"/>
            <w:tcBorders/>
            <w:shd w:fill="auto" w:val="clear"/>
            <w:vAlign w:val="bottom"/>
          </w:tcPr>
          <w:p>
            <w:pPr>
              <w:pStyle w:val="TableContents"/>
              <w:spacing w:before="0" w:after="283"/>
              <w:jc w:val="right"/>
              <w:rPr/>
            </w:pPr>
            <w:r>
              <w:rPr/>
              <w:t>474.3</w:t>
            </w:r>
          </w:p>
        </w:tc>
        <w:tc>
          <w:tcPr>
            <w:tcW w:w="197" w:type="dxa"/>
            <w:tcBorders/>
            <w:shd w:fill="auto" w:val="clear"/>
            <w:vAlign w:val="bottom"/>
          </w:tcPr>
          <w:p>
            <w:pPr>
              <w:pStyle w:val="TableContents"/>
              <w:spacing w:before="0" w:after="283"/>
              <w:rPr/>
            </w:pPr>
            <w:r>
              <w:rPr/>
              <w:t> </w:t>
            </w:r>
          </w:p>
        </w:tc>
      </w:tr>
      <w:tr>
        <w:trPr/>
        <w:tc>
          <w:tcPr>
            <w:tcW w:w="3417" w:type="dxa"/>
            <w:tcBorders/>
            <w:shd w:fill="CCEEFF" w:val="clear"/>
            <w:vAlign w:val="bottom"/>
          </w:tcPr>
          <w:p>
            <w:pPr>
              <w:pStyle w:val="TableContents"/>
              <w:spacing w:before="0" w:after="0"/>
              <w:ind w:left="450" w:right="0" w:hanging="225"/>
              <w:rPr/>
            </w:pPr>
            <w:r>
              <w:rPr/>
              <w:t>Depreciation and amortization</w:t>
            </w:r>
          </w:p>
        </w:tc>
        <w:tc>
          <w:tcPr>
            <w:tcW w:w="272"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27.0</w:t>
            </w:r>
          </w:p>
        </w:tc>
        <w:tc>
          <w:tcPr>
            <w:tcW w:w="215"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26.6</w:t>
            </w:r>
          </w:p>
        </w:tc>
        <w:tc>
          <w:tcPr>
            <w:tcW w:w="186"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94.1</w:t>
            </w:r>
          </w:p>
        </w:tc>
        <w:tc>
          <w:tcPr>
            <w:tcW w:w="218"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pPr>
            <w:r>
              <w:rPr/>
              <w:t>93.7</w:t>
            </w:r>
          </w:p>
        </w:tc>
        <w:tc>
          <w:tcPr>
            <w:tcW w:w="197" w:type="dxa"/>
            <w:tcBorders/>
            <w:shd w:fill="CCEEFF" w:val="clear"/>
            <w:vAlign w:val="bottom"/>
          </w:tcPr>
          <w:p>
            <w:pPr>
              <w:pStyle w:val="TableContents"/>
              <w:spacing w:before="0" w:after="283"/>
              <w:rPr/>
            </w:pPr>
            <w:r>
              <w:rPr/>
              <w:t> </w:t>
            </w:r>
          </w:p>
        </w:tc>
      </w:tr>
      <w:tr>
        <w:trPr/>
        <w:tc>
          <w:tcPr>
            <w:tcW w:w="3417" w:type="dxa"/>
            <w:tcBorders/>
            <w:shd w:fill="auto" w:val="clear"/>
            <w:vAlign w:val="center"/>
          </w:tcPr>
          <w:p>
            <w:pPr>
              <w:pStyle w:val="TableContents"/>
              <w:spacing w:before="0" w:after="0"/>
              <w:ind w:left="225" w:right="0" w:hanging="225"/>
              <w:rPr/>
            </w:pPr>
            <w:r>
              <w:rPr/>
              <w:t> </w:t>
            </w:r>
          </w:p>
        </w:tc>
        <w:tc>
          <w:tcPr>
            <w:tcW w:w="272" w:type="dxa"/>
            <w:tcBorders/>
            <w:shd w:fill="auto" w:val="clear"/>
            <w:vAlign w:val="center"/>
          </w:tcPr>
          <w:p>
            <w:pPr>
              <w:pStyle w:val="TableContents"/>
              <w:spacing w:before="0" w:after="283"/>
              <w:rPr/>
            </w:pPr>
            <w:r>
              <w:rPr/>
              <w:t> </w:t>
            </w:r>
          </w:p>
        </w:tc>
        <w:tc>
          <w:tcPr>
            <w:tcW w:w="11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1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6"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rPr/>
            </w:pPr>
            <w:r>
              <w:rPr/>
              <w:t> </w:t>
            </w:r>
          </w:p>
        </w:tc>
        <w:tc>
          <w:tcPr>
            <w:tcW w:w="12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8"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2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7" w:type="dxa"/>
            <w:tcBorders/>
            <w:shd w:fill="auto" w:val="clear"/>
            <w:vAlign w:val="center"/>
          </w:tcPr>
          <w:p>
            <w:pPr>
              <w:pStyle w:val="TableContents"/>
              <w:spacing w:before="0" w:after="283"/>
              <w:rPr/>
            </w:pPr>
            <w:r>
              <w:rPr/>
              <w:t> </w:t>
            </w:r>
          </w:p>
        </w:tc>
      </w:tr>
      <w:tr>
        <w:trPr/>
        <w:tc>
          <w:tcPr>
            <w:tcW w:w="3417" w:type="dxa"/>
            <w:tcBorders/>
            <w:shd w:fill="auto" w:val="clear"/>
            <w:vAlign w:val="bottom"/>
          </w:tcPr>
          <w:p>
            <w:pPr>
              <w:pStyle w:val="TableContents"/>
              <w:spacing w:before="0" w:after="0"/>
              <w:ind w:left="450" w:right="0" w:hanging="225"/>
              <w:rPr/>
            </w:pPr>
            <w:r>
              <w:rPr/>
              <w:t>EBIT</w:t>
            </w:r>
          </w:p>
        </w:tc>
        <w:tc>
          <w:tcPr>
            <w:tcW w:w="272"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78.6</w:t>
            </w:r>
          </w:p>
        </w:tc>
        <w:tc>
          <w:tcPr>
            <w:tcW w:w="215"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89.0</w:t>
            </w:r>
          </w:p>
        </w:tc>
        <w:tc>
          <w:tcPr>
            <w:tcW w:w="186"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370.2</w:t>
            </w:r>
          </w:p>
        </w:tc>
        <w:tc>
          <w:tcPr>
            <w:tcW w:w="21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jc w:val="right"/>
              <w:rPr/>
            </w:pPr>
            <w:r>
              <w:rPr/>
              <w:t>380.6</w:t>
            </w:r>
          </w:p>
        </w:tc>
        <w:tc>
          <w:tcPr>
            <w:tcW w:w="197" w:type="dxa"/>
            <w:tcBorders/>
            <w:shd w:fill="auto" w:val="clear"/>
            <w:vAlign w:val="bottom"/>
          </w:tcPr>
          <w:p>
            <w:pPr>
              <w:pStyle w:val="TableContents"/>
              <w:spacing w:before="0" w:after="283"/>
              <w:rPr/>
            </w:pPr>
            <w:r>
              <w:rPr/>
              <w:t> </w:t>
            </w:r>
          </w:p>
        </w:tc>
      </w:tr>
      <w:tr>
        <w:trPr/>
        <w:tc>
          <w:tcPr>
            <w:tcW w:w="3417" w:type="dxa"/>
            <w:tcBorders/>
            <w:shd w:fill="CCEEFF" w:val="clear"/>
            <w:vAlign w:val="bottom"/>
          </w:tcPr>
          <w:p>
            <w:pPr>
              <w:pStyle w:val="TableContents"/>
              <w:spacing w:before="0" w:after="0"/>
              <w:ind w:left="450" w:right="0" w:hanging="225"/>
              <w:rPr/>
            </w:pPr>
            <w:r>
              <w:rPr/>
              <w:t>Interest expense  existing notes and facilities</w:t>
            </w:r>
          </w:p>
        </w:tc>
        <w:tc>
          <w:tcPr>
            <w:tcW w:w="272"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20.1</w:t>
            </w:r>
          </w:p>
        </w:tc>
        <w:tc>
          <w:tcPr>
            <w:tcW w:w="215"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19.3</w:t>
            </w:r>
          </w:p>
        </w:tc>
        <w:tc>
          <w:tcPr>
            <w:tcW w:w="186"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pPr>
            <w:r>
              <w:rPr/>
              <w:t>72.6</w:t>
            </w:r>
          </w:p>
        </w:tc>
        <w:tc>
          <w:tcPr>
            <w:tcW w:w="218"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pPr>
            <w:r>
              <w:rPr/>
              <w:t>71.8</w:t>
            </w:r>
          </w:p>
        </w:tc>
        <w:tc>
          <w:tcPr>
            <w:tcW w:w="197" w:type="dxa"/>
            <w:tcBorders/>
            <w:shd w:fill="CCEEFF" w:val="clear"/>
            <w:vAlign w:val="bottom"/>
          </w:tcPr>
          <w:p>
            <w:pPr>
              <w:pStyle w:val="TableContents"/>
              <w:spacing w:before="0" w:after="283"/>
              <w:rPr/>
            </w:pPr>
            <w:r>
              <w:rPr/>
              <w:t> </w:t>
            </w:r>
          </w:p>
        </w:tc>
      </w:tr>
      <w:tr>
        <w:trPr/>
        <w:tc>
          <w:tcPr>
            <w:tcW w:w="3417" w:type="dxa"/>
            <w:tcBorders/>
            <w:shd w:fill="auto" w:val="clear"/>
            <w:vAlign w:val="bottom"/>
          </w:tcPr>
          <w:p>
            <w:pPr>
              <w:pStyle w:val="TableContents"/>
              <w:spacing w:before="0" w:after="0"/>
              <w:ind w:left="450" w:right="0" w:hanging="225"/>
              <w:rPr/>
            </w:pPr>
            <w:r>
              <w:rPr/>
              <w:t>Interest expense  New Senior Notes, net</w:t>
            </w:r>
          </w:p>
        </w:tc>
        <w:tc>
          <w:tcPr>
            <w:tcW w:w="272"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2.1</w:t>
            </w:r>
          </w:p>
        </w:tc>
        <w:tc>
          <w:tcPr>
            <w:tcW w:w="215"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2.1</w:t>
            </w:r>
          </w:p>
        </w:tc>
        <w:tc>
          <w:tcPr>
            <w:tcW w:w="186"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jc w:val="right"/>
              <w:rPr/>
            </w:pPr>
            <w:r>
              <w:rPr/>
              <w:t>2.1</w:t>
            </w:r>
          </w:p>
        </w:tc>
        <w:tc>
          <w:tcPr>
            <w:tcW w:w="21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jc w:val="right"/>
              <w:rPr/>
            </w:pPr>
            <w:r>
              <w:rPr/>
              <w:t>2.1</w:t>
            </w:r>
          </w:p>
        </w:tc>
        <w:tc>
          <w:tcPr>
            <w:tcW w:w="197" w:type="dxa"/>
            <w:tcBorders/>
            <w:shd w:fill="auto" w:val="clear"/>
            <w:vAlign w:val="bottom"/>
          </w:tcPr>
          <w:p>
            <w:pPr>
              <w:pStyle w:val="TableContents"/>
              <w:spacing w:before="0" w:after="283"/>
              <w:rPr/>
            </w:pPr>
            <w:r>
              <w:rPr/>
              <w:t> </w:t>
            </w:r>
          </w:p>
        </w:tc>
      </w:tr>
      <w:tr>
        <w:trPr/>
        <w:tc>
          <w:tcPr>
            <w:tcW w:w="3417" w:type="dxa"/>
            <w:tcBorders/>
            <w:shd w:fill="auto" w:val="clear"/>
            <w:vAlign w:val="center"/>
          </w:tcPr>
          <w:p>
            <w:pPr>
              <w:pStyle w:val="TableContents"/>
              <w:spacing w:before="0" w:after="0"/>
              <w:ind w:left="225" w:right="0" w:hanging="225"/>
              <w:rPr/>
            </w:pPr>
            <w:r>
              <w:rPr/>
              <w:t> </w:t>
            </w:r>
          </w:p>
        </w:tc>
        <w:tc>
          <w:tcPr>
            <w:tcW w:w="272" w:type="dxa"/>
            <w:tcBorders/>
            <w:shd w:fill="auto" w:val="clear"/>
            <w:vAlign w:val="center"/>
          </w:tcPr>
          <w:p>
            <w:pPr>
              <w:pStyle w:val="TableContents"/>
              <w:spacing w:before="0" w:after="283"/>
              <w:rPr/>
            </w:pPr>
            <w:r>
              <w:rPr/>
              <w:t> </w:t>
            </w:r>
          </w:p>
        </w:tc>
        <w:tc>
          <w:tcPr>
            <w:tcW w:w="11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1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6"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rPr/>
            </w:pPr>
            <w:r>
              <w:rPr/>
              <w:t> </w:t>
            </w:r>
          </w:p>
        </w:tc>
        <w:tc>
          <w:tcPr>
            <w:tcW w:w="12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8"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2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7" w:type="dxa"/>
            <w:tcBorders/>
            <w:shd w:fill="auto" w:val="clear"/>
            <w:vAlign w:val="center"/>
          </w:tcPr>
          <w:p>
            <w:pPr>
              <w:pStyle w:val="TableContents"/>
              <w:spacing w:before="0" w:after="283"/>
              <w:rPr/>
            </w:pPr>
            <w:r>
              <w:rPr/>
              <w:t> </w:t>
            </w:r>
          </w:p>
        </w:tc>
      </w:tr>
      <w:tr>
        <w:trPr/>
        <w:tc>
          <w:tcPr>
            <w:tcW w:w="3417" w:type="dxa"/>
            <w:tcBorders/>
            <w:shd w:fill="CCEEFF" w:val="clear"/>
            <w:vAlign w:val="bottom"/>
          </w:tcPr>
          <w:p>
            <w:pPr>
              <w:pStyle w:val="TableContents"/>
              <w:spacing w:before="0" w:after="0"/>
              <w:ind w:left="450" w:right="0" w:hanging="225"/>
              <w:rPr/>
            </w:pPr>
            <w:r>
              <w:rPr/>
              <w:t>Net Income</w:t>
            </w:r>
          </w:p>
        </w:tc>
        <w:tc>
          <w:tcPr>
            <w:tcW w:w="272"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jc w:val="left"/>
              <w:rPr/>
            </w:pPr>
            <w:r>
              <w:rPr/>
              <w:t>$</w:t>
            </w:r>
          </w:p>
        </w:tc>
        <w:tc>
          <w:tcPr>
            <w:tcW w:w="848" w:type="dxa"/>
            <w:tcBorders/>
            <w:shd w:fill="CCEEFF" w:val="clear"/>
            <w:vAlign w:val="bottom"/>
          </w:tcPr>
          <w:p>
            <w:pPr>
              <w:pStyle w:val="TableContents"/>
              <w:spacing w:before="0" w:after="283"/>
              <w:jc w:val="right"/>
              <w:rPr/>
            </w:pPr>
            <w:r>
              <w:rPr/>
              <w:t>56.4</w:t>
            </w:r>
          </w:p>
        </w:tc>
        <w:tc>
          <w:tcPr>
            <w:tcW w:w="215"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jc w:val="left"/>
              <w:rPr/>
            </w:pPr>
            <w:r>
              <w:rPr/>
              <w:t>$</w:t>
            </w:r>
          </w:p>
        </w:tc>
        <w:tc>
          <w:tcPr>
            <w:tcW w:w="851" w:type="dxa"/>
            <w:tcBorders/>
            <w:shd w:fill="CCEEFF" w:val="clear"/>
            <w:vAlign w:val="bottom"/>
          </w:tcPr>
          <w:p>
            <w:pPr>
              <w:pStyle w:val="TableContents"/>
              <w:spacing w:before="0" w:after="283"/>
              <w:jc w:val="right"/>
              <w:rPr/>
            </w:pPr>
            <w:r>
              <w:rPr/>
              <w:t>67.6</w:t>
            </w:r>
          </w:p>
        </w:tc>
        <w:tc>
          <w:tcPr>
            <w:tcW w:w="186"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jc w:val="left"/>
              <w:rPr/>
            </w:pPr>
            <w:r>
              <w:rPr/>
              <w:t>$</w:t>
            </w:r>
          </w:p>
        </w:tc>
        <w:tc>
          <w:tcPr>
            <w:tcW w:w="891" w:type="dxa"/>
            <w:tcBorders/>
            <w:shd w:fill="CCEEFF" w:val="clear"/>
            <w:vAlign w:val="bottom"/>
          </w:tcPr>
          <w:p>
            <w:pPr>
              <w:pStyle w:val="TableContents"/>
              <w:spacing w:before="0" w:after="283"/>
              <w:jc w:val="right"/>
              <w:rPr/>
            </w:pPr>
            <w:r>
              <w:rPr/>
              <w:t>295.5</w:t>
            </w:r>
          </w:p>
        </w:tc>
        <w:tc>
          <w:tcPr>
            <w:tcW w:w="218"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jc w:val="left"/>
              <w:rPr/>
            </w:pPr>
            <w:r>
              <w:rPr/>
              <w:t>$</w:t>
            </w:r>
          </w:p>
        </w:tc>
        <w:tc>
          <w:tcPr>
            <w:tcW w:w="894" w:type="dxa"/>
            <w:tcBorders/>
            <w:shd w:fill="CCEEFF" w:val="clear"/>
            <w:vAlign w:val="bottom"/>
          </w:tcPr>
          <w:p>
            <w:pPr>
              <w:pStyle w:val="TableContents"/>
              <w:spacing w:before="0" w:after="283"/>
              <w:jc w:val="right"/>
              <w:rPr/>
            </w:pPr>
            <w:r>
              <w:rPr/>
              <w:t>306.7</w:t>
            </w:r>
          </w:p>
        </w:tc>
        <w:tc>
          <w:tcPr>
            <w:tcW w:w="197" w:type="dxa"/>
            <w:tcBorders/>
            <w:shd w:fill="CCEEFF" w:val="clear"/>
            <w:vAlign w:val="bottom"/>
          </w:tcPr>
          <w:p>
            <w:pPr>
              <w:pStyle w:val="TableContents"/>
              <w:spacing w:before="0" w:after="283"/>
              <w:rPr/>
            </w:pPr>
            <w:r>
              <w:rPr/>
              <w:t> </w:t>
            </w:r>
          </w:p>
        </w:tc>
      </w:tr>
      <w:tr>
        <w:trPr/>
        <w:tc>
          <w:tcPr>
            <w:tcW w:w="3417" w:type="dxa"/>
            <w:tcBorders/>
            <w:shd w:fill="auto" w:val="clear"/>
            <w:vAlign w:val="center"/>
          </w:tcPr>
          <w:p>
            <w:pPr>
              <w:pStyle w:val="TableContents"/>
              <w:spacing w:before="0" w:after="0"/>
              <w:ind w:left="225" w:right="0" w:hanging="225"/>
              <w:rPr/>
            </w:pPr>
            <w:r>
              <w:rPr/>
              <w:t> </w:t>
            </w:r>
          </w:p>
        </w:tc>
        <w:tc>
          <w:tcPr>
            <w:tcW w:w="272" w:type="dxa"/>
            <w:tcBorders/>
            <w:shd w:fill="auto" w:val="clear"/>
            <w:vAlign w:val="center"/>
          </w:tcPr>
          <w:p>
            <w:pPr>
              <w:pStyle w:val="TableContents"/>
              <w:spacing w:before="0" w:after="283"/>
              <w:rPr/>
            </w:pPr>
            <w:r>
              <w:rPr/>
              <w:t> </w:t>
            </w:r>
          </w:p>
        </w:tc>
        <w:tc>
          <w:tcPr>
            <w:tcW w:w="11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11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86"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rPr/>
            </w:pPr>
            <w:r>
              <w:rPr/>
              <w:t> </w:t>
            </w:r>
          </w:p>
        </w:tc>
        <w:tc>
          <w:tcPr>
            <w:tcW w:w="123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8"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23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97"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27"/>
        <w:gridCol w:w="133"/>
        <w:gridCol w:w="9745"/>
      </w:tblGrid>
      <w:tr>
        <w:trPr/>
        <w:tc>
          <w:tcPr>
            <w:tcW w:w="327" w:type="dxa"/>
            <w:tcBorders/>
            <w:shd w:fill="auto" w:val="clear"/>
          </w:tcPr>
          <w:p>
            <w:pPr>
              <w:pStyle w:val="TableContents"/>
              <w:spacing w:before="0" w:after="283"/>
              <w:jc w:val="left"/>
              <w:rPr/>
            </w:pPr>
            <w:r>
              <w:rPr/>
              <w:t>12.</w:t>
            </w:r>
          </w:p>
        </w:tc>
        <w:tc>
          <w:tcPr>
            <w:tcW w:w="133" w:type="dxa"/>
            <w:tcBorders/>
            <w:shd w:fill="auto" w:val="clear"/>
          </w:tcPr>
          <w:p>
            <w:pPr>
              <w:pStyle w:val="TableContents"/>
              <w:spacing w:before="0" w:after="283"/>
              <w:rPr/>
            </w:pPr>
            <w:r>
              <w:rPr/>
              <w:t> </w:t>
            </w:r>
          </w:p>
        </w:tc>
        <w:tc>
          <w:tcPr>
            <w:tcW w:w="9745" w:type="dxa"/>
            <w:tcBorders/>
            <w:shd w:fill="auto" w:val="clear"/>
          </w:tcPr>
          <w:p>
            <w:pPr>
              <w:pStyle w:val="TableContents"/>
              <w:spacing w:before="0" w:after="283"/>
              <w:rPr/>
            </w:pPr>
            <w:r>
              <w:rPr>
                <w:i/>
              </w:rPr>
              <w:t xml:space="preserve">Combined Plains and Pacific Energy Guidance. </w:t>
            </w:r>
            <w:r>
              <w:rPr/>
              <w:t>Plains and Pacific Energy will each hold their respective unitholder meetings on November 9, 2006 seeking approval of the proposed merger between Plains and Pacific Energy. The following table presents adjusted EBITDA and adjusted net income for the combined entities assuming the proposed merger is approved and closing occurs on November 15, 2006. The Pacific Energy information is derived from Pacific Energys guidance contained in its press release dated November 1, 2006, however, it excludes the impact of anticipated transaction synergies and contributions from capital expansion projects under construction. Although we have not reviewed Pacific Energys calculation of its guidance ranges, we believe that the estimates are reasonable.</w:t>
            </w:r>
          </w:p>
        </w:tc>
      </w:tr>
    </w:tbl>
    <w:tbl>
      <w:tblPr>
        <w:tblW w:w="5000" w:type="pct"/>
        <w:jc w:val="center"/>
        <w:tblInd w:w="0" w:type="dxa"/>
        <w:tblCellMar>
          <w:top w:w="0" w:type="dxa"/>
          <w:left w:w="0" w:type="dxa"/>
          <w:bottom w:w="0" w:type="dxa"/>
          <w:right w:w="0" w:type="dxa"/>
        </w:tblCellMar>
      </w:tblPr>
      <w:tblGrid>
        <w:gridCol w:w="3636"/>
        <w:gridCol w:w="265"/>
        <w:gridCol w:w="401"/>
        <w:gridCol w:w="1150"/>
        <w:gridCol w:w="312"/>
        <w:gridCol w:w="325"/>
        <w:gridCol w:w="401"/>
        <w:gridCol w:w="1060"/>
        <w:gridCol w:w="550"/>
        <w:gridCol w:w="325"/>
        <w:gridCol w:w="401"/>
        <w:gridCol w:w="1156"/>
        <w:gridCol w:w="223"/>
      </w:tblGrid>
      <w:tr>
        <w:trPr/>
        <w:tc>
          <w:tcPr>
            <w:tcW w:w="363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r>
      <w:tr>
        <w:trPr/>
        <w:tc>
          <w:tcPr>
            <w:tcW w:w="363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6081"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For the Three Months Ending December 31, 2006</w:t>
            </w:r>
          </w:p>
        </w:tc>
        <w:tc>
          <w:tcPr>
            <w:tcW w:w="223" w:type="dxa"/>
            <w:tcBorders/>
            <w:shd w:fill="auto" w:val="clear"/>
            <w:vAlign w:val="bottom"/>
          </w:tcPr>
          <w:p>
            <w:pPr>
              <w:pStyle w:val="TableContents"/>
              <w:spacing w:before="0" w:after="283"/>
              <w:rPr/>
            </w:pPr>
            <w:r>
              <w:rPr/>
              <w:t> </w:t>
            </w:r>
          </w:p>
        </w:tc>
      </w:tr>
      <w:tr>
        <w:trPr/>
        <w:tc>
          <w:tcPr>
            <w:tcW w:w="363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461" w:type="dxa"/>
            <w:gridSpan w:val="2"/>
            <w:tcBorders/>
            <w:shd w:fill="auto" w:val="clear"/>
            <w:vAlign w:val="bottom"/>
          </w:tcPr>
          <w:p>
            <w:pPr>
              <w:pStyle w:val="TableContents"/>
              <w:spacing w:before="0" w:after="283"/>
              <w:jc w:val="center"/>
              <w:rPr>
                <w:b/>
              </w:rPr>
            </w:pPr>
            <w:r>
              <w:rPr>
                <w:b/>
              </w:rPr>
              <w:t>Pacific</w:t>
            </w:r>
          </w:p>
        </w:tc>
        <w:tc>
          <w:tcPr>
            <w:tcW w:w="55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57" w:type="dxa"/>
            <w:gridSpan w:val="2"/>
            <w:tcBorders/>
            <w:shd w:fill="auto" w:val="clear"/>
            <w:vAlign w:val="bottom"/>
          </w:tcPr>
          <w:p>
            <w:pPr>
              <w:pStyle w:val="TableContents"/>
              <w:spacing w:before="0" w:after="283"/>
              <w:jc w:val="center"/>
              <w:rPr>
                <w:b/>
              </w:rPr>
            </w:pPr>
            <w:r>
              <w:rPr>
                <w:b/>
              </w:rPr>
              <w:t>Combined</w:t>
            </w:r>
          </w:p>
        </w:tc>
        <w:tc>
          <w:tcPr>
            <w:tcW w:w="223" w:type="dxa"/>
            <w:tcBorders/>
            <w:shd w:fill="auto" w:val="clear"/>
            <w:vAlign w:val="bottom"/>
          </w:tcPr>
          <w:p>
            <w:pPr>
              <w:pStyle w:val="TableContents"/>
              <w:spacing w:before="0" w:after="283"/>
              <w:rPr/>
            </w:pPr>
            <w:r>
              <w:rPr/>
              <w:t> </w:t>
            </w:r>
          </w:p>
        </w:tc>
      </w:tr>
      <w:tr>
        <w:trPr/>
        <w:tc>
          <w:tcPr>
            <w:tcW w:w="363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55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Plains</w:t>
            </w:r>
          </w:p>
        </w:tc>
        <w:tc>
          <w:tcPr>
            <w:tcW w:w="31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4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Energy</w:t>
            </w:r>
          </w:p>
        </w:tc>
        <w:tc>
          <w:tcPr>
            <w:tcW w:w="55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Guidance</w:t>
            </w:r>
          </w:p>
        </w:tc>
        <w:tc>
          <w:tcPr>
            <w:tcW w:w="223" w:type="dxa"/>
            <w:tcBorders/>
            <w:shd w:fill="auto" w:val="clear"/>
            <w:vAlign w:val="bottom"/>
          </w:tcPr>
          <w:p>
            <w:pPr>
              <w:pStyle w:val="TableContents"/>
              <w:spacing w:before="0" w:after="283"/>
              <w:rPr/>
            </w:pPr>
            <w:r>
              <w:rPr/>
              <w:t> </w:t>
            </w:r>
          </w:p>
        </w:tc>
      </w:tr>
      <w:tr>
        <w:trPr/>
        <w:tc>
          <w:tcPr>
            <w:tcW w:w="3636"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6081" w:type="dxa"/>
            <w:gridSpan w:val="10"/>
            <w:tcBorders/>
            <w:shd w:fill="auto" w:val="clear"/>
            <w:vAlign w:val="bottom"/>
          </w:tcPr>
          <w:p>
            <w:pPr>
              <w:pStyle w:val="TableContents"/>
              <w:spacing w:before="0" w:after="283"/>
              <w:jc w:val="center"/>
              <w:rPr>
                <w:b/>
              </w:rPr>
            </w:pPr>
            <w:r>
              <w:rPr>
                <w:b/>
              </w:rPr>
              <w:t>(midpoint of guidance amounts; in millions)</w:t>
            </w:r>
          </w:p>
        </w:tc>
        <w:tc>
          <w:tcPr>
            <w:tcW w:w="223" w:type="dxa"/>
            <w:tcBorders/>
            <w:shd w:fill="auto" w:val="clear"/>
            <w:vAlign w:val="bottom"/>
          </w:tcPr>
          <w:p>
            <w:pPr>
              <w:pStyle w:val="TableContents"/>
              <w:spacing w:before="0" w:after="283"/>
              <w:rPr/>
            </w:pPr>
            <w:r>
              <w:rPr/>
              <w:t> </w:t>
            </w:r>
          </w:p>
        </w:tc>
      </w:tr>
      <w:tr>
        <w:trPr/>
        <w:tc>
          <w:tcPr>
            <w:tcW w:w="3636" w:type="dxa"/>
            <w:tcBorders/>
            <w:shd w:fill="CCEEFF" w:val="clear"/>
            <w:vAlign w:val="bottom"/>
          </w:tcPr>
          <w:p>
            <w:pPr>
              <w:pStyle w:val="TableContents"/>
              <w:spacing w:before="0" w:after="0"/>
              <w:ind w:left="225" w:right="0" w:hanging="225"/>
              <w:rPr>
                <w:b/>
              </w:rPr>
            </w:pPr>
            <w:r>
              <w:rPr>
                <w:b/>
              </w:rPr>
              <w:t>Adjusted EBITDA</w:t>
            </w:r>
          </w:p>
        </w:tc>
        <w:tc>
          <w:tcPr>
            <w:tcW w:w="265"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left"/>
              <w:rPr/>
            </w:pPr>
            <w:r>
              <w:rPr/>
              <w:t>$</w:t>
            </w:r>
          </w:p>
        </w:tc>
        <w:tc>
          <w:tcPr>
            <w:tcW w:w="1150" w:type="dxa"/>
            <w:tcBorders/>
            <w:shd w:fill="CCEEFF" w:val="clear"/>
            <w:vAlign w:val="bottom"/>
          </w:tcPr>
          <w:p>
            <w:pPr>
              <w:pStyle w:val="TableContents"/>
              <w:spacing w:before="0" w:after="283"/>
              <w:jc w:val="right"/>
              <w:rPr/>
            </w:pPr>
            <w:r>
              <w:rPr/>
              <w:t>120.0</w:t>
            </w:r>
          </w:p>
        </w:tc>
        <w:tc>
          <w:tcPr>
            <w:tcW w:w="31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left"/>
              <w:rPr/>
            </w:pPr>
            <w:r>
              <w:rPr/>
              <w:t>$</w:t>
            </w:r>
          </w:p>
        </w:tc>
        <w:tc>
          <w:tcPr>
            <w:tcW w:w="1060" w:type="dxa"/>
            <w:tcBorders/>
            <w:shd w:fill="CCEEFF" w:val="clear"/>
            <w:vAlign w:val="bottom"/>
          </w:tcPr>
          <w:p>
            <w:pPr>
              <w:pStyle w:val="TableContents"/>
              <w:spacing w:before="0" w:after="283"/>
              <w:jc w:val="right"/>
              <w:rPr/>
            </w:pPr>
            <w:r>
              <w:rPr/>
              <w:t>18.5</w:t>
            </w:r>
          </w:p>
        </w:tc>
        <w:tc>
          <w:tcPr>
            <w:tcW w:w="550" w:type="dxa"/>
            <w:tcBorders/>
            <w:shd w:fill="CCEEFF" w:val="clear"/>
            <w:vAlign w:val="bottom"/>
          </w:tcPr>
          <w:p>
            <w:pPr>
              <w:pStyle w:val="TableContents"/>
              <w:spacing w:before="0" w:after="283"/>
              <w:rPr/>
            </w:pPr>
            <w:r>
              <w:rPr/>
              <w:t>1</w:t>
            </w:r>
          </w:p>
        </w:tc>
        <w:tc>
          <w:tcPr>
            <w:tcW w:w="325"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left"/>
              <w:rPr/>
            </w:pPr>
            <w:r>
              <w:rPr/>
              <w:t>$</w:t>
            </w:r>
          </w:p>
        </w:tc>
        <w:tc>
          <w:tcPr>
            <w:tcW w:w="1156" w:type="dxa"/>
            <w:tcBorders/>
            <w:shd w:fill="CCEEFF" w:val="clear"/>
            <w:vAlign w:val="bottom"/>
          </w:tcPr>
          <w:p>
            <w:pPr>
              <w:pStyle w:val="TableContents"/>
              <w:spacing w:before="0" w:after="283"/>
              <w:jc w:val="right"/>
              <w:rPr/>
            </w:pPr>
            <w:r>
              <w:rPr/>
              <w:t>138.5</w:t>
            </w:r>
          </w:p>
        </w:tc>
        <w:tc>
          <w:tcPr>
            <w:tcW w:w="223" w:type="dxa"/>
            <w:tcBorders/>
            <w:shd w:fill="CCEEFF" w:val="clear"/>
            <w:vAlign w:val="bottom"/>
          </w:tcPr>
          <w:p>
            <w:pPr>
              <w:pStyle w:val="TableContents"/>
              <w:spacing w:before="0" w:after="283"/>
              <w:rPr/>
            </w:pPr>
            <w:r>
              <w:rPr/>
              <w:t> </w:t>
            </w:r>
          </w:p>
        </w:tc>
      </w:tr>
      <w:tr>
        <w:trPr/>
        <w:tc>
          <w:tcPr>
            <w:tcW w:w="3636" w:type="dxa"/>
            <w:tcBorders/>
            <w:shd w:fill="auto" w:val="clear"/>
            <w:vAlign w:val="bottom"/>
          </w:tcPr>
          <w:p>
            <w:pPr>
              <w:pStyle w:val="TableContents"/>
              <w:spacing w:before="0" w:after="0"/>
              <w:ind w:left="450" w:right="0" w:hanging="225"/>
              <w:rPr/>
            </w:pPr>
            <w:r>
              <w:rPr/>
              <w:t>Interest Expense</w:t>
            </w:r>
          </w:p>
        </w:tc>
        <w:tc>
          <w:tcPr>
            <w:tcW w:w="26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left"/>
              <w:rPr/>
            </w:pPr>
            <w:r>
              <w:rPr/>
              <w:t> </w:t>
            </w:r>
          </w:p>
        </w:tc>
        <w:tc>
          <w:tcPr>
            <w:tcW w:w="1150" w:type="dxa"/>
            <w:tcBorders/>
            <w:shd w:fill="auto" w:val="clear"/>
            <w:vAlign w:val="bottom"/>
          </w:tcPr>
          <w:p>
            <w:pPr>
              <w:pStyle w:val="TableContents"/>
              <w:spacing w:before="0" w:after="283"/>
              <w:jc w:val="right"/>
              <w:rPr/>
            </w:pPr>
            <w:r>
              <w:rPr/>
              <w:t>(19.7</w:t>
            </w:r>
          </w:p>
        </w:tc>
        <w:tc>
          <w:tcPr>
            <w:tcW w:w="312" w:type="dxa"/>
            <w:tcBorders/>
            <w:shd w:fill="auto" w:val="clear"/>
            <w:vAlign w:val="bottom"/>
          </w:tcPr>
          <w:p>
            <w:pPr>
              <w:pStyle w:val="TableContents"/>
              <w:spacing w:before="0" w:after="283"/>
              <w:rPr/>
            </w:pPr>
            <w:r>
              <w:rPr/>
              <w:t>)</w:t>
            </w:r>
          </w:p>
        </w:tc>
        <w:tc>
          <w:tcPr>
            <w:tcW w:w="32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left"/>
              <w:rPr/>
            </w:pPr>
            <w:r>
              <w:rPr/>
              <w:t> </w:t>
            </w:r>
          </w:p>
        </w:tc>
        <w:tc>
          <w:tcPr>
            <w:tcW w:w="1060" w:type="dxa"/>
            <w:tcBorders/>
            <w:shd w:fill="auto" w:val="clear"/>
            <w:vAlign w:val="bottom"/>
          </w:tcPr>
          <w:p>
            <w:pPr>
              <w:pStyle w:val="TableContents"/>
              <w:spacing w:before="0" w:after="283"/>
              <w:jc w:val="right"/>
              <w:rPr/>
            </w:pPr>
            <w:r>
              <w:rPr/>
              <w:t>(11.2</w:t>
            </w:r>
          </w:p>
        </w:tc>
        <w:tc>
          <w:tcPr>
            <w:tcW w:w="550" w:type="dxa"/>
            <w:tcBorders/>
            <w:shd w:fill="auto" w:val="clear"/>
            <w:vAlign w:val="bottom"/>
          </w:tcPr>
          <w:p>
            <w:pPr>
              <w:pStyle w:val="TableContents"/>
              <w:spacing w:before="0" w:after="283"/>
              <w:rPr/>
            </w:pPr>
            <w:r>
              <w:rPr/>
              <w:t>)2</w:t>
            </w:r>
          </w:p>
        </w:tc>
        <w:tc>
          <w:tcPr>
            <w:tcW w:w="32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left"/>
              <w:rPr/>
            </w:pPr>
            <w:r>
              <w:rPr/>
              <w:t> </w:t>
            </w:r>
          </w:p>
        </w:tc>
        <w:tc>
          <w:tcPr>
            <w:tcW w:w="1156" w:type="dxa"/>
            <w:tcBorders/>
            <w:shd w:fill="auto" w:val="clear"/>
            <w:vAlign w:val="bottom"/>
          </w:tcPr>
          <w:p>
            <w:pPr>
              <w:pStyle w:val="TableContents"/>
              <w:spacing w:before="0" w:after="283"/>
              <w:jc w:val="right"/>
              <w:rPr/>
            </w:pPr>
            <w:r>
              <w:rPr/>
              <w:t>(30.9</w:t>
            </w:r>
          </w:p>
        </w:tc>
        <w:tc>
          <w:tcPr>
            <w:tcW w:w="223" w:type="dxa"/>
            <w:tcBorders/>
            <w:shd w:fill="auto" w:val="clear"/>
            <w:vAlign w:val="bottom"/>
          </w:tcPr>
          <w:p>
            <w:pPr>
              <w:pStyle w:val="TableContents"/>
              <w:spacing w:before="0" w:after="283"/>
              <w:rPr/>
            </w:pPr>
            <w:r>
              <w:rPr/>
              <w:t>)</w:t>
            </w:r>
          </w:p>
        </w:tc>
      </w:tr>
      <w:tr>
        <w:trPr/>
        <w:tc>
          <w:tcPr>
            <w:tcW w:w="3636" w:type="dxa"/>
            <w:tcBorders/>
            <w:shd w:fill="CCEEFF" w:val="clear"/>
            <w:vAlign w:val="bottom"/>
          </w:tcPr>
          <w:p>
            <w:pPr>
              <w:pStyle w:val="TableContents"/>
              <w:spacing w:before="0" w:after="0"/>
              <w:ind w:left="450" w:right="0" w:hanging="225"/>
              <w:rPr/>
            </w:pPr>
            <w:r>
              <w:rPr/>
              <w:t>Depreciation and amortization</w:t>
            </w:r>
          </w:p>
        </w:tc>
        <w:tc>
          <w:tcPr>
            <w:tcW w:w="265"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left"/>
              <w:rPr/>
            </w:pPr>
            <w:r>
              <w:rPr/>
              <w:t> </w:t>
            </w:r>
          </w:p>
        </w:tc>
        <w:tc>
          <w:tcPr>
            <w:tcW w:w="1150" w:type="dxa"/>
            <w:tcBorders/>
            <w:shd w:fill="CCEEFF" w:val="clear"/>
            <w:vAlign w:val="bottom"/>
          </w:tcPr>
          <w:p>
            <w:pPr>
              <w:pStyle w:val="TableContents"/>
              <w:spacing w:before="0" w:after="283"/>
              <w:jc w:val="right"/>
              <w:rPr/>
            </w:pPr>
            <w:r>
              <w:rPr/>
              <w:t>(26.8</w:t>
            </w:r>
          </w:p>
        </w:tc>
        <w:tc>
          <w:tcPr>
            <w:tcW w:w="312" w:type="dxa"/>
            <w:tcBorders/>
            <w:shd w:fill="CCEEFF" w:val="clear"/>
            <w:vAlign w:val="bottom"/>
          </w:tcPr>
          <w:p>
            <w:pPr>
              <w:pStyle w:val="TableContents"/>
              <w:spacing w:before="0" w:after="283"/>
              <w:rPr/>
            </w:pPr>
            <w:r>
              <w:rPr/>
              <w:t>)</w:t>
            </w:r>
          </w:p>
        </w:tc>
        <w:tc>
          <w:tcPr>
            <w:tcW w:w="325"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left"/>
              <w:rPr/>
            </w:pPr>
            <w:r>
              <w:rPr/>
              <w:t> </w:t>
            </w:r>
          </w:p>
        </w:tc>
        <w:tc>
          <w:tcPr>
            <w:tcW w:w="1060" w:type="dxa"/>
            <w:tcBorders/>
            <w:shd w:fill="CCEEFF" w:val="clear"/>
            <w:vAlign w:val="bottom"/>
          </w:tcPr>
          <w:p>
            <w:pPr>
              <w:pStyle w:val="TableContents"/>
              <w:spacing w:before="0" w:after="283"/>
              <w:jc w:val="right"/>
              <w:rPr/>
            </w:pPr>
            <w:r>
              <w:rPr/>
              <w:t>(5.6</w:t>
            </w:r>
          </w:p>
        </w:tc>
        <w:tc>
          <w:tcPr>
            <w:tcW w:w="550" w:type="dxa"/>
            <w:tcBorders/>
            <w:shd w:fill="CCEEFF" w:val="clear"/>
            <w:vAlign w:val="bottom"/>
          </w:tcPr>
          <w:p>
            <w:pPr>
              <w:pStyle w:val="TableContents"/>
              <w:spacing w:before="0" w:after="283"/>
              <w:rPr/>
            </w:pPr>
            <w:r>
              <w:rPr/>
              <w:t>)3</w:t>
            </w:r>
          </w:p>
        </w:tc>
        <w:tc>
          <w:tcPr>
            <w:tcW w:w="325"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left"/>
              <w:rPr/>
            </w:pPr>
            <w:r>
              <w:rPr/>
              <w:t> </w:t>
            </w:r>
          </w:p>
        </w:tc>
        <w:tc>
          <w:tcPr>
            <w:tcW w:w="1156" w:type="dxa"/>
            <w:tcBorders/>
            <w:shd w:fill="CCEEFF" w:val="clear"/>
            <w:vAlign w:val="bottom"/>
          </w:tcPr>
          <w:p>
            <w:pPr>
              <w:pStyle w:val="TableContents"/>
              <w:spacing w:before="0" w:after="283"/>
              <w:jc w:val="right"/>
              <w:rPr/>
            </w:pPr>
            <w:r>
              <w:rPr/>
              <w:t>(32.4</w:t>
            </w:r>
          </w:p>
        </w:tc>
        <w:tc>
          <w:tcPr>
            <w:tcW w:w="223" w:type="dxa"/>
            <w:tcBorders/>
            <w:shd w:fill="CCEEFF" w:val="clear"/>
            <w:vAlign w:val="bottom"/>
          </w:tcPr>
          <w:p>
            <w:pPr>
              <w:pStyle w:val="TableContents"/>
              <w:spacing w:before="0" w:after="283"/>
              <w:rPr/>
            </w:pPr>
            <w:r>
              <w:rPr/>
              <w:t>)</w:t>
            </w:r>
          </w:p>
        </w:tc>
      </w:tr>
      <w:tr>
        <w:trPr/>
        <w:tc>
          <w:tcPr>
            <w:tcW w:w="3636" w:type="dxa"/>
            <w:tcBorders/>
            <w:shd w:fill="auto" w:val="clear"/>
            <w:vAlign w:val="center"/>
          </w:tcPr>
          <w:p>
            <w:pPr>
              <w:pStyle w:val="TableContents"/>
              <w:spacing w:before="0" w:after="0"/>
              <w:ind w:left="225" w:right="0" w:hanging="225"/>
              <w:rPr/>
            </w:pPr>
            <w:r>
              <w:rPr/>
              <w:t> </w:t>
            </w:r>
          </w:p>
        </w:tc>
        <w:tc>
          <w:tcPr>
            <w:tcW w:w="265" w:type="dxa"/>
            <w:tcBorders/>
            <w:shd w:fill="auto" w:val="clear"/>
            <w:vAlign w:val="center"/>
          </w:tcPr>
          <w:p>
            <w:pPr>
              <w:pStyle w:val="TableContents"/>
              <w:spacing w:before="0" w:after="283"/>
              <w:rPr/>
            </w:pPr>
            <w:r>
              <w:rPr/>
              <w:t> </w:t>
            </w:r>
          </w:p>
        </w:tc>
        <w:tc>
          <w:tcPr>
            <w:tcW w:w="15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12"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4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55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5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3" w:type="dxa"/>
            <w:tcBorders/>
            <w:shd w:fill="auto" w:val="clear"/>
            <w:vAlign w:val="center"/>
          </w:tcPr>
          <w:p>
            <w:pPr>
              <w:pStyle w:val="TableContents"/>
              <w:spacing w:before="0" w:after="283"/>
              <w:rPr/>
            </w:pPr>
            <w:r>
              <w:rPr/>
              <w:t> </w:t>
            </w:r>
          </w:p>
        </w:tc>
      </w:tr>
      <w:tr>
        <w:trPr/>
        <w:tc>
          <w:tcPr>
            <w:tcW w:w="3636" w:type="dxa"/>
            <w:tcBorders/>
            <w:shd w:fill="auto" w:val="clear"/>
            <w:vAlign w:val="bottom"/>
          </w:tcPr>
          <w:p>
            <w:pPr>
              <w:pStyle w:val="TableContents"/>
              <w:spacing w:before="0" w:after="0"/>
              <w:ind w:left="225" w:right="0" w:hanging="225"/>
              <w:rPr>
                <w:b/>
              </w:rPr>
            </w:pPr>
            <w:r>
              <w:rPr>
                <w:b/>
              </w:rPr>
              <w:t>Adjusted Net Income</w:t>
            </w:r>
          </w:p>
        </w:tc>
        <w:tc>
          <w:tcPr>
            <w:tcW w:w="26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left"/>
              <w:rPr/>
            </w:pPr>
            <w:r>
              <w:rPr/>
              <w:t>$</w:t>
            </w:r>
          </w:p>
        </w:tc>
        <w:tc>
          <w:tcPr>
            <w:tcW w:w="1150" w:type="dxa"/>
            <w:tcBorders/>
            <w:shd w:fill="auto" w:val="clear"/>
            <w:vAlign w:val="bottom"/>
          </w:tcPr>
          <w:p>
            <w:pPr>
              <w:pStyle w:val="TableContents"/>
              <w:spacing w:before="0" w:after="283"/>
              <w:jc w:val="right"/>
              <w:rPr/>
            </w:pPr>
            <w:r>
              <w:rPr/>
              <w:t>73.5</w:t>
            </w:r>
          </w:p>
        </w:tc>
        <w:tc>
          <w:tcPr>
            <w:tcW w:w="31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left"/>
              <w:rPr/>
            </w:pPr>
            <w:r>
              <w:rPr/>
              <w:t>$</w:t>
            </w:r>
          </w:p>
        </w:tc>
        <w:tc>
          <w:tcPr>
            <w:tcW w:w="1060" w:type="dxa"/>
            <w:tcBorders/>
            <w:shd w:fill="auto" w:val="clear"/>
            <w:vAlign w:val="bottom"/>
          </w:tcPr>
          <w:p>
            <w:pPr>
              <w:pStyle w:val="TableContents"/>
              <w:spacing w:before="0" w:after="283"/>
              <w:jc w:val="right"/>
              <w:rPr/>
            </w:pPr>
            <w:r>
              <w:rPr/>
              <w:t>1.7</w:t>
            </w:r>
          </w:p>
        </w:tc>
        <w:tc>
          <w:tcPr>
            <w:tcW w:w="55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left"/>
              <w:rPr/>
            </w:pPr>
            <w:r>
              <w:rPr/>
              <w:t>$</w:t>
            </w:r>
          </w:p>
        </w:tc>
        <w:tc>
          <w:tcPr>
            <w:tcW w:w="1156" w:type="dxa"/>
            <w:tcBorders/>
            <w:shd w:fill="auto" w:val="clear"/>
            <w:vAlign w:val="bottom"/>
          </w:tcPr>
          <w:p>
            <w:pPr>
              <w:pStyle w:val="TableContents"/>
              <w:spacing w:before="0" w:after="283"/>
              <w:jc w:val="right"/>
              <w:rPr/>
            </w:pPr>
            <w:r>
              <w:rPr/>
              <w:t>75.2</w:t>
            </w:r>
          </w:p>
        </w:tc>
        <w:tc>
          <w:tcPr>
            <w:tcW w:w="223" w:type="dxa"/>
            <w:tcBorders/>
            <w:shd w:fill="auto" w:val="clear"/>
            <w:vAlign w:val="bottom"/>
          </w:tcPr>
          <w:p>
            <w:pPr>
              <w:pStyle w:val="TableContents"/>
              <w:spacing w:before="0" w:after="283"/>
              <w:rPr/>
            </w:pPr>
            <w:r>
              <w:rPr/>
              <w:t> </w:t>
            </w:r>
          </w:p>
        </w:tc>
      </w:tr>
      <w:tr>
        <w:trPr/>
        <w:tc>
          <w:tcPr>
            <w:tcW w:w="3636" w:type="dxa"/>
            <w:tcBorders/>
            <w:shd w:fill="auto" w:val="clear"/>
            <w:vAlign w:val="center"/>
          </w:tcPr>
          <w:p>
            <w:pPr>
              <w:pStyle w:val="TableContents"/>
              <w:spacing w:before="0" w:after="0"/>
              <w:ind w:left="225" w:right="0" w:hanging="225"/>
              <w:rPr/>
            </w:pPr>
            <w:r>
              <w:rPr/>
              <w:t> </w:t>
            </w:r>
          </w:p>
        </w:tc>
        <w:tc>
          <w:tcPr>
            <w:tcW w:w="265" w:type="dxa"/>
            <w:tcBorders/>
            <w:shd w:fill="auto" w:val="clear"/>
            <w:vAlign w:val="center"/>
          </w:tcPr>
          <w:p>
            <w:pPr>
              <w:pStyle w:val="TableContents"/>
              <w:spacing w:before="0" w:after="283"/>
              <w:rPr/>
            </w:pPr>
            <w:r>
              <w:rPr/>
              <w:t> </w:t>
            </w:r>
          </w:p>
        </w:tc>
        <w:tc>
          <w:tcPr>
            <w:tcW w:w="15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12"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4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55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5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3" w:type="dxa"/>
            <w:tcBorders/>
            <w:shd w:fill="auto" w:val="clear"/>
            <w:vAlign w:val="center"/>
          </w:tcPr>
          <w:p>
            <w:pPr>
              <w:pStyle w:val="TableContents"/>
              <w:spacing w:before="0" w:after="283"/>
              <w:rPr/>
            </w:pPr>
            <w:r>
              <w:rPr/>
              <w:t> </w:t>
            </w:r>
          </w:p>
        </w:tc>
      </w:tr>
      <w:tr>
        <w:trPr/>
        <w:tc>
          <w:tcPr>
            <w:tcW w:w="3636" w:type="dxa"/>
            <w:tcBorders/>
            <w:shd w:fill="auto" w:val="clear"/>
            <w:vAlign w:val="bottom"/>
          </w:tcPr>
          <w:p>
            <w:pPr>
              <w:pStyle w:val="TableContents"/>
              <w:spacing w:before="0" w:after="0"/>
              <w:ind w:left="225" w:right="0" w:hanging="225"/>
              <w:rPr/>
            </w:pPr>
            <w:r>
              <w:rPr/>
              <w:t> </w:t>
            </w:r>
          </w:p>
        </w:tc>
        <w:tc>
          <w:tcPr>
            <w:tcW w:w="26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r>
      <w:tr>
        <w:trPr/>
        <w:tc>
          <w:tcPr>
            <w:tcW w:w="3636" w:type="dxa"/>
            <w:tcBorders/>
            <w:shd w:fill="CCEEFF" w:val="clear"/>
            <w:vAlign w:val="bottom"/>
          </w:tcPr>
          <w:p>
            <w:pPr>
              <w:pStyle w:val="TableContents"/>
              <w:spacing w:before="0" w:after="0"/>
              <w:ind w:left="225" w:right="0" w:hanging="225"/>
              <w:rPr/>
            </w:pPr>
            <w:r>
              <w:rPr/>
              <w:t>Basic Units Outstanding</w:t>
            </w:r>
          </w:p>
        </w:tc>
        <w:tc>
          <w:tcPr>
            <w:tcW w:w="265"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81.0</w:t>
            </w:r>
          </w:p>
        </w:tc>
        <w:tc>
          <w:tcPr>
            <w:tcW w:w="31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11.1</w:t>
            </w:r>
          </w:p>
        </w:tc>
        <w:tc>
          <w:tcPr>
            <w:tcW w:w="55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1156" w:type="dxa"/>
            <w:tcBorders/>
            <w:shd w:fill="CCEEFF" w:val="clear"/>
            <w:vAlign w:val="bottom"/>
          </w:tcPr>
          <w:p>
            <w:pPr>
              <w:pStyle w:val="TableContents"/>
              <w:spacing w:before="0" w:after="283"/>
              <w:jc w:val="right"/>
              <w:rPr/>
            </w:pPr>
            <w:r>
              <w:rPr/>
              <w:t>92.1</w:t>
            </w:r>
          </w:p>
        </w:tc>
        <w:tc>
          <w:tcPr>
            <w:tcW w:w="223" w:type="dxa"/>
            <w:tcBorders/>
            <w:shd w:fill="CCEEFF" w:val="clear"/>
            <w:vAlign w:val="bottom"/>
          </w:tcPr>
          <w:p>
            <w:pPr>
              <w:pStyle w:val="TableContents"/>
              <w:spacing w:before="0" w:after="283"/>
              <w:rPr/>
            </w:pPr>
            <w:r>
              <w:rPr/>
              <w:t> </w:t>
            </w:r>
          </w:p>
        </w:tc>
      </w:tr>
      <w:tr>
        <w:trPr/>
        <w:tc>
          <w:tcPr>
            <w:tcW w:w="3636" w:type="dxa"/>
            <w:tcBorders/>
            <w:shd w:fill="auto" w:val="clear"/>
            <w:vAlign w:val="bottom"/>
          </w:tcPr>
          <w:p>
            <w:pPr>
              <w:pStyle w:val="TableContents"/>
              <w:spacing w:before="0" w:after="0"/>
              <w:ind w:left="225" w:right="0" w:hanging="225"/>
              <w:rPr/>
            </w:pPr>
            <w:r>
              <w:rPr/>
              <w:t>Diluted Units Outstanding</w:t>
            </w:r>
          </w:p>
        </w:tc>
        <w:tc>
          <w:tcPr>
            <w:tcW w:w="26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82.0</w:t>
            </w:r>
          </w:p>
        </w:tc>
        <w:tc>
          <w:tcPr>
            <w:tcW w:w="31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11.1</w:t>
            </w:r>
          </w:p>
        </w:tc>
        <w:tc>
          <w:tcPr>
            <w:tcW w:w="55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jc w:val="right"/>
              <w:rPr/>
            </w:pPr>
            <w:r>
              <w:rPr/>
              <w:t>93.1</w:t>
            </w:r>
          </w:p>
        </w:tc>
        <w:tc>
          <w:tcPr>
            <w:tcW w:w="223" w:type="dxa"/>
            <w:tcBorders/>
            <w:shd w:fill="auto" w:val="clear"/>
            <w:vAlign w:val="bottom"/>
          </w:tcPr>
          <w:p>
            <w:pPr>
              <w:pStyle w:val="TableContents"/>
              <w:spacing w:before="0" w:after="283"/>
              <w:rPr/>
            </w:pPr>
            <w:r>
              <w:rPr/>
              <w:t> </w:t>
            </w:r>
          </w:p>
        </w:tc>
      </w:tr>
      <w:tr>
        <w:trPr/>
        <w:tc>
          <w:tcPr>
            <w:tcW w:w="3636" w:type="dxa"/>
            <w:tcBorders/>
            <w:shd w:fill="auto" w:val="clear"/>
            <w:vAlign w:val="bottom"/>
          </w:tcPr>
          <w:p>
            <w:pPr>
              <w:pStyle w:val="TableContents"/>
              <w:spacing w:before="0" w:after="0"/>
              <w:ind w:left="225" w:right="0" w:hanging="225"/>
              <w:rPr/>
            </w:pPr>
            <w:r>
              <w:rPr/>
              <w:t> </w:t>
            </w:r>
          </w:p>
        </w:tc>
        <w:tc>
          <w:tcPr>
            <w:tcW w:w="26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r>
      <w:tr>
        <w:trPr/>
        <w:tc>
          <w:tcPr>
            <w:tcW w:w="3636" w:type="dxa"/>
            <w:tcBorders/>
            <w:shd w:fill="CCEEFF" w:val="clear"/>
            <w:vAlign w:val="bottom"/>
          </w:tcPr>
          <w:p>
            <w:pPr>
              <w:pStyle w:val="TableContents"/>
              <w:spacing w:before="0" w:after="0"/>
              <w:ind w:left="225" w:right="0" w:hanging="225"/>
              <w:rPr/>
            </w:pPr>
            <w:r>
              <w:rPr/>
              <w:t>Adjusted Basic Net Income per Limited Partner Unit</w:t>
            </w:r>
          </w:p>
        </w:tc>
        <w:tc>
          <w:tcPr>
            <w:tcW w:w="265"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left"/>
              <w:rPr/>
            </w:pPr>
            <w:r>
              <w:rPr/>
              <w:t>$</w:t>
            </w:r>
          </w:p>
        </w:tc>
        <w:tc>
          <w:tcPr>
            <w:tcW w:w="1150" w:type="dxa"/>
            <w:tcBorders/>
            <w:shd w:fill="CCEEFF" w:val="clear"/>
            <w:vAlign w:val="bottom"/>
          </w:tcPr>
          <w:p>
            <w:pPr>
              <w:pStyle w:val="TableContents"/>
              <w:spacing w:before="0" w:after="283"/>
              <w:jc w:val="right"/>
              <w:rPr/>
            </w:pPr>
            <w:r>
              <w:rPr/>
              <w:t>0.76</w:t>
            </w:r>
          </w:p>
        </w:tc>
        <w:tc>
          <w:tcPr>
            <w:tcW w:w="31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left"/>
              <w:rPr/>
            </w:pPr>
            <w:r>
              <w:rPr/>
              <w:t> </w:t>
            </w:r>
          </w:p>
        </w:tc>
        <w:tc>
          <w:tcPr>
            <w:tcW w:w="1060" w:type="dxa"/>
            <w:tcBorders/>
            <w:shd w:fill="CCEEFF" w:val="clear"/>
            <w:vAlign w:val="bottom"/>
          </w:tcPr>
          <w:p>
            <w:pPr>
              <w:pStyle w:val="TableContents"/>
              <w:spacing w:before="0" w:after="283"/>
              <w:jc w:val="right"/>
              <w:rPr/>
            </w:pPr>
            <w:r>
              <w:rPr/>
              <w:t> </w:t>
            </w:r>
          </w:p>
        </w:tc>
        <w:tc>
          <w:tcPr>
            <w:tcW w:w="55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left"/>
              <w:rPr/>
            </w:pPr>
            <w:r>
              <w:rPr/>
              <w:t>$</w:t>
            </w:r>
          </w:p>
        </w:tc>
        <w:tc>
          <w:tcPr>
            <w:tcW w:w="1156" w:type="dxa"/>
            <w:tcBorders/>
            <w:shd w:fill="CCEEFF" w:val="clear"/>
            <w:vAlign w:val="bottom"/>
          </w:tcPr>
          <w:p>
            <w:pPr>
              <w:pStyle w:val="TableContents"/>
              <w:spacing w:before="0" w:after="283"/>
              <w:jc w:val="right"/>
              <w:rPr/>
            </w:pPr>
            <w:r>
              <w:rPr/>
              <w:t>0.67</w:t>
            </w:r>
          </w:p>
        </w:tc>
        <w:tc>
          <w:tcPr>
            <w:tcW w:w="223" w:type="dxa"/>
            <w:tcBorders/>
            <w:shd w:fill="CCEEFF" w:val="clear"/>
            <w:vAlign w:val="bottom"/>
          </w:tcPr>
          <w:p>
            <w:pPr>
              <w:pStyle w:val="TableContents"/>
              <w:spacing w:before="0" w:after="283"/>
              <w:rPr/>
            </w:pPr>
            <w:r>
              <w:rPr/>
              <w:t> </w:t>
            </w:r>
          </w:p>
        </w:tc>
      </w:tr>
      <w:tr>
        <w:trPr/>
        <w:tc>
          <w:tcPr>
            <w:tcW w:w="3636" w:type="dxa"/>
            <w:tcBorders/>
            <w:shd w:fill="auto" w:val="clear"/>
            <w:vAlign w:val="center"/>
          </w:tcPr>
          <w:p>
            <w:pPr>
              <w:pStyle w:val="TableContents"/>
              <w:spacing w:before="0" w:after="0"/>
              <w:ind w:left="225" w:right="0" w:hanging="225"/>
              <w:rPr/>
            </w:pPr>
            <w:r>
              <w:rPr/>
              <w:t> </w:t>
            </w:r>
          </w:p>
        </w:tc>
        <w:tc>
          <w:tcPr>
            <w:tcW w:w="265" w:type="dxa"/>
            <w:tcBorders/>
            <w:shd w:fill="auto" w:val="clear"/>
            <w:vAlign w:val="center"/>
          </w:tcPr>
          <w:p>
            <w:pPr>
              <w:pStyle w:val="TableContents"/>
              <w:spacing w:before="0" w:after="283"/>
              <w:rPr/>
            </w:pPr>
            <w:r>
              <w:rPr/>
              <w:t> </w:t>
            </w:r>
          </w:p>
        </w:tc>
        <w:tc>
          <w:tcPr>
            <w:tcW w:w="15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12"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461" w:type="dxa"/>
            <w:gridSpan w:val="2"/>
            <w:tcBorders/>
            <w:shd w:fill="auto" w:val="clear"/>
            <w:vAlign w:val="center"/>
          </w:tcPr>
          <w:p>
            <w:pPr>
              <w:pStyle w:val="TableContents"/>
              <w:spacing w:before="0" w:after="283"/>
              <w:jc w:val="right"/>
              <w:rPr/>
            </w:pPr>
            <w:r>
              <w:rPr/>
              <w:t> </w:t>
            </w:r>
          </w:p>
        </w:tc>
        <w:tc>
          <w:tcPr>
            <w:tcW w:w="55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5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3" w:type="dxa"/>
            <w:tcBorders/>
            <w:shd w:fill="auto" w:val="clear"/>
            <w:vAlign w:val="center"/>
          </w:tcPr>
          <w:p>
            <w:pPr>
              <w:pStyle w:val="TableContents"/>
              <w:spacing w:before="0" w:after="283"/>
              <w:rPr/>
            </w:pPr>
            <w:r>
              <w:rPr/>
              <w:t> </w:t>
            </w:r>
          </w:p>
        </w:tc>
      </w:tr>
      <w:tr>
        <w:trPr/>
        <w:tc>
          <w:tcPr>
            <w:tcW w:w="3636" w:type="dxa"/>
            <w:tcBorders/>
            <w:shd w:fill="auto" w:val="clear"/>
            <w:vAlign w:val="bottom"/>
          </w:tcPr>
          <w:p>
            <w:pPr>
              <w:pStyle w:val="TableContents"/>
              <w:spacing w:before="0" w:after="0"/>
              <w:ind w:left="225" w:right="0" w:hanging="225"/>
              <w:rPr/>
            </w:pPr>
            <w:r>
              <w:rPr/>
              <w:t>Adjusted Diluted Net Income per Limited Partner Unit</w:t>
            </w:r>
          </w:p>
        </w:tc>
        <w:tc>
          <w:tcPr>
            <w:tcW w:w="26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left"/>
              <w:rPr/>
            </w:pPr>
            <w:r>
              <w:rPr/>
              <w:t>$</w:t>
            </w:r>
          </w:p>
        </w:tc>
        <w:tc>
          <w:tcPr>
            <w:tcW w:w="1150" w:type="dxa"/>
            <w:tcBorders/>
            <w:shd w:fill="auto" w:val="clear"/>
            <w:vAlign w:val="bottom"/>
          </w:tcPr>
          <w:p>
            <w:pPr>
              <w:pStyle w:val="TableContents"/>
              <w:spacing w:before="0" w:after="283"/>
              <w:jc w:val="right"/>
              <w:rPr/>
            </w:pPr>
            <w:r>
              <w:rPr/>
              <w:t>0.75</w:t>
            </w:r>
          </w:p>
        </w:tc>
        <w:tc>
          <w:tcPr>
            <w:tcW w:w="31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left"/>
              <w:rPr/>
            </w:pPr>
            <w:r>
              <w:rPr/>
              <w:t> </w:t>
            </w:r>
          </w:p>
        </w:tc>
        <w:tc>
          <w:tcPr>
            <w:tcW w:w="1060" w:type="dxa"/>
            <w:tcBorders/>
            <w:shd w:fill="auto" w:val="clear"/>
            <w:vAlign w:val="bottom"/>
          </w:tcPr>
          <w:p>
            <w:pPr>
              <w:pStyle w:val="TableContents"/>
              <w:spacing w:before="0" w:after="283"/>
              <w:jc w:val="right"/>
              <w:rPr/>
            </w:pPr>
            <w:r>
              <w:rPr/>
              <w:t> </w:t>
            </w:r>
          </w:p>
        </w:tc>
        <w:tc>
          <w:tcPr>
            <w:tcW w:w="55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left"/>
              <w:rPr/>
            </w:pPr>
            <w:r>
              <w:rPr/>
              <w:t>$</w:t>
            </w:r>
          </w:p>
        </w:tc>
        <w:tc>
          <w:tcPr>
            <w:tcW w:w="1156" w:type="dxa"/>
            <w:tcBorders/>
            <w:shd w:fill="auto" w:val="clear"/>
            <w:vAlign w:val="bottom"/>
          </w:tcPr>
          <w:p>
            <w:pPr>
              <w:pStyle w:val="TableContents"/>
              <w:spacing w:before="0" w:after="283"/>
              <w:jc w:val="right"/>
              <w:rPr/>
            </w:pPr>
            <w:r>
              <w:rPr/>
              <w:t>0.66</w:t>
            </w:r>
          </w:p>
        </w:tc>
        <w:tc>
          <w:tcPr>
            <w:tcW w:w="223" w:type="dxa"/>
            <w:tcBorders/>
            <w:shd w:fill="auto" w:val="clear"/>
            <w:vAlign w:val="bottom"/>
          </w:tcPr>
          <w:p>
            <w:pPr>
              <w:pStyle w:val="TableContents"/>
              <w:spacing w:before="0" w:after="283"/>
              <w:rPr/>
            </w:pPr>
            <w:r>
              <w:rPr/>
              <w:t> </w:t>
            </w:r>
          </w:p>
        </w:tc>
      </w:tr>
      <w:tr>
        <w:trPr/>
        <w:tc>
          <w:tcPr>
            <w:tcW w:w="3636" w:type="dxa"/>
            <w:tcBorders/>
            <w:shd w:fill="auto" w:val="clear"/>
            <w:vAlign w:val="center"/>
          </w:tcPr>
          <w:p>
            <w:pPr>
              <w:pStyle w:val="TableContents"/>
              <w:spacing w:before="0" w:after="0"/>
              <w:ind w:left="225" w:right="0" w:hanging="225"/>
              <w:rPr/>
            </w:pPr>
            <w:r>
              <w:rPr/>
              <w:t> </w:t>
            </w:r>
          </w:p>
        </w:tc>
        <w:tc>
          <w:tcPr>
            <w:tcW w:w="265" w:type="dxa"/>
            <w:tcBorders/>
            <w:shd w:fill="auto" w:val="clear"/>
            <w:vAlign w:val="center"/>
          </w:tcPr>
          <w:p>
            <w:pPr>
              <w:pStyle w:val="TableContents"/>
              <w:spacing w:before="0" w:after="283"/>
              <w:rPr/>
            </w:pPr>
            <w:r>
              <w:rPr/>
              <w:t> </w:t>
            </w:r>
          </w:p>
        </w:tc>
        <w:tc>
          <w:tcPr>
            <w:tcW w:w="15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12"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461" w:type="dxa"/>
            <w:gridSpan w:val="2"/>
            <w:tcBorders/>
            <w:shd w:fill="auto" w:val="clear"/>
            <w:vAlign w:val="center"/>
          </w:tcPr>
          <w:p>
            <w:pPr>
              <w:pStyle w:val="TableContents"/>
              <w:spacing w:before="0" w:after="283"/>
              <w:jc w:val="right"/>
              <w:rPr/>
            </w:pPr>
            <w:r>
              <w:rPr/>
              <w:t> </w:t>
            </w:r>
          </w:p>
        </w:tc>
        <w:tc>
          <w:tcPr>
            <w:tcW w:w="550"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5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3"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33"/>
        <w:gridCol w:w="2186"/>
        <w:gridCol w:w="1386"/>
      </w:tblGrid>
      <w:tr>
        <w:trPr/>
        <w:tc>
          <w:tcPr>
            <w:tcW w:w="6633" w:type="dxa"/>
            <w:tcBorders/>
            <w:shd w:fill="auto" w:val="clear"/>
            <w:vAlign w:val="center"/>
          </w:tcPr>
          <w:p>
            <w:pPr>
              <w:pStyle w:val="TableContents"/>
              <w:spacing w:before="0" w:after="283"/>
              <w:rPr>
                <w:sz w:val="4"/>
                <w:szCs w:val="4"/>
              </w:rPr>
            </w:pPr>
            <w:r>
              <w:rPr>
                <w:sz w:val="4"/>
                <w:szCs w:val="4"/>
              </w:rPr>
            </w:r>
          </w:p>
        </w:tc>
        <w:tc>
          <w:tcPr>
            <w:tcW w:w="2186"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r>
      <w:tr>
        <w:trPr/>
        <w:tc>
          <w:tcPr>
            <w:tcW w:w="6633" w:type="dxa"/>
            <w:tcBorders/>
            <w:shd w:fill="auto" w:val="clear"/>
          </w:tcPr>
          <w:p>
            <w:pPr>
              <w:pStyle w:val="TableContents"/>
              <w:spacing w:before="0" w:after="283"/>
              <w:jc w:val="left"/>
              <w:rPr/>
            </w:pPr>
            <w:r>
              <w:rPr/>
              <w:t>1</w:t>
            </w:r>
          </w:p>
        </w:tc>
        <w:tc>
          <w:tcPr>
            <w:tcW w:w="2186"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Per Pacific Energy mid-point estimate of $36.9 million reported in its press release dated November 1, 2006 and prorated based on an assumed closing date of November 15, 2006. Excludes the impact of anticipated transaction synergies and contributions from capital expansion projects under construction.</w:t>
            </w:r>
          </w:p>
        </w:tc>
      </w:tr>
      <w:tr>
        <w:trPr/>
        <w:tc>
          <w:tcPr>
            <w:tcW w:w="6633" w:type="dxa"/>
            <w:tcBorders/>
            <w:shd w:fill="auto" w:val="clear"/>
            <w:vAlign w:val="center"/>
          </w:tcPr>
          <w:p>
            <w:pPr>
              <w:pStyle w:val="TableContents"/>
              <w:spacing w:before="0" w:after="283"/>
              <w:rPr/>
            </w:pPr>
            <w:r>
              <w:rPr/>
              <w:t> </w:t>
            </w:r>
          </w:p>
        </w:tc>
        <w:tc>
          <w:tcPr>
            <w:tcW w:w="3572" w:type="dxa"/>
            <w:gridSpan w:val="2"/>
            <w:tcBorders/>
            <w:shd w:fill="auto" w:val="clear"/>
          </w:tcPr>
          <w:p>
            <w:pPr>
              <w:pStyle w:val="TableContents"/>
              <w:spacing w:before="0" w:after="283"/>
              <w:rPr>
                <w:sz w:val="4"/>
                <w:szCs w:val="4"/>
              </w:rPr>
            </w:pPr>
            <w:r>
              <w:rPr>
                <w:sz w:val="4"/>
                <w:szCs w:val="4"/>
              </w:rPr>
            </w:r>
          </w:p>
        </w:tc>
      </w:tr>
      <w:tr>
        <w:trPr/>
        <w:tc>
          <w:tcPr>
            <w:tcW w:w="6633" w:type="dxa"/>
            <w:tcBorders/>
            <w:shd w:fill="auto" w:val="clear"/>
          </w:tcPr>
          <w:p>
            <w:pPr>
              <w:pStyle w:val="TableContents"/>
              <w:spacing w:before="0" w:after="283"/>
              <w:jc w:val="left"/>
              <w:rPr/>
            </w:pPr>
            <w:r>
              <w:rPr/>
              <w:t>2</w:t>
            </w:r>
          </w:p>
        </w:tc>
        <w:tc>
          <w:tcPr>
            <w:tcW w:w="2186"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As computed by PAA based on debt assumed from Pacific Energy and estimated cash paid on an assumed closing date of November 15, 2006. Such interest expense includes a forecast of interest incurred on the New Senior Notes from November 15, 2006 through the remainder of the year, but does not include interest expense on the New Senior Notes or interest income from investment of the proceeds for the period prior to November 15, 2006.</w:t>
            </w:r>
          </w:p>
        </w:tc>
      </w:tr>
      <w:tr>
        <w:trPr/>
        <w:tc>
          <w:tcPr>
            <w:tcW w:w="6633" w:type="dxa"/>
            <w:tcBorders/>
            <w:shd w:fill="auto" w:val="clear"/>
            <w:vAlign w:val="center"/>
          </w:tcPr>
          <w:p>
            <w:pPr>
              <w:pStyle w:val="TableContents"/>
              <w:spacing w:before="0" w:after="283"/>
              <w:rPr/>
            </w:pPr>
            <w:r>
              <w:rPr/>
              <w:t> </w:t>
            </w:r>
          </w:p>
        </w:tc>
        <w:tc>
          <w:tcPr>
            <w:tcW w:w="3572" w:type="dxa"/>
            <w:gridSpan w:val="2"/>
            <w:tcBorders/>
            <w:shd w:fill="auto" w:val="clear"/>
          </w:tcPr>
          <w:p>
            <w:pPr>
              <w:pStyle w:val="TableContents"/>
              <w:spacing w:before="0" w:after="283"/>
              <w:rPr>
                <w:sz w:val="4"/>
                <w:szCs w:val="4"/>
              </w:rPr>
            </w:pPr>
            <w:r>
              <w:rPr>
                <w:sz w:val="4"/>
                <w:szCs w:val="4"/>
              </w:rPr>
            </w:r>
          </w:p>
        </w:tc>
      </w:tr>
      <w:tr>
        <w:trPr/>
        <w:tc>
          <w:tcPr>
            <w:tcW w:w="6633" w:type="dxa"/>
            <w:tcBorders/>
            <w:shd w:fill="auto" w:val="clear"/>
          </w:tcPr>
          <w:p>
            <w:pPr>
              <w:pStyle w:val="TableContents"/>
              <w:spacing w:before="0" w:after="283"/>
              <w:jc w:val="left"/>
              <w:rPr/>
            </w:pPr>
            <w:r>
              <w:rPr/>
              <w:t>3</w:t>
            </w:r>
          </w:p>
        </w:tc>
        <w:tc>
          <w:tcPr>
            <w:tcW w:w="2186"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PAA estimate of depreciation and amortization on the acquired assets based on the straight-line method of depreciation over average useful lives ranging from 5 to 40 years. Depreciation and amortization estimates are based on estimated purchase price allocations assumptions used in PAA's Current Report on Form 8-K filed on August 24, 2006.</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Forward-Looking Statements and Associated Risks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All statements included in this report,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However, the absence of these words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tbl>
      <w:tblPr>
        <w:tblW w:w="5000" w:type="pct"/>
        <w:jc w:val="left"/>
        <w:tblInd w:w="0" w:type="dxa"/>
        <w:tblCellMar>
          <w:top w:w="0" w:type="dxa"/>
          <w:left w:w="0" w:type="dxa"/>
          <w:bottom w:w="0" w:type="dxa"/>
          <w:right w:w="0" w:type="dxa"/>
        </w:tblCellMar>
      </w:tblPr>
      <w:tblGrid>
        <w:gridCol w:w="203"/>
        <w:gridCol w:w="210"/>
        <w:gridCol w:w="103"/>
        <w:gridCol w:w="9689"/>
      </w:tblGrid>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our failure to successfully integrate the respective business operations upon completion of the merger with Pacific Energy or our failure to successfully integrate any future acquisitions;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the failure to realize the anticipated cost savings, synergies and other benefits of the proposed merger with Pacific Energy;</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the success of our risk management activities;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environmental liabilities or events that are not covered by an indemnity, insurance or existing reserves;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maintenance of our credit rating and ability to receive open credit from our suppliers and trade counterparties;</w:t>
            </w:r>
          </w:p>
        </w:tc>
      </w:tr>
    </w:tbl>
    <w:tbl>
      <w:tblPr>
        <w:tblW w:w="5000" w:type="pct"/>
        <w:jc w:val="left"/>
        <w:tblInd w:w="0" w:type="dxa"/>
        <w:tblCellMar>
          <w:top w:w="0" w:type="dxa"/>
          <w:left w:w="0" w:type="dxa"/>
          <w:bottom w:w="0" w:type="dxa"/>
          <w:right w:w="0" w:type="dxa"/>
        </w:tblCellMar>
      </w:tblPr>
      <w:tblGrid>
        <w:gridCol w:w="203"/>
        <w:gridCol w:w="208"/>
        <w:gridCol w:w="102"/>
        <w:gridCol w:w="9692"/>
      </w:tblGrid>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abrupt or severe declines or interruptions in outer continental shelf production located offshore California and transported on our pipeline system;</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declines in volumes shipped on the Basin Pipeline, Capline Pipeline and our other pipelines by us and third party shippers;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the availability of adequate third party production volumes for transportation and marketing in the areas in which we operate;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demand for natural gas or various grades of crude oil and resulting changes in pricing conditions or transmission throughput requirements;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fluctuations in refinery capacity in areas supplied by our main lines;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the availability of, and our ability to consummate, acquisition or combination opportunities;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our access to capital to fund additional acquisitions and our ability to obtain debt or equity financing on satisfactory terms;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successful integration and future performance of acquired assets or businesses and the risks associated with operating in lines of business that are distinct and separate from our historical operations;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unanticipated changes in crude oil market structure and volatility (or lack thereof);</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the impact of current and future laws, rulings and governmental regulations;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the effects of competition;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continued creditworthiness of, and performance by, our counterparties;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interruptions in service and fluctuations in tariffs or volumes on third party pipelines;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increased costs or lack of availability of insurance: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fluctuations in the debt and equity markets, including the price of our units at the time of vesting under our Long-Term Incentive Plans;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the currency exchange rate of the Canadian dollar;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the impact of crude oil and natural gas price fluctuations;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shortages or cost increases of power supplies, materials or labor;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weather interference with business operations or project construction;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risks related to the development and operation of natural gas storage facilities;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general economic, market or business conditions;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other factors and uncertainties inherent in the marketing, transportation, terminalling, gathering and storage of crude oil and liquefied petroleum gas.</w:t>
            </w:r>
          </w:p>
        </w:tc>
      </w:tr>
    </w:tbl>
    <w:p>
      <w:pPr>
        <w:pStyle w:val="TextBody"/>
        <w:spacing w:before="120" w:after="283"/>
        <w:jc w:val="left"/>
        <w:rPr/>
      </w:pPr>
      <w:r>
        <w:rPr/>
        <w:t>     </w:t>
      </w:r>
      <w:r>
        <w:rPr>
          <w:rFonts w:ascii="Times New Roman;Times;serif" w:hAnsi="Times New Roman;Times;serif"/>
          <w:sz w:val="17"/>
        </w:rPr>
        <w:t xml:space="preserve">We undertake no obligation to publicly update or revise any forward-looking statements. Further information on risks and uncertainties is available in our filings with the Securities and Exchange Commission, which information is incorporated by reference herein.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Investor Notice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Plains All American Pipeline, L.P. has filed with the Securities and Exchange Commission a registration statement on Form S-4 (as the same may be supplemented or amended, Registration No. 333-135712) containing the joint proxy statement/prospectus of Plains All American Pipeline, L.P. and Pacific Energy Partners, L.P. and other documents in relation to the merger between Plains All American Pipeline, L.P. and Pacific Energy Partners, L.P. Investors and security holders are urged to read carefully these documents because they contain important information regarding Plains All American Pipeline, L.P., Pacific Energy Partners, L.P. and the merger. A definitive joint proxy statement/prospectus has been sent to security holders of Plains All American Pipeline, L.P. and Pacific Energy Partners, L.P. seeking their approval of the transactions contemplated by the merger agreement. Investors and security holders may obtain a free copy of the definitive joint proxy statement/prospectus and other documents containing information about Plains All American Pipeline, L.P. and Pacific Energy Partners, L.P., without charge, at the SECs website at www.sec.gov. Copies of the definitive joint proxy statement/prospectus and the SEC filings that are incorporated by reference in the definitive joint proxy statement/prospectus may also be obtained free of charge by directing a request to the respective partnerships as follows: Information regarding Plains All American Pipeline can be obtained by contacting its investor relations department at 713-646-4100 or by accessing its website at www.paalp.com, and information regarding Pacific Energy Partners can be obtained by contacting its investor relations department at 562-728-2871 or by accessing its website at www.PacificEnergy.com. </w:t>
      </w:r>
    </w:p>
    <w:p>
      <w:pPr>
        <w:pStyle w:val="TextBody"/>
        <w:spacing w:before="120" w:after="283"/>
        <w:jc w:val="left"/>
        <w:rPr/>
      </w:pPr>
      <w:r>
        <w:rPr/>
        <w:t>     </w:t>
      </w:r>
      <w:r>
        <w:rPr>
          <w:rFonts w:ascii="Times New Roman;Times;serif" w:hAnsi="Times New Roman;Times;serif"/>
          <w:sz w:val="17"/>
        </w:rPr>
        <w:t xml:space="preserve">Plains All American Pipeline, L.P. and Pacific Energy Partners, L.P. and the officers and directors of the respective general partners of Plains All American Pipeline, L.P. and Pacific Energy Partners, L.P. may be deemed to be participants in the solicitation of proxies from their security holders. Information about these persons can be found in Plains All American Pipeline, L.P.s and Pacific Energy Partners, L.P.s respective Annual Reports on Form 10-K and Form 10-K/A filed with the SEC, and additional information about such persons may be obtained from the joint proxy statement/prospectus. </w:t>
      </w:r>
    </w:p>
    <w:p>
      <w:pPr>
        <w:pStyle w:val="TextBody"/>
        <w:spacing w:before="120" w:after="283"/>
        <w:jc w:val="left"/>
        <w:rPr/>
      </w:pPr>
      <w:r>
        <w:rPr/>
        <w:t>     </w:t>
      </w:r>
      <w:r>
        <w:rPr>
          <w:rFonts w:ascii="Times New Roman;Times;serif" w:hAnsi="Times New Roman;Times;serif"/>
          <w:sz w:val="17"/>
        </w:rPr>
        <w:t xml:space="preserve">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10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5087</Words>
  <CharactersWithSpaces>33363</CharactersWithSpaces>
  <Paragraphs>3203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e425</dc:title>
</cp:coreProperties>
</file>