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64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640955"/>
                    </a:xfrm>
                    <a:prstGeom prst="rect">
                      <a:avLst/>
                    </a:prstGeom>
                    <a:noFill/>
                  </pic:spPr>
                </pic:pic>
              </a:graphicData>
            </a:graphic>
          </wp:anchor>
        </w:drawing>
      </w:r>
    </w:p>
    <w:p>
      <w:pPr>
        <w:sectPr>
          <w:pgSz w:w="11900" w:h="16880"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EMG Investment, LLC</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THE ENERGY &amp; MINERALS GROUP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 MAIN STREET, STE. 4200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11/15/2016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ALL AMERICAN PIPELINE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41"/>
        </w:trPr>
        <w:tc>
          <w:tcPr>
            <w:tcW w:w="166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80" w:type="dxa"/>
            <w:vAlign w:val="bottom"/>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10% Owner</w:t>
            </w:r>
          </w:p>
        </w:tc>
        <w:tc>
          <w:tcPr>
            <w:tcW w:w="2880" w:type="dxa"/>
            <w:vAlign w:val="bottom"/>
          </w:tcPr>
          <w:p>
            <w:pPr>
              <w:ind w:left="80"/>
              <w:spacing w:after="0"/>
              <w:rPr>
                <w:sz w:val="20"/>
                <w:szCs w:val="20"/>
                <w:color w:val="auto"/>
              </w:rPr>
            </w:pPr>
            <w:r>
              <w:rPr>
                <w:rFonts w:ascii="Arial" w:cs="Arial" w:eastAsia="Arial" w:hAnsi="Arial"/>
                <w:sz w:val="18"/>
                <w:szCs w:val="18"/>
                <w:color w:val="0000FF"/>
              </w:rPr>
              <w:t>11/21/2016</w:t>
            </w:r>
          </w:p>
        </w:tc>
        <w:tc>
          <w:tcPr>
            <w:tcW w:w="0" w:type="dxa"/>
            <w:vAlign w:val="bottom"/>
          </w:tcPr>
          <w:p>
            <w:pPr>
              <w:spacing w:after="0"/>
              <w:rPr>
                <w:sz w:val="1"/>
                <w:szCs w:val="1"/>
                <w:color w:val="auto"/>
              </w:rPr>
            </w:pPr>
          </w:p>
        </w:tc>
      </w:tr>
      <w:tr>
        <w:trPr>
          <w:trHeight w:val="177"/>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20" w:type="dxa"/>
            <w:vAlign w:val="bottom"/>
          </w:tcPr>
          <w:p>
            <w:pPr>
              <w:ind w:left="60"/>
              <w:spacing w:after="0"/>
              <w:rPr>
                <w:sz w:val="20"/>
                <w:szCs w:val="20"/>
                <w:color w:val="auto"/>
              </w:rPr>
            </w:pPr>
            <w:r>
              <w:rPr>
                <w:rFonts w:ascii="Arial" w:cs="Arial" w:eastAsia="Arial" w:hAnsi="Arial"/>
                <w:sz w:val="14"/>
                <w:szCs w:val="14"/>
                <w:color w:val="auto"/>
              </w:rPr>
              <w:t>Other (specify</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660" w:type="dxa"/>
            <w:vAlign w:val="bottom"/>
            <w:vMerge w:val="restart"/>
          </w:tcPr>
          <w:p>
            <w:pPr>
              <w:ind w:left="540"/>
              <w:spacing w:after="0" w:line="136"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9"/>
                <w:szCs w:val="9"/>
                <w:color w:val="auto"/>
              </w:rPr>
            </w:pPr>
          </w:p>
        </w:tc>
        <w:tc>
          <w:tcPr>
            <w:tcW w:w="1220" w:type="dxa"/>
            <w:vAlign w:val="bottom"/>
            <w:vMerge w:val="restart"/>
          </w:tcPr>
          <w:p>
            <w:pPr>
              <w:ind w:left="60"/>
              <w:spacing w:after="0" w:line="136" w:lineRule="exact"/>
              <w:rPr>
                <w:sz w:val="20"/>
                <w:szCs w:val="20"/>
                <w:color w:val="auto"/>
              </w:rPr>
            </w:pPr>
            <w:r>
              <w:rPr>
                <w:rFonts w:ascii="Arial" w:cs="Arial" w:eastAsia="Arial" w:hAnsi="Arial"/>
                <w:sz w:val="14"/>
                <w:szCs w:val="14"/>
                <w:color w:val="auto"/>
              </w:rPr>
              <w:t>below)</w:t>
            </w: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6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100" w:type="dxa"/>
            <w:vAlign w:val="bottom"/>
            <w:gridSpan w:val="2"/>
          </w:tcPr>
          <w:p>
            <w:pPr>
              <w:ind w:left="1200"/>
              <w:spacing w:after="0" w:line="202" w:lineRule="exact"/>
              <w:rPr>
                <w:sz w:val="20"/>
                <w:szCs w:val="20"/>
                <w:color w:val="auto"/>
              </w:rPr>
            </w:pPr>
            <w:r>
              <w:rPr>
                <w:rFonts w:ascii="Arial" w:cs="Arial" w:eastAsia="Arial" w:hAnsi="Arial"/>
                <w:sz w:val="18"/>
                <w:szCs w:val="18"/>
                <w:color w:val="0000FF"/>
                <w:w w:val="86"/>
              </w:rPr>
              <w:t>See remarks</w:t>
            </w:r>
          </w:p>
        </w:tc>
        <w:tc>
          <w:tcPr>
            <w:tcW w:w="12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One Reporting Person</w:t>
      </w:r>
    </w:p>
    <w:p>
      <w:pPr>
        <w:ind w:left="3560"/>
        <w:spacing w:after="0"/>
        <w:tabs>
          <w:tab w:leader="none" w:pos="3860" w:val="left"/>
        </w:tabs>
        <w:rPr>
          <w:sz w:val="20"/>
          <w:szCs w:val="20"/>
          <w:color w:val="auto"/>
        </w:rPr>
      </w:pPr>
      <w:r>
        <w:rPr>
          <w:rFonts w:ascii="Arial" w:cs="Arial" w:eastAsia="Arial" w:hAnsi="Arial"/>
          <w:sz w:val="22"/>
          <w:szCs w:val="22"/>
          <w:color w:val="0000FF"/>
          <w:vertAlign w:val="subscript"/>
        </w:rPr>
        <w:t>X</w:t>
      </w:r>
      <w:r>
        <w:rPr>
          <w:sz w:val="20"/>
          <w:szCs w:val="20"/>
          <w:color w:val="auto"/>
        </w:rPr>
        <w:tab/>
      </w:r>
      <w:r>
        <w:rPr>
          <w:rFonts w:ascii="Arial" w:cs="Arial" w:eastAsia="Arial" w:hAnsi="Arial"/>
          <w:sz w:val="12"/>
          <w:szCs w:val="12"/>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80" w:orient="portrait"/>
          <w:cols w:equalWidth="0" w:num="3">
            <w:col w:w="2780" w:space="712"/>
            <w:col w:w="1228" w:space="480"/>
            <w:col w:w="6220"/>
          </w:cols>
          <w:pgMar w:left="240" w:top="226" w:right="239" w:bottom="0" w:gutter="0" w:footer="0" w:header="0"/>
          <w:type w:val="continuous"/>
        </w:sectPr>
      </w:pPr>
    </w:p>
    <w:p>
      <w:pPr>
        <w:spacing w:after="0" w:line="5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vMerge w:val="continue"/>
          </w:tcPr>
          <w:p>
            <w:pPr>
              <w:spacing w:after="0"/>
              <w:rPr>
                <w:sz w:val="15"/>
                <w:szCs w:val="15"/>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40" w:type="dxa"/>
            <w:vAlign w:val="bottom"/>
            <w:gridSpan w:val="5"/>
          </w:tcPr>
          <w:p>
            <w:pPr>
              <w:ind w:left="60"/>
              <w:spacing w:after="0"/>
              <w:rPr>
                <w:sz w:val="20"/>
                <w:szCs w:val="20"/>
                <w:color w:val="auto"/>
              </w:rPr>
            </w:pPr>
            <w:r>
              <w:rPr>
                <w:rFonts w:ascii="Arial" w:cs="Arial" w:eastAsia="Arial" w:hAnsi="Arial"/>
                <w:sz w:val="18"/>
                <w:szCs w:val="18"/>
                <w:color w:val="0000FF"/>
                <w:w w:val="91"/>
              </w:rPr>
              <w:t>Class B Shares/Class A Units/GP Units</w:t>
            </w:r>
          </w:p>
        </w:tc>
        <w:tc>
          <w:tcPr>
            <w:tcW w:w="1360" w:type="dxa"/>
            <w:vAlign w:val="bottom"/>
            <w:gridSpan w:val="2"/>
          </w:tcPr>
          <w:p>
            <w:pPr>
              <w:ind w:left="800"/>
              <w:spacing w:after="0"/>
              <w:rPr>
                <w:sz w:val="20"/>
                <w:szCs w:val="20"/>
                <w:color w:val="auto"/>
              </w:rPr>
            </w:pPr>
            <w:r>
              <w:rPr>
                <w:rFonts w:ascii="Arial" w:cs="Arial" w:eastAsia="Arial" w:hAnsi="Arial"/>
                <w:sz w:val="11"/>
                <w:szCs w:val="11"/>
                <w:color w:val="008000"/>
              </w:rPr>
              <w:t>(1)(2)</w:t>
            </w:r>
          </w:p>
        </w:tc>
        <w:tc>
          <w:tcPr>
            <w:tcW w:w="800" w:type="dxa"/>
            <w:vAlign w:val="bottom"/>
            <w:gridSpan w:val="4"/>
          </w:tcPr>
          <w:p>
            <w:pPr>
              <w:jc w:val="right"/>
              <w:ind w:right="320"/>
              <w:spacing w:after="0"/>
              <w:rPr>
                <w:sz w:val="20"/>
                <w:szCs w:val="20"/>
                <w:color w:val="auto"/>
              </w:rPr>
            </w:pPr>
            <w:r>
              <w:rPr>
                <w:rFonts w:ascii="Arial" w:cs="Arial" w:eastAsia="Arial" w:hAnsi="Arial"/>
                <w:sz w:val="11"/>
                <w:szCs w:val="11"/>
                <w:color w:val="008000"/>
              </w:rPr>
              <w:t>(3)</w:t>
            </w:r>
          </w:p>
        </w:tc>
        <w:tc>
          <w:tcPr>
            <w:tcW w:w="1800" w:type="dxa"/>
            <w:vAlign w:val="bottom"/>
          </w:tcPr>
          <w:p>
            <w:pPr>
              <w:ind w:left="460"/>
              <w:spacing w:after="0"/>
              <w:rPr>
                <w:sz w:val="20"/>
                <w:szCs w:val="20"/>
                <w:color w:val="auto"/>
              </w:rPr>
            </w:pPr>
            <w:r>
              <w:rPr>
                <w:rFonts w:ascii="Arial" w:cs="Arial" w:eastAsia="Arial" w:hAnsi="Arial"/>
                <w:sz w:val="18"/>
                <w:szCs w:val="18"/>
                <w:color w:val="0000FF"/>
              </w:rPr>
              <w:t>Common Units</w:t>
            </w:r>
          </w:p>
        </w:tc>
        <w:tc>
          <w:tcPr>
            <w:tcW w:w="1140" w:type="dxa"/>
            <w:vAlign w:val="bottom"/>
          </w:tcPr>
          <w:p>
            <w:pPr>
              <w:ind w:left="280"/>
              <w:spacing w:after="0"/>
              <w:rPr>
                <w:sz w:val="20"/>
                <w:szCs w:val="20"/>
                <w:color w:val="auto"/>
              </w:rPr>
            </w:pPr>
            <w:r>
              <w:rPr>
                <w:rFonts w:ascii="Arial" w:cs="Arial" w:eastAsia="Arial" w:hAnsi="Arial"/>
                <w:sz w:val="18"/>
                <w:szCs w:val="18"/>
                <w:color w:val="0000FF"/>
                <w:w w:val="93"/>
              </w:rPr>
              <w:t>45,632,121</w:t>
            </w:r>
          </w:p>
        </w:tc>
        <w:tc>
          <w:tcPr>
            <w:tcW w:w="880" w:type="dxa"/>
            <w:vAlign w:val="bottom"/>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EMG Investment, LLC</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6"/>
          </w:tcPr>
          <w:p>
            <w:pPr>
              <w:spacing w:after="0"/>
              <w:rPr>
                <w:sz w:val="20"/>
                <w:szCs w:val="20"/>
                <w:color w:val="auto"/>
              </w:rPr>
            </w:pPr>
            <w:r>
              <w:rPr>
                <w:rFonts w:ascii="Arial" w:cs="Arial" w:eastAsia="Arial" w:hAnsi="Arial"/>
                <w:sz w:val="18"/>
                <w:szCs w:val="18"/>
                <w:color w:val="0000FF"/>
              </w:rPr>
              <w:t>C/O THE ENERGY &amp; MINERALS GROUP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811 MAIN STREET, STE. 4200</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680" w:type="dxa"/>
            <w:vAlign w:val="bottom"/>
            <w:gridSpan w:val="3"/>
          </w:tcPr>
          <w:p>
            <w:pPr>
              <w:ind w:left="300"/>
              <w:spacing w:after="0"/>
              <w:rPr>
                <w:sz w:val="20"/>
                <w:szCs w:val="20"/>
                <w:color w:val="auto"/>
              </w:rPr>
            </w:pPr>
            <w:r>
              <w:rPr>
                <w:rFonts w:ascii="Arial" w:cs="Arial" w:eastAsia="Arial" w:hAnsi="Arial"/>
                <w:sz w:val="18"/>
                <w:szCs w:val="18"/>
                <w:color w:val="0000FF"/>
              </w:rPr>
              <w:t>TX</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77002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NGP MR Management, LLC</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6"/>
          </w:tcPr>
          <w:p>
            <w:pPr>
              <w:spacing w:after="0"/>
              <w:rPr>
                <w:sz w:val="20"/>
                <w:szCs w:val="20"/>
                <w:color w:val="auto"/>
              </w:rPr>
            </w:pPr>
            <w:r>
              <w:rPr>
                <w:rFonts w:ascii="Arial" w:cs="Arial" w:eastAsia="Arial" w:hAnsi="Arial"/>
                <w:sz w:val="18"/>
                <w:szCs w:val="18"/>
                <w:color w:val="0000FF"/>
              </w:rPr>
              <w:t>C/O THE ENERGY &amp; MINERALS GROUP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811 MAIN STREET, STE. 4200</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680" w:type="dxa"/>
            <w:vAlign w:val="bottom"/>
            <w:gridSpan w:val="3"/>
          </w:tcPr>
          <w:p>
            <w:pPr>
              <w:ind w:left="300"/>
              <w:spacing w:after="0"/>
              <w:rPr>
                <w:sz w:val="20"/>
                <w:szCs w:val="20"/>
                <w:color w:val="auto"/>
              </w:rPr>
            </w:pPr>
            <w:r>
              <w:rPr>
                <w:rFonts w:ascii="Arial" w:cs="Arial" w:eastAsia="Arial" w:hAnsi="Arial"/>
                <w:sz w:val="18"/>
                <w:szCs w:val="18"/>
                <w:color w:val="0000FF"/>
              </w:rPr>
              <w:t>TX</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77002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limited partnership agreement of Plains AAP, L.P. ("AAP") was amended and restated on November 15, 2016 to provide, among other things, that each limited partner of AAP holding Class A Units, including the Reporting Persons,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8" w:lineRule="exact"/>
        <w:rPr>
          <w:rFonts w:ascii="Arial" w:cs="Arial" w:eastAsia="Arial" w:hAnsi="Arial"/>
          <w:sz w:val="12"/>
          <w:szCs w:val="12"/>
          <w:color w:val="008000"/>
        </w:rPr>
      </w:pPr>
    </w:p>
    <w:p>
      <w:pPr>
        <w:ind w:left="40" w:right="3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prior to November 15, 2017, the Reporting Persons may not exercise their Redemption Right if such exercise would result in the redemption (taken together with any previous redemptions by the Reporting Persons) of more than 78% of the Class A Units held by the Reporting Persons as of November 15, 2016.</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AAP, the Redemption Right does not expire.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100"/>
        <w:spacing w:after="0" w:line="288" w:lineRule="auto"/>
        <w:rPr>
          <w:sz w:val="20"/>
          <w:szCs w:val="20"/>
          <w:color w:val="auto"/>
        </w:rPr>
      </w:pPr>
      <w:r>
        <w:rPr>
          <w:rFonts w:ascii="Arial" w:cs="Arial" w:eastAsia="Arial" w:hAnsi="Arial"/>
          <w:sz w:val="12"/>
          <w:szCs w:val="12"/>
          <w:color w:val="008000"/>
        </w:rPr>
        <w:t>John T. Raymond currently serves as the representative of EMG Investment, LLC on the board of directors of the managing general partner of the Issuer. John T. Raymond is the Chief Executive Officer of NGP MR Management, LLC, which is the manager of EMG Investment, LLC. As such, EMG Investment, LLC and NGP MR Management, LLC may each be deemed a director of the Issuer. The filing of this Statement shall not be construed as an admission that any Reporting Person is, for purposes of Section 13(d) of the Exchange Act, as amended, the beneficial owner of any security.</w:t>
      </w:r>
    </w:p>
    <w:p>
      <w:pPr>
        <w:sectPr>
          <w:pgSz w:w="11900" w:h="16880" w:orient="portrait"/>
          <w:cols w:equalWidth="0" w:num="1">
            <w:col w:w="11420"/>
          </w:cols>
          <w:pgMar w:left="240" w:top="226" w:right="239" w:bottom="0" w:gutter="0" w:footer="0" w:header="0"/>
          <w:type w:val="continuous"/>
        </w:sectPr>
      </w:pPr>
    </w:p>
    <w:p>
      <w:pPr>
        <w:spacing w:after="0" w:line="3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John T. Raymond</w:t>
      </w:r>
      <w:r>
        <w:rPr>
          <w:sz w:val="20"/>
          <w:szCs w:val="20"/>
          <w:color w:val="auto"/>
        </w:rPr>
        <w:tab/>
      </w:r>
      <w:r>
        <w:rPr>
          <w:rFonts w:ascii="Arial" w:cs="Arial" w:eastAsia="Arial" w:hAnsi="Arial"/>
          <w:sz w:val="15"/>
          <w:szCs w:val="15"/>
          <w:color w:val="0000FF"/>
        </w:rPr>
        <w:t>11/21/2016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20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9207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-13970</wp:posOffset>
            </wp:positionV>
            <wp:extent cx="503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80"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1" Type="http://schemas.openxmlformats.org/officeDocument/2006/relationships/hyperlink" Target="http://www.sec.gov/cgi-bin/browse-edgar?action=getcompany&amp;CIK=0001507562" TargetMode="External"/><Relationship Id="rId12" Type="http://schemas.openxmlformats.org/officeDocument/2006/relationships/hyperlink" Target="http://www.sec.gov/cgi-bin/browse-edgar?action=getcompany&amp;CIK=0001070423" TargetMode="External"/><Relationship Id="rId13" Type="http://schemas.openxmlformats.org/officeDocument/2006/relationships/hyperlink" Target="http://www.sec.gov/cgi-bin/browse-edgar?action=getcompany&amp;CIK=00015760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2020-01-19T09:42:28Z</dcterms:created>
  <dcterms:modified xsi:type="dcterms:W3CDTF">2020-01-19T09:42:28Z</dcterms:modified>
</cp:coreProperties>
</file>