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a06-15544_110q.htm"/>
      <w:bookmarkStart w:id="1" w:name="ksa0615544_110q"/>
      <w:bookmarkEnd w:id="0"/>
      <w:bookmarkEnd w:id="1"/>
      <w:r>
        <w:rPr/>
        <w:t> </w:t>
      </w:r>
    </w:p>
    <w:p>
      <w:pPr>
        <w:pStyle w:val="TextBody"/>
        <w:spacing w:before="0" w:after="0"/>
        <w:ind w:left="0" w:right="0" w:hanging="0"/>
        <w:rPr>
          <w:rFonts w:ascii="Times New Roman" w:hAnsi="Times New Roman"/>
          <w:b/>
          <w:sz w:val="30"/>
        </w:rPr>
      </w:pPr>
      <w:r>
        <w:rPr>
          <w:rFonts w:ascii="Times New Roman" w:hAnsi="Times New Roman"/>
          <w:b/>
          <w:sz w:val="30"/>
        </w:rPr>
        <w:t>UNITED STATES</w:t>
        <w:br/>
        <w:t>SECURITIES AND EXCHANGE COMMISSION</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Washington, D.C. 20549</w:t>
      </w:r>
    </w:p>
    <w:p>
      <w:pPr>
        <w:pStyle w:val="HorizontalLine"/>
        <w:pBdr>
          <w:bottom w:val="single" w:sz="6" w:space="0" w:color="000000"/>
        </w:pBdr>
        <w:spacing w:lineRule="atLeast" w:line="180" w:before="0" w:after="240"/>
        <w:jc w:val="center"/>
        <w:rPr/>
      </w:pPr>
      <w:r>
        <w:rPr/>
      </w:r>
    </w:p>
    <w:p>
      <w:pPr>
        <w:pStyle w:val="TextBody"/>
        <w:keepNext w:val="true"/>
        <w:spacing w:before="0" w:after="240"/>
        <w:ind w:left="0" w:right="0" w:hanging="0"/>
        <w:jc w:val="center"/>
        <w:rPr>
          <w:rFonts w:ascii="Times New Roman" w:hAnsi="Times New Roman"/>
          <w:b/>
          <w:sz w:val="30"/>
        </w:rPr>
      </w:pPr>
      <w:r>
        <w:rPr>
          <w:rFonts w:ascii="Times New Roman" w:hAnsi="Times New Roman"/>
          <w:b/>
          <w:sz w:val="30"/>
        </w:rPr>
        <w:t>FORM 10-Q</w:t>
      </w:r>
    </w:p>
    <w:p>
      <w:pPr>
        <w:pStyle w:val="TextBody"/>
        <w:spacing w:before="0" w:after="240"/>
        <w:ind w:left="1123" w:right="0" w:hanging="720"/>
        <w:rPr>
          <w:rFonts w:ascii="Times New Roman" w:hAnsi="Times New Roman"/>
          <w:b/>
          <w:sz w:val="20"/>
        </w:rPr>
      </w:pPr>
      <w:r>
        <w:rPr>
          <w:rFonts w:ascii="Wingdings" w:hAnsi="Wingdings"/>
          <w:b/>
          <w:sz w:val="20"/>
        </w:rPr>
        <w:t>x</w:t>
      </w:r>
      <w:r>
        <w:rPr>
          <w:rFonts w:ascii="Times New Roman" w:hAnsi="Times New Roman"/>
          <w:b/>
          <w:sz w:val="20"/>
        </w:rPr>
        <w:t>                              QUARTERLY REPORT PURSUANT TO SECTION 13 OR 15(d) OF THE SECURITIES EXCHANGE ACT OF 1934</w:t>
      </w:r>
    </w:p>
    <w:p>
      <w:pPr>
        <w:pStyle w:val="TextBody"/>
        <w:spacing w:before="0" w:after="240"/>
        <w:ind w:left="0" w:right="0" w:hanging="0"/>
        <w:jc w:val="center"/>
        <w:rPr>
          <w:rFonts w:ascii="Times New Roman" w:hAnsi="Times New Roman"/>
          <w:b/>
          <w:sz w:val="17"/>
        </w:rPr>
      </w:pPr>
      <w:r>
        <w:rPr>
          <w:rFonts w:ascii="Times New Roman" w:hAnsi="Times New Roman"/>
          <w:b/>
          <w:sz w:val="17"/>
        </w:rPr>
        <w:t>For the quarterly period ended June 30, 2006</w:t>
      </w:r>
    </w:p>
    <w:p>
      <w:pPr>
        <w:pStyle w:val="TextBody"/>
        <w:spacing w:before="0" w:after="240"/>
        <w:ind w:left="0" w:right="0" w:hanging="0"/>
        <w:jc w:val="center"/>
        <w:rPr>
          <w:rFonts w:ascii="Times New Roman" w:hAnsi="Times New Roman"/>
          <w:b/>
          <w:sz w:val="17"/>
        </w:rPr>
      </w:pPr>
      <w:r>
        <w:rPr>
          <w:rFonts w:ascii="Times New Roman" w:hAnsi="Times New Roman"/>
          <w:b/>
          <w:sz w:val="17"/>
        </w:rPr>
        <w:t>OR</w:t>
      </w:r>
    </w:p>
    <w:p>
      <w:pPr>
        <w:pStyle w:val="TextBody"/>
        <w:spacing w:before="0" w:after="240"/>
        <w:ind w:left="1123" w:right="0" w:hanging="720"/>
        <w:rPr>
          <w:rFonts w:ascii="Times New Roman" w:hAnsi="Times New Roman"/>
          <w:b/>
          <w:sz w:val="20"/>
        </w:rPr>
      </w:pPr>
      <w:r>
        <w:rPr>
          <w:rFonts w:ascii="Wingdings" w:hAnsi="Wingdings"/>
          <w:b/>
          <w:sz w:val="20"/>
        </w:rPr>
        <w:t>o</w:t>
      </w:r>
      <w:r>
        <w:rPr>
          <w:rFonts w:ascii="Times New Roman" w:hAnsi="Times New Roman"/>
          <w:b/>
          <w:sz w:val="20"/>
        </w:rPr>
        <w:t>                                 TRANSITION REPORT PURSUANT TO SECTION 13 OR 15(d) OF THE SECURITIES EXCHANGE ACT OF 1934</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Commission file number: 1-14569</w:t>
      </w:r>
    </w:p>
    <w:p>
      <w:pPr>
        <w:pStyle w:val="HorizontalLine"/>
        <w:pBdr>
          <w:bottom w:val="single" w:sz="6" w:space="0" w:color="000000"/>
        </w:pBdr>
        <w:spacing w:lineRule="atLeast" w:line="180" w:before="0" w:after="240"/>
        <w:jc w:val="center"/>
        <w:rPr/>
      </w:pPr>
      <w:r>
        <w:rPr/>
      </w:r>
    </w:p>
    <w:p>
      <w:pPr>
        <w:pStyle w:val="TextBody"/>
        <w:spacing w:before="0" w:after="0"/>
        <w:ind w:left="0" w:right="0" w:hanging="0"/>
        <w:rPr>
          <w:rFonts w:ascii="Times New Roman" w:hAnsi="Times New Roman"/>
          <w:b/>
          <w:sz w:val="30"/>
        </w:rPr>
      </w:pPr>
      <w:r>
        <w:rPr>
          <w:rFonts w:ascii="Times New Roman" w:hAnsi="Times New Roman"/>
          <w:b/>
          <w:sz w:val="30"/>
        </w:rPr>
        <w:t>PLAINS ALL AMERICAN PIPELINE, L.P.</w:t>
      </w:r>
    </w:p>
    <w:p>
      <w:pPr>
        <w:pStyle w:val="TextBody"/>
        <w:keepNext w:val="true"/>
        <w:spacing w:before="0" w:after="240"/>
        <w:ind w:left="0" w:right="0" w:hanging="0"/>
        <w:jc w:val="center"/>
        <w:rPr>
          <w:rFonts w:ascii="Times New Roman" w:hAnsi="Times New Roman"/>
          <w:sz w:val="17"/>
        </w:rPr>
      </w:pPr>
      <w:r>
        <w:rPr>
          <w:rFonts w:ascii="Times New Roman" w:hAnsi="Times New Roman"/>
          <w:sz w:val="17"/>
        </w:rPr>
        <w:t>(Exact name of registrant as specified in its charter)</w:t>
      </w:r>
    </w:p>
    <w:tbl>
      <w:tblPr>
        <w:tblW w:w="5310" w:type="dxa"/>
        <w:jc w:val="center"/>
        <w:tblInd w:w="0" w:type="dxa"/>
        <w:tblCellMar>
          <w:top w:w="0" w:type="dxa"/>
          <w:left w:w="0" w:type="dxa"/>
          <w:bottom w:w="0" w:type="dxa"/>
          <w:right w:w="0" w:type="dxa"/>
        </w:tblCellMar>
      </w:tblPr>
      <w:tblGrid>
        <w:gridCol w:w="2535"/>
        <w:gridCol w:w="240"/>
        <w:gridCol w:w="2535"/>
      </w:tblGrid>
      <w:tr>
        <w:trPr/>
        <w:tc>
          <w:tcPr>
            <w:tcW w:w="2535" w:type="dxa"/>
            <w:tcBorders/>
            <w:shd w:fill="auto" w:val="clear"/>
          </w:tcPr>
          <w:p>
            <w:pPr>
              <w:pStyle w:val="TableContents"/>
              <w:spacing w:before="0" w:after="0"/>
              <w:ind w:left="0" w:right="0" w:hanging="0"/>
              <w:jc w:val="center"/>
              <w:rPr>
                <w:b/>
                <w:sz w:val="17"/>
              </w:rPr>
            </w:pPr>
            <w:r>
              <w:rPr>
                <w:b/>
                <w:sz w:val="17"/>
              </w:rPr>
              <w:t>Delaware</w:t>
            </w:r>
          </w:p>
        </w:tc>
        <w:tc>
          <w:tcPr>
            <w:tcW w:w="240" w:type="dxa"/>
            <w:tcBorders/>
            <w:shd w:fill="auto" w:val="clear"/>
            <w:vAlign w:val="bottom"/>
          </w:tcPr>
          <w:p>
            <w:pPr>
              <w:pStyle w:val="TableContents"/>
              <w:spacing w:before="0" w:after="0"/>
              <w:ind w:left="0" w:right="0" w:hanging="0"/>
              <w:rPr/>
            </w:pPr>
            <w:r>
              <w:rPr/>
              <w:t> </w:t>
            </w:r>
          </w:p>
        </w:tc>
        <w:tc>
          <w:tcPr>
            <w:tcW w:w="253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253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240" w:type="dxa"/>
            <w:tcBorders/>
            <w:shd w:fill="auto" w:val="clear"/>
            <w:vAlign w:val="bottom"/>
          </w:tcPr>
          <w:p>
            <w:pPr>
              <w:pStyle w:val="TableContents"/>
              <w:spacing w:before="0" w:after="0"/>
              <w:ind w:left="0" w:right="0" w:hanging="0"/>
              <w:rPr/>
            </w:pPr>
            <w:r>
              <w:rPr/>
              <w:t> </w:t>
            </w:r>
          </w:p>
        </w:tc>
        <w:tc>
          <w:tcPr>
            <w:tcW w:w="253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r>
          </w:p>
        </w:tc>
      </w:tr>
      <w:tr>
        <w:trPr/>
        <w:tc>
          <w:tcPr>
            <w:tcW w:w="253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 or organization)</w:t>
            </w:r>
          </w:p>
        </w:tc>
        <w:tc>
          <w:tcPr>
            <w:tcW w:w="240" w:type="dxa"/>
            <w:tcBorders/>
            <w:shd w:fill="auto" w:val="clear"/>
            <w:vAlign w:val="bottom"/>
          </w:tcPr>
          <w:p>
            <w:pPr>
              <w:pStyle w:val="TableContents"/>
              <w:spacing w:before="0" w:after="0"/>
              <w:ind w:left="0" w:right="0" w:hanging="0"/>
              <w:rPr/>
            </w:pPr>
            <w:r>
              <w:rPr/>
              <w:t> </w:t>
            </w:r>
          </w:p>
        </w:tc>
        <w:tc>
          <w:tcPr>
            <w:tcW w:w="253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Identification No.)</w:t>
            </w:r>
          </w:p>
        </w:tc>
      </w:tr>
    </w:tbl>
    <w:p>
      <w:pPr>
        <w:pStyle w:val="TextBody"/>
        <w:spacing w:lineRule="atLeast" w:line="141" w:before="0" w:after="24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333 Clay Street, Suite 1600, Houston, Texas 77002</w:t>
      </w:r>
    </w:p>
    <w:p>
      <w:pPr>
        <w:pStyle w:val="TextBody"/>
        <w:keepNext w:val="true"/>
        <w:spacing w:before="0" w:after="24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rPr>
          <w:rFonts w:ascii="Times New Roman" w:hAnsi="Times New Roman"/>
          <w:b/>
          <w:sz w:val="17"/>
        </w:rPr>
      </w:pPr>
      <w:r>
        <w:rPr>
          <w:rFonts w:ascii="Times New Roman" w:hAnsi="Times New Roman"/>
          <w:b/>
          <w:sz w:val="17"/>
        </w:rPr>
        <w:t>(713) 646-4100</w:t>
      </w:r>
    </w:p>
    <w:p>
      <w:pPr>
        <w:pStyle w:val="TextBody"/>
        <w:keepNext w:val="true"/>
        <w:spacing w:before="0" w:after="240"/>
        <w:ind w:left="0" w:right="0" w:hanging="0"/>
        <w:jc w:val="center"/>
        <w:rPr>
          <w:rFonts w:ascii="Times New Roman" w:hAnsi="Times New Roman"/>
          <w:sz w:val="17"/>
        </w:rPr>
      </w:pPr>
      <w:r>
        <w:rPr>
          <w:rFonts w:ascii="Times New Roman" w:hAnsi="Times New Roman"/>
          <w:sz w:val="17"/>
        </w:rPr>
        <w:t>(Registrants telephone number, including area code)</w:t>
      </w:r>
    </w:p>
    <w:p>
      <w:pPr>
        <w:pStyle w:val="TextBody"/>
        <w:spacing w:before="0" w:after="240"/>
        <w:ind w:left="0" w:right="0" w:firstLine="400"/>
        <w:rPr>
          <w:rFonts w:ascii="Times New Roman" w:hAnsi="Times New Roman"/>
          <w:sz w:val="17"/>
        </w:rPr>
      </w:pPr>
      <w:r>
        <w:rPr>
          <w:rFonts w:ascii="Times New Roman" w:hAnsi="Times New Roman"/>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17"/>
        </w:rPr>
        <w:t>x</w:t>
      </w:r>
      <w:r>
        <w:rPr>
          <w:rFonts w:ascii="Times New Roman" w:hAnsi="Times New Roman"/>
          <w:sz w:val="17"/>
        </w:rPr>
        <w:t xml:space="preserve"> No </w:t>
      </w:r>
      <w:r>
        <w:rPr>
          <w:rFonts w:ascii="Wingdings" w:hAnsi="Wingdings"/>
          <w:sz w:val="17"/>
        </w:rPr>
        <w:t>o</w:t>
      </w:r>
    </w:p>
    <w:p>
      <w:pPr>
        <w:pStyle w:val="TextBody"/>
        <w:spacing w:before="0" w:after="240"/>
        <w:ind w:left="0" w:right="0" w:firstLine="400"/>
        <w:rPr>
          <w:rFonts w:ascii="Times New Roman" w:hAnsi="Times New Roman"/>
          <w:sz w:val="17"/>
        </w:rPr>
      </w:pPr>
      <w:r>
        <w:rPr>
          <w:rFonts w:ascii="Times New Roman" w:hAnsi="Times New Roman"/>
          <w:sz w:val="17"/>
        </w:rPr>
        <w:t>Indicate by check mark whether the registrant is a large accelerated filer, an accelerated filer, or a non-accelerated filer. See definition of accelerated filer and large accelerated filer in Rule 12b-2 of the Exchange Act. (Check one):</w:t>
      </w:r>
    </w:p>
    <w:tbl>
      <w:tblPr>
        <w:tblW w:w="5000" w:type="pct"/>
        <w:jc w:val="left"/>
        <w:tblInd w:w="0" w:type="dxa"/>
        <w:tblCellMar>
          <w:top w:w="0" w:type="dxa"/>
          <w:left w:w="0" w:type="dxa"/>
          <w:bottom w:w="0" w:type="dxa"/>
          <w:right w:w="0" w:type="dxa"/>
        </w:tblCellMar>
      </w:tblPr>
      <w:tblGrid>
        <w:gridCol w:w="415"/>
        <w:gridCol w:w="2916"/>
        <w:gridCol w:w="3437"/>
        <w:gridCol w:w="3437"/>
      </w:tblGrid>
      <w:tr>
        <w:trPr/>
        <w:tc>
          <w:tcPr>
            <w:tcW w:w="415" w:type="dxa"/>
            <w:tcBorders/>
            <w:shd w:fill="auto" w:val="clear"/>
          </w:tcPr>
          <w:p>
            <w:pPr>
              <w:pStyle w:val="TableContents"/>
              <w:spacing w:before="0" w:after="283"/>
              <w:ind w:left="0" w:right="0" w:hanging="0"/>
              <w:rPr>
                <w:sz w:val="4"/>
                <w:szCs w:val="4"/>
              </w:rPr>
            </w:pPr>
            <w:r>
              <w:rPr>
                <w:sz w:val="4"/>
                <w:szCs w:val="4"/>
              </w:rPr>
            </w:r>
          </w:p>
        </w:tc>
        <w:tc>
          <w:tcPr>
            <w:tcW w:w="2916" w:type="dxa"/>
            <w:tcBorders/>
            <w:shd w:fill="auto" w:val="clear"/>
          </w:tcPr>
          <w:p>
            <w:pPr>
              <w:pStyle w:val="TableContents"/>
              <w:spacing w:before="0" w:after="0"/>
              <w:ind w:left="0" w:right="0" w:hanging="0"/>
              <w:rPr>
                <w:sz w:val="17"/>
              </w:rPr>
            </w:pPr>
            <w:r>
              <w:rPr>
                <w:rFonts w:ascii="Times New Roman" w:hAnsi="Times New Roman"/>
                <w:sz w:val="17"/>
              </w:rPr>
              <w:t>Large Accelerated Filer  </w:t>
            </w:r>
            <w:r>
              <w:rPr>
                <w:rFonts w:ascii="Wingdings" w:hAnsi="Wingdings"/>
                <w:sz w:val="17"/>
              </w:rPr>
              <w:t>x</w:t>
            </w:r>
          </w:p>
        </w:tc>
        <w:tc>
          <w:tcPr>
            <w:tcW w:w="3437" w:type="dxa"/>
            <w:tcBorders/>
            <w:shd w:fill="auto" w:val="clear"/>
          </w:tcPr>
          <w:p>
            <w:pPr>
              <w:pStyle w:val="TableContents"/>
              <w:spacing w:before="0" w:after="0"/>
              <w:ind w:left="0" w:right="0" w:hanging="0"/>
              <w:jc w:val="center"/>
              <w:rPr>
                <w:sz w:val="17"/>
              </w:rPr>
            </w:pPr>
            <w:r>
              <w:rPr>
                <w:rFonts w:ascii="Times New Roman" w:hAnsi="Times New Roman"/>
                <w:sz w:val="17"/>
              </w:rPr>
              <w:t>Accelerated Filer  </w:t>
            </w:r>
            <w:r>
              <w:rPr>
                <w:rFonts w:ascii="Wingdings" w:hAnsi="Wingdings"/>
                <w:sz w:val="17"/>
              </w:rPr>
              <w:t>o</w:t>
            </w:r>
          </w:p>
        </w:tc>
        <w:tc>
          <w:tcPr>
            <w:tcW w:w="3437" w:type="dxa"/>
            <w:tcBorders/>
            <w:shd w:fill="auto" w:val="clear"/>
          </w:tcPr>
          <w:p>
            <w:pPr>
              <w:pStyle w:val="TableContents"/>
              <w:spacing w:before="0" w:after="0"/>
              <w:ind w:left="0" w:right="0" w:hanging="0"/>
              <w:jc w:val="center"/>
              <w:rPr>
                <w:sz w:val="17"/>
              </w:rPr>
            </w:pPr>
            <w:r>
              <w:rPr>
                <w:rFonts w:ascii="Times New Roman" w:hAnsi="Times New Roman"/>
                <w:sz w:val="17"/>
              </w:rPr>
              <w:t>Non-Accelerated Filer  </w:t>
            </w:r>
            <w:r>
              <w:rPr>
                <w:rFonts w:ascii="Wingdings" w:hAnsi="Wingdings"/>
                <w:sz w:val="17"/>
              </w:rPr>
              <w:t>o</w:t>
            </w:r>
          </w:p>
        </w:tc>
      </w:tr>
    </w:tbl>
    <w:p>
      <w:pPr>
        <w:pStyle w:val="TextBody"/>
        <w:spacing w:lineRule="atLeast" w:line="141" w:before="0" w:after="240"/>
        <w:ind w:left="0" w:right="0" w:hanging="0"/>
        <w:rPr/>
      </w:pPr>
      <w:r>
        <w:rPr/>
        <w:t> </w:t>
      </w:r>
    </w:p>
    <w:p>
      <w:pPr>
        <w:pStyle w:val="TextBody"/>
        <w:spacing w:before="0" w:after="240"/>
        <w:ind w:left="0" w:right="0" w:firstLine="400"/>
        <w:rPr>
          <w:rFonts w:ascii="Times New Roman" w:hAnsi="Times New Roman"/>
          <w:sz w:val="17"/>
        </w:rPr>
      </w:pPr>
      <w:r>
        <w:rPr>
          <w:rFonts w:ascii="Times New Roman" w:hAnsi="Times New Roman"/>
          <w:sz w:val="17"/>
        </w:rPr>
        <w:t xml:space="preserve">Indicate by check mark whether the registrant is a shell company (as defined in Rule 12b-2 of the Exchange Act). </w:t>
      </w:r>
      <w:r>
        <w:rPr>
          <w:rFonts w:ascii="Wingdings" w:hAnsi="Wingdings"/>
          <w:sz w:val="17"/>
        </w:rPr>
        <w:t>o</w:t>
      </w:r>
      <w:r>
        <w:rPr>
          <w:rFonts w:ascii="Times New Roman" w:hAnsi="Times New Roman"/>
          <w:sz w:val="17"/>
        </w:rPr>
        <w:t> Yes </w:t>
      </w:r>
      <w:r>
        <w:rPr>
          <w:rFonts w:ascii="Wingdings" w:hAnsi="Wingdings"/>
          <w:sz w:val="17"/>
        </w:rPr>
        <w:t>x</w:t>
      </w:r>
      <w:r>
        <w:rPr>
          <w:rFonts w:ascii="Times New Roman" w:hAnsi="Times New Roman"/>
          <w:sz w:val="17"/>
        </w:rPr>
        <w:t> No</w:t>
      </w:r>
    </w:p>
    <w:p>
      <w:pPr>
        <w:pStyle w:val="TextBody"/>
        <w:spacing w:before="0" w:after="240"/>
        <w:ind w:left="0" w:right="0" w:firstLine="400"/>
        <w:rPr>
          <w:rFonts w:ascii="Times New Roman" w:hAnsi="Times New Roman"/>
          <w:sz w:val="17"/>
        </w:rPr>
      </w:pPr>
      <w:r>
        <w:rPr>
          <w:rFonts w:ascii="Times New Roman" w:hAnsi="Times New Roman"/>
          <w:sz w:val="17"/>
        </w:rPr>
        <w:t>At August 2, 2006, there were outstanding 80,994,178 Common Units.</w:t>
      </w:r>
    </w:p>
    <w:p>
      <w:pPr>
        <w:pStyle w:val="TextBody"/>
        <w:pBdr/>
        <w:spacing w:before="0" w:after="0"/>
        <w:ind w:left="0" w:right="0" w:hanging="0"/>
        <w:rPr>
          <w:bdr w:val="double" w:sz="16" w:space="1" w:color="000000"/>
        </w:rPr>
      </w:pPr>
      <w:r>
        <w:rPr>
          <w:bdr w:val="double" w:sz="16" w:space="1" w:color="000000"/>
        </w:rPr>
        <w:t>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TABLE OF CONTENTS</w:t>
      </w:r>
    </w:p>
    <w:tbl>
      <w:tblPr>
        <w:tblW w:w="5000" w:type="pct"/>
        <w:jc w:val="left"/>
        <w:tblInd w:w="0" w:type="dxa"/>
        <w:tblCellMar>
          <w:top w:w="0" w:type="dxa"/>
          <w:left w:w="0" w:type="dxa"/>
          <w:bottom w:w="0" w:type="dxa"/>
          <w:right w:w="0" w:type="dxa"/>
        </w:tblCellMar>
      </w:tblPr>
      <w:tblGrid>
        <w:gridCol w:w="824"/>
        <w:gridCol w:w="9071"/>
        <w:gridCol w:w="310"/>
      </w:tblGrid>
      <w:tr>
        <w:trPr/>
        <w:tc>
          <w:tcPr>
            <w:tcW w:w="9895" w:type="dxa"/>
            <w:gridSpan w:val="2"/>
            <w:tcBorders/>
            <w:shd w:fill="auto" w:val="clear"/>
            <w:vAlign w:val="bottom"/>
          </w:tcPr>
          <w:p>
            <w:pPr>
              <w:pStyle w:val="TableContents"/>
              <w:spacing w:before="0" w:after="283"/>
              <w:ind w:left="0" w:right="0" w:hanging="0"/>
              <w:rPr>
                <w:sz w:val="4"/>
                <w:szCs w:val="4"/>
              </w:rPr>
            </w:pPr>
            <w:r>
              <w:rPr>
                <w:sz w:val="4"/>
                <w:szCs w:val="4"/>
              </w:rPr>
            </w:r>
          </w:p>
        </w:tc>
        <w:tc>
          <w:tcPr>
            <w:tcW w:w="310" w:type="dxa"/>
            <w:tcBorders/>
            <w:shd w:fill="auto" w:val="clear"/>
            <w:vAlign w:val="bottom"/>
          </w:tcPr>
          <w:p>
            <w:pPr>
              <w:pStyle w:val="TableContents"/>
              <w:spacing w:lineRule="atLeast" w:line="160" w:before="0" w:after="0"/>
              <w:ind w:left="0" w:right="0" w:hanging="0"/>
              <w:jc w:val="right"/>
              <w:rPr/>
            </w:pPr>
            <w:r>
              <w:rPr/>
              <w:t> </w:t>
            </w:r>
          </w:p>
        </w:tc>
      </w:tr>
      <w:tr>
        <w:trPr/>
        <w:tc>
          <w:tcPr>
            <w:tcW w:w="9895" w:type="dxa"/>
            <w:gridSpan w:val="2"/>
            <w:tcBorders/>
            <w:shd w:fill="auto" w:val="clear"/>
          </w:tcPr>
          <w:p>
            <w:pPr>
              <w:pStyle w:val="TableContents"/>
              <w:spacing w:before="0" w:after="0"/>
              <w:ind w:left="0" w:right="0" w:hanging="0"/>
              <w:rPr/>
            </w:pPr>
            <w:hyperlink w:anchor="Parti_FinancialInformation_113651">
              <w:r>
                <w:rPr>
                  <w:rStyle w:val="InternetLink"/>
                  <w:rFonts w:ascii="Times New Roman" w:hAnsi="Times New Roman"/>
                  <w:b/>
                  <w:sz w:val="17"/>
                </w:rPr>
                <w:t>PART I. FINANCIAL INFORMATION</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824" w:type="dxa"/>
            <w:tcBorders/>
            <w:shd w:fill="auto" w:val="clear"/>
          </w:tcPr>
          <w:p>
            <w:pPr>
              <w:pStyle w:val="TableContents"/>
              <w:spacing w:before="80" w:after="80"/>
              <w:ind w:left="0" w:right="0" w:hanging="0"/>
              <w:rPr/>
            </w:pPr>
            <w:hyperlink w:anchor="Item1_UnauditedConsolidatedFinanc_113605">
              <w:r>
                <w:rPr>
                  <w:rStyle w:val="InternetLink"/>
                  <w:rFonts w:ascii="Times New Roman" w:hAnsi="Times New Roman"/>
                  <w:sz w:val="17"/>
                </w:rPr>
                <w:t>Item 1.</w:t>
              </w:r>
            </w:hyperlink>
          </w:p>
        </w:tc>
        <w:tc>
          <w:tcPr>
            <w:tcW w:w="9071" w:type="dxa"/>
            <w:tcBorders/>
            <w:shd w:fill="auto" w:val="clear"/>
          </w:tcPr>
          <w:p>
            <w:pPr>
              <w:pStyle w:val="TableContents"/>
              <w:spacing w:before="80" w:after="80"/>
              <w:ind w:left="0" w:right="0" w:hanging="0"/>
              <w:rPr/>
            </w:pPr>
            <w:hyperlink w:anchor="Item1_UnauditedConsolidatedFinanc_113605">
              <w:r>
                <w:rPr>
                  <w:rStyle w:val="InternetLink"/>
                  <w:rFonts w:ascii="Times New Roman" w:hAnsi="Times New Roman"/>
                  <w:sz w:val="17"/>
                </w:rPr>
                <w:t>UNAUDITED CONSOLIDATED FINANCIAL STATEMENTS:</w:t>
              </w:r>
            </w:hyperlink>
          </w:p>
        </w:tc>
        <w:tc>
          <w:tcPr>
            <w:tcW w:w="310" w:type="dxa"/>
            <w:tcBorders/>
            <w:shd w:fill="auto" w:val="clear"/>
            <w:vAlign w:val="bottom"/>
          </w:tcPr>
          <w:p>
            <w:pPr>
              <w:pStyle w:val="TableContents"/>
              <w:spacing w:before="80" w:after="80"/>
              <w:ind w:left="0" w:right="0" w:hanging="0"/>
              <w:jc w:val="right"/>
              <w:rPr>
                <w:rFonts w:ascii="Times New Roman" w:hAnsi="Times New Roman"/>
                <w:sz w:val="17"/>
              </w:rPr>
            </w:pPr>
            <w:bookmarkStart w:id="2" w:name="Item1_unauditedConsolidatedFinanc_113643"/>
            <w:bookmarkEnd w:id="2"/>
            <w:r>
              <w:rPr>
                <w:rFonts w:ascii="Times New Roman" w:hAnsi="Times New Roman"/>
                <w:sz w:val="17"/>
              </w:rPr>
              <w:t>3</w:t>
            </w:r>
          </w:p>
        </w:tc>
      </w:tr>
      <w:tr>
        <w:trPr/>
        <w:tc>
          <w:tcPr>
            <w:tcW w:w="9895" w:type="dxa"/>
            <w:gridSpan w:val="2"/>
            <w:tcBorders/>
            <w:shd w:fill="auto" w:val="clear"/>
          </w:tcPr>
          <w:p>
            <w:pPr>
              <w:pStyle w:val="TableContents"/>
              <w:spacing w:before="0" w:after="0"/>
              <w:ind w:left="0" w:right="0" w:hanging="0"/>
              <w:rPr/>
            </w:pPr>
            <w:hyperlink w:anchor="ConsolidatedBalanceSheets_104851">
              <w:r>
                <w:rPr>
                  <w:rStyle w:val="InternetLink"/>
                  <w:rFonts w:ascii="Times New Roman" w:hAnsi="Times New Roman"/>
                  <w:sz w:val="17"/>
                </w:rPr>
                <w:t>Consolidated Balance Sheets: June 30, 2006 and December 31, 2005</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895" w:type="dxa"/>
            <w:gridSpan w:val="2"/>
            <w:tcBorders/>
            <w:shd w:fill="auto" w:val="clear"/>
          </w:tcPr>
          <w:p>
            <w:pPr>
              <w:pStyle w:val="TableContents"/>
              <w:spacing w:before="0" w:after="0"/>
              <w:ind w:left="0" w:right="0" w:hanging="0"/>
              <w:rPr/>
            </w:pPr>
            <w:hyperlink w:anchor="ConsolidatedStatementsOfOperation_105510">
              <w:r>
                <w:rPr>
                  <w:rStyle w:val="InternetLink"/>
                  <w:rFonts w:ascii="Times New Roman" w:hAnsi="Times New Roman"/>
                  <w:sz w:val="17"/>
                </w:rPr>
                <w:t>Consolidated Statements of Operations: For the three months and six months ended June 30, 2006 and 2005</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9895" w:type="dxa"/>
            <w:gridSpan w:val="2"/>
            <w:tcBorders/>
            <w:shd w:fill="auto" w:val="clear"/>
          </w:tcPr>
          <w:p>
            <w:pPr>
              <w:pStyle w:val="TableContents"/>
              <w:spacing w:before="0" w:after="0"/>
              <w:ind w:left="0" w:right="0" w:hanging="0"/>
              <w:rPr/>
            </w:pPr>
            <w:hyperlink w:anchor="ConsolidatedStatementsOfCashFlows_111731">
              <w:r>
                <w:rPr>
                  <w:rStyle w:val="InternetLink"/>
                  <w:rFonts w:ascii="Times New Roman" w:hAnsi="Times New Roman"/>
                  <w:sz w:val="17"/>
                </w:rPr>
                <w:t>Consolidated Statements of Cash Flows: For the six months ended June 30, 2006 and 2005</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9895" w:type="dxa"/>
            <w:gridSpan w:val="2"/>
            <w:tcBorders/>
            <w:shd w:fill="auto" w:val="clear"/>
          </w:tcPr>
          <w:p>
            <w:pPr>
              <w:pStyle w:val="TableContents"/>
              <w:spacing w:before="0" w:after="0"/>
              <w:ind w:left="0" w:right="0" w:hanging="0"/>
              <w:rPr/>
            </w:pPr>
            <w:hyperlink w:anchor="ConsolidatedStatementOfPartnersCa_111726">
              <w:r>
                <w:rPr>
                  <w:rStyle w:val="InternetLink"/>
                  <w:rFonts w:ascii="Times New Roman" w:hAnsi="Times New Roman"/>
                  <w:sz w:val="17"/>
                </w:rPr>
                <w:t>Consolidated Statement of Partners Capital: For the six months ended June 30, 2006</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r>
        <w:trPr/>
        <w:tc>
          <w:tcPr>
            <w:tcW w:w="9895" w:type="dxa"/>
            <w:gridSpan w:val="2"/>
            <w:tcBorders/>
            <w:shd w:fill="auto" w:val="clear"/>
          </w:tcPr>
          <w:p>
            <w:pPr>
              <w:pStyle w:val="TableContents"/>
              <w:spacing w:before="0" w:after="0"/>
              <w:ind w:left="0" w:right="0" w:hanging="0"/>
              <w:rPr/>
            </w:pPr>
            <w:hyperlink w:anchor="ConsolidatedStatementsOfComprehen_113621">
              <w:r>
                <w:rPr>
                  <w:rStyle w:val="InternetLink"/>
                  <w:rFonts w:ascii="Times New Roman" w:hAnsi="Times New Roman"/>
                  <w:sz w:val="17"/>
                </w:rPr>
                <w:t>Consolidated Statements of Comprehensive Income: For the three months and six months ended June 30, 2006 and 2005</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9895" w:type="dxa"/>
            <w:gridSpan w:val="2"/>
            <w:tcBorders/>
            <w:shd w:fill="auto" w:val="clear"/>
          </w:tcPr>
          <w:p>
            <w:pPr>
              <w:pStyle w:val="TableContents"/>
              <w:spacing w:before="0" w:after="0"/>
              <w:ind w:left="0" w:right="0" w:hanging="0"/>
              <w:rPr/>
            </w:pPr>
            <w:hyperlink w:anchor="ConsolidatedStatementOf_113624">
              <w:r>
                <w:rPr>
                  <w:rStyle w:val="InternetLink"/>
                  <w:rFonts w:ascii="Times New Roman" w:hAnsi="Times New Roman"/>
                  <w:sz w:val="17"/>
                </w:rPr>
                <w:t>Consolidated Statement of Changes in Accumulated Other Comprehensive Income: For the six months ended June 30, 2006</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r>
      <w:tr>
        <w:trPr/>
        <w:tc>
          <w:tcPr>
            <w:tcW w:w="9895" w:type="dxa"/>
            <w:gridSpan w:val="2"/>
            <w:tcBorders/>
            <w:shd w:fill="auto" w:val="clear"/>
          </w:tcPr>
          <w:p>
            <w:pPr>
              <w:pStyle w:val="TableContents"/>
              <w:spacing w:before="0" w:after="0"/>
              <w:ind w:left="0" w:right="0" w:hanging="0"/>
              <w:rPr/>
            </w:pPr>
            <w:hyperlink w:anchor="NotesToTheConsolidatedFinancialSt_114234">
              <w:r>
                <w:rPr>
                  <w:rStyle w:val="InternetLink"/>
                  <w:rFonts w:ascii="Times New Roman" w:hAnsi="Times New Roman"/>
                  <w:sz w:val="17"/>
                </w:rPr>
                <w:t>Notes to the Consolidated Financial Statements</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r>
      <w:tr>
        <w:trPr/>
        <w:tc>
          <w:tcPr>
            <w:tcW w:w="824" w:type="dxa"/>
            <w:tcBorders/>
            <w:shd w:fill="auto" w:val="clear"/>
          </w:tcPr>
          <w:p>
            <w:pPr>
              <w:pStyle w:val="TableContents"/>
              <w:spacing w:before="0" w:after="0"/>
              <w:ind w:left="0" w:right="0" w:hanging="0"/>
              <w:rPr/>
            </w:pPr>
            <w:hyperlink w:anchor="Item2_ManagementsDiscussionAndAna_125953">
              <w:r>
                <w:rPr>
                  <w:rStyle w:val="InternetLink"/>
                  <w:rFonts w:ascii="Times New Roman" w:hAnsi="Times New Roman"/>
                  <w:sz w:val="17"/>
                </w:rPr>
                <w:t>Item 2.</w:t>
              </w:r>
            </w:hyperlink>
          </w:p>
        </w:tc>
        <w:tc>
          <w:tcPr>
            <w:tcW w:w="9071" w:type="dxa"/>
            <w:tcBorders/>
            <w:shd w:fill="auto" w:val="clear"/>
          </w:tcPr>
          <w:p>
            <w:pPr>
              <w:pStyle w:val="TableContents"/>
              <w:spacing w:before="0" w:after="0"/>
              <w:ind w:left="0" w:right="0" w:hanging="0"/>
              <w:rPr/>
            </w:pPr>
            <w:hyperlink w:anchor="Item2_ManagementsDiscussionAndAna_125953">
              <w:r>
                <w:rPr>
                  <w:rStyle w:val="InternetLink"/>
                  <w:rFonts w:ascii="Times New Roman" w:hAnsi="Times New Roman"/>
                  <w:sz w:val="17"/>
                </w:rPr>
                <w:t>MANAGEMENTS DISCUSSION AND ANALYSIS OF FINANCIAL CONDITION AND RESULTS OF OPERATIONS</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r>
      <w:tr>
        <w:trPr/>
        <w:tc>
          <w:tcPr>
            <w:tcW w:w="824" w:type="dxa"/>
            <w:tcBorders/>
            <w:shd w:fill="auto" w:val="clear"/>
          </w:tcPr>
          <w:p>
            <w:pPr>
              <w:pStyle w:val="TableContents"/>
              <w:spacing w:before="0" w:after="0"/>
              <w:ind w:left="0" w:right="0" w:hanging="0"/>
              <w:rPr/>
            </w:pPr>
            <w:hyperlink w:anchor="Item3_QuantitativeAndQualitativeD_140827">
              <w:r>
                <w:rPr>
                  <w:rStyle w:val="InternetLink"/>
                  <w:rFonts w:ascii="Times New Roman" w:hAnsi="Times New Roman"/>
                  <w:sz w:val="17"/>
                </w:rPr>
                <w:t>Item 3.</w:t>
              </w:r>
            </w:hyperlink>
          </w:p>
        </w:tc>
        <w:tc>
          <w:tcPr>
            <w:tcW w:w="9071" w:type="dxa"/>
            <w:tcBorders/>
            <w:shd w:fill="auto" w:val="clear"/>
          </w:tcPr>
          <w:p>
            <w:pPr>
              <w:pStyle w:val="TableContents"/>
              <w:spacing w:before="0" w:after="0"/>
              <w:ind w:left="0" w:right="0" w:hanging="0"/>
              <w:rPr/>
            </w:pPr>
            <w:hyperlink w:anchor="Item3_QuantitativeAndQualitativeD_140827">
              <w:r>
                <w:rPr>
                  <w:rStyle w:val="InternetLink"/>
                  <w:rFonts w:ascii="Times New Roman" w:hAnsi="Times New Roman"/>
                  <w:sz w:val="17"/>
                </w:rPr>
                <w:t>QUANTITATIVE AND QUALITATIVE DISCLOSURES ABOUT MARKET RISK</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r>
      <w:tr>
        <w:trPr/>
        <w:tc>
          <w:tcPr>
            <w:tcW w:w="824" w:type="dxa"/>
            <w:tcBorders/>
            <w:shd w:fill="auto" w:val="clear"/>
          </w:tcPr>
          <w:p>
            <w:pPr>
              <w:pStyle w:val="TableContents"/>
              <w:spacing w:before="0" w:after="0"/>
              <w:ind w:left="0" w:right="0" w:hanging="0"/>
              <w:rPr/>
            </w:pPr>
            <w:hyperlink w:anchor="Item4_ControlsAndProcedures_140833">
              <w:r>
                <w:rPr>
                  <w:rStyle w:val="InternetLink"/>
                  <w:rFonts w:ascii="Times New Roman" w:hAnsi="Times New Roman"/>
                  <w:sz w:val="17"/>
                </w:rPr>
                <w:t>Item 4.</w:t>
              </w:r>
            </w:hyperlink>
          </w:p>
        </w:tc>
        <w:tc>
          <w:tcPr>
            <w:tcW w:w="9071" w:type="dxa"/>
            <w:tcBorders/>
            <w:shd w:fill="auto" w:val="clear"/>
          </w:tcPr>
          <w:p>
            <w:pPr>
              <w:pStyle w:val="TableContents"/>
              <w:spacing w:before="0" w:after="0"/>
              <w:ind w:left="0" w:right="0" w:hanging="0"/>
              <w:rPr/>
            </w:pPr>
            <w:hyperlink w:anchor="Item4_ControlsAndProcedures_140833">
              <w:r>
                <w:rPr>
                  <w:rStyle w:val="InternetLink"/>
                  <w:rFonts w:ascii="Times New Roman" w:hAnsi="Times New Roman"/>
                  <w:sz w:val="17"/>
                </w:rPr>
                <w:t>CONTROLS AND PROCEDURES</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r>
      <w:tr>
        <w:trPr/>
        <w:tc>
          <w:tcPr>
            <w:tcW w:w="9895" w:type="dxa"/>
            <w:gridSpan w:val="2"/>
            <w:tcBorders/>
            <w:shd w:fill="auto" w:val="clear"/>
          </w:tcPr>
          <w:p>
            <w:pPr>
              <w:pStyle w:val="TableContents"/>
              <w:spacing w:before="80" w:after="80"/>
              <w:ind w:left="0" w:right="0" w:hanging="0"/>
              <w:rPr/>
            </w:pPr>
            <w:hyperlink w:anchor="Partii_OtherInformation_140147">
              <w:r>
                <w:rPr>
                  <w:rStyle w:val="InternetLink"/>
                  <w:rFonts w:ascii="Times New Roman" w:hAnsi="Times New Roman"/>
                  <w:b/>
                  <w:sz w:val="17"/>
                </w:rPr>
                <w:t>PART II. OTHER INFORMATION</w:t>
              </w:r>
            </w:hyperlink>
          </w:p>
        </w:tc>
        <w:tc>
          <w:tcPr>
            <w:tcW w:w="310" w:type="dxa"/>
            <w:tcBorders/>
            <w:shd w:fill="auto" w:val="clear"/>
            <w:vAlign w:val="bottom"/>
          </w:tcPr>
          <w:p>
            <w:pPr>
              <w:pStyle w:val="TableContents"/>
              <w:spacing w:before="80" w:after="80"/>
              <w:ind w:left="0" w:right="0" w:hanging="0"/>
              <w:jc w:val="right"/>
              <w:rPr>
                <w:rFonts w:ascii="Times New Roman" w:hAnsi="Times New Roman"/>
                <w:sz w:val="17"/>
              </w:rPr>
            </w:pPr>
            <w:r>
              <w:rPr>
                <w:rFonts w:ascii="Times New Roman" w:hAnsi="Times New Roman"/>
                <w:sz w:val="17"/>
              </w:rPr>
              <w:t>38</w:t>
            </w:r>
          </w:p>
        </w:tc>
      </w:tr>
      <w:tr>
        <w:trPr/>
        <w:tc>
          <w:tcPr>
            <w:tcW w:w="824" w:type="dxa"/>
            <w:tcBorders/>
            <w:shd w:fill="auto" w:val="clear"/>
          </w:tcPr>
          <w:p>
            <w:pPr>
              <w:pStyle w:val="TableContents"/>
              <w:spacing w:before="80" w:after="80"/>
              <w:ind w:left="0" w:right="0" w:hanging="0"/>
              <w:rPr/>
            </w:pPr>
            <w:hyperlink w:anchor="Item1_LegalProceedings_121340">
              <w:r>
                <w:rPr>
                  <w:rStyle w:val="InternetLink"/>
                  <w:rFonts w:ascii="Times New Roman" w:hAnsi="Times New Roman"/>
                  <w:sz w:val="17"/>
                </w:rPr>
                <w:t>Item 1.</w:t>
              </w:r>
            </w:hyperlink>
          </w:p>
        </w:tc>
        <w:tc>
          <w:tcPr>
            <w:tcW w:w="9071" w:type="dxa"/>
            <w:tcBorders/>
            <w:shd w:fill="auto" w:val="clear"/>
          </w:tcPr>
          <w:p>
            <w:pPr>
              <w:pStyle w:val="TableContents"/>
              <w:spacing w:before="80" w:after="80"/>
              <w:ind w:left="0" w:right="0" w:hanging="0"/>
              <w:rPr/>
            </w:pPr>
            <w:hyperlink w:anchor="Item1_LegalProceedings_121340">
              <w:r>
                <w:rPr>
                  <w:rStyle w:val="InternetLink"/>
                  <w:rFonts w:ascii="Times New Roman" w:hAnsi="Times New Roman"/>
                  <w:sz w:val="17"/>
                </w:rPr>
                <w:t>LEGAL PROCEEDINGS</w:t>
              </w:r>
            </w:hyperlink>
          </w:p>
        </w:tc>
        <w:tc>
          <w:tcPr>
            <w:tcW w:w="310" w:type="dxa"/>
            <w:tcBorders/>
            <w:shd w:fill="auto" w:val="clear"/>
            <w:vAlign w:val="bottom"/>
          </w:tcPr>
          <w:p>
            <w:pPr>
              <w:pStyle w:val="TableContents"/>
              <w:spacing w:before="80" w:after="80"/>
              <w:ind w:left="0" w:right="0" w:hanging="0"/>
              <w:jc w:val="right"/>
              <w:rPr>
                <w:rFonts w:ascii="Times New Roman" w:hAnsi="Times New Roman"/>
                <w:sz w:val="17"/>
              </w:rPr>
            </w:pPr>
            <w:r>
              <w:rPr>
                <w:rFonts w:ascii="Times New Roman" w:hAnsi="Times New Roman"/>
                <w:sz w:val="17"/>
              </w:rPr>
              <w:t>38</w:t>
            </w:r>
          </w:p>
        </w:tc>
      </w:tr>
      <w:tr>
        <w:trPr/>
        <w:tc>
          <w:tcPr>
            <w:tcW w:w="824" w:type="dxa"/>
            <w:tcBorders/>
            <w:shd w:fill="auto" w:val="clear"/>
          </w:tcPr>
          <w:p>
            <w:pPr>
              <w:pStyle w:val="TableContents"/>
              <w:spacing w:before="0" w:after="0"/>
              <w:ind w:left="0" w:right="0" w:hanging="0"/>
              <w:rPr/>
            </w:pPr>
            <w:hyperlink w:anchor="Item1a_RiskFactors_121342">
              <w:r>
                <w:rPr>
                  <w:rStyle w:val="InternetLink"/>
                  <w:rFonts w:ascii="Times New Roman" w:hAnsi="Times New Roman"/>
                  <w:sz w:val="17"/>
                </w:rPr>
                <w:t>Item 1A.</w:t>
              </w:r>
            </w:hyperlink>
          </w:p>
        </w:tc>
        <w:tc>
          <w:tcPr>
            <w:tcW w:w="9071" w:type="dxa"/>
            <w:tcBorders/>
            <w:shd w:fill="auto" w:val="clear"/>
          </w:tcPr>
          <w:p>
            <w:pPr>
              <w:pStyle w:val="TableContents"/>
              <w:spacing w:before="0" w:after="0"/>
              <w:ind w:left="0" w:right="0" w:hanging="0"/>
              <w:rPr/>
            </w:pPr>
            <w:hyperlink w:anchor="Item1a_RiskFactors_121342">
              <w:r>
                <w:rPr>
                  <w:rStyle w:val="InternetLink"/>
                  <w:rFonts w:ascii="Times New Roman" w:hAnsi="Times New Roman"/>
                  <w:sz w:val="17"/>
                </w:rPr>
                <w:t>RISK FACTORS</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824" w:type="dxa"/>
            <w:tcBorders/>
            <w:shd w:fill="auto" w:val="clear"/>
          </w:tcPr>
          <w:p>
            <w:pPr>
              <w:pStyle w:val="TableContents"/>
              <w:spacing w:before="0" w:after="0"/>
              <w:ind w:left="0" w:right="0" w:hanging="0"/>
              <w:rPr/>
            </w:pPr>
            <w:hyperlink w:anchor="Item2_UnregisteredSalesOfEquitySe_121345">
              <w:r>
                <w:rPr>
                  <w:rStyle w:val="InternetLink"/>
                  <w:rFonts w:ascii="Times New Roman" w:hAnsi="Times New Roman"/>
                  <w:sz w:val="17"/>
                </w:rPr>
                <w:t>Item 2.</w:t>
              </w:r>
            </w:hyperlink>
          </w:p>
        </w:tc>
        <w:tc>
          <w:tcPr>
            <w:tcW w:w="9071" w:type="dxa"/>
            <w:tcBorders/>
            <w:shd w:fill="auto" w:val="clear"/>
          </w:tcPr>
          <w:p>
            <w:pPr>
              <w:pStyle w:val="TableContents"/>
              <w:spacing w:before="0" w:after="0"/>
              <w:ind w:left="0" w:right="0" w:hanging="0"/>
              <w:rPr/>
            </w:pPr>
            <w:hyperlink w:anchor="Item2_UnregisteredSalesOfEquitySe_121345">
              <w:r>
                <w:rPr>
                  <w:rStyle w:val="InternetLink"/>
                  <w:rFonts w:ascii="Times New Roman" w:hAnsi="Times New Roman"/>
                  <w:sz w:val="17"/>
                </w:rPr>
                <w:t>UNREGISTERED SALES OF EQUITY SECURITIES AND USE OF PROCEEDS</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824" w:type="dxa"/>
            <w:tcBorders/>
            <w:shd w:fill="auto" w:val="clear"/>
          </w:tcPr>
          <w:p>
            <w:pPr>
              <w:pStyle w:val="TableContents"/>
              <w:spacing w:before="0" w:after="0"/>
              <w:ind w:left="0" w:right="0" w:hanging="0"/>
              <w:rPr/>
            </w:pPr>
            <w:hyperlink w:anchor="Item3_DefaultsUponSeniorSecuritie_121348">
              <w:r>
                <w:rPr>
                  <w:rStyle w:val="InternetLink"/>
                  <w:rFonts w:ascii="Times New Roman" w:hAnsi="Times New Roman"/>
                  <w:sz w:val="17"/>
                </w:rPr>
                <w:t>Item 3.</w:t>
              </w:r>
            </w:hyperlink>
          </w:p>
        </w:tc>
        <w:tc>
          <w:tcPr>
            <w:tcW w:w="9071" w:type="dxa"/>
            <w:tcBorders/>
            <w:shd w:fill="auto" w:val="clear"/>
          </w:tcPr>
          <w:p>
            <w:pPr>
              <w:pStyle w:val="TableContents"/>
              <w:spacing w:before="0" w:after="0"/>
              <w:ind w:left="0" w:right="0" w:hanging="0"/>
              <w:rPr/>
            </w:pPr>
            <w:hyperlink w:anchor="Item3_DefaultsUponSeniorSecuritie_121348">
              <w:r>
                <w:rPr>
                  <w:rStyle w:val="InternetLink"/>
                  <w:rFonts w:ascii="Times New Roman" w:hAnsi="Times New Roman"/>
                  <w:sz w:val="17"/>
                </w:rPr>
                <w:t>DEFAULTS UPON SENIOR SECURITIES</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824" w:type="dxa"/>
            <w:tcBorders/>
            <w:shd w:fill="auto" w:val="clear"/>
          </w:tcPr>
          <w:p>
            <w:pPr>
              <w:pStyle w:val="TableContents"/>
              <w:spacing w:before="0" w:after="0"/>
              <w:ind w:left="0" w:right="0" w:hanging="0"/>
              <w:rPr/>
            </w:pPr>
            <w:hyperlink w:anchor="Item4_SubmissionOfMattersToAVoteO_121351">
              <w:r>
                <w:rPr>
                  <w:rStyle w:val="InternetLink"/>
                  <w:rFonts w:ascii="Times New Roman" w:hAnsi="Times New Roman"/>
                  <w:sz w:val="17"/>
                </w:rPr>
                <w:t>Item 4.</w:t>
              </w:r>
            </w:hyperlink>
          </w:p>
        </w:tc>
        <w:tc>
          <w:tcPr>
            <w:tcW w:w="9071" w:type="dxa"/>
            <w:tcBorders/>
            <w:shd w:fill="auto" w:val="clear"/>
          </w:tcPr>
          <w:p>
            <w:pPr>
              <w:pStyle w:val="TableContents"/>
              <w:spacing w:before="0" w:after="0"/>
              <w:ind w:left="0" w:right="0" w:hanging="0"/>
              <w:rPr/>
            </w:pPr>
            <w:hyperlink w:anchor="Item4_SubmissionOfMattersToAVoteO_121351">
              <w:r>
                <w:rPr>
                  <w:rStyle w:val="InternetLink"/>
                  <w:rFonts w:ascii="Times New Roman" w:hAnsi="Times New Roman"/>
                  <w:sz w:val="17"/>
                </w:rPr>
                <w:t>SUBMISSION OF MATTERS TO A VOTE OF SECURITY HOLDERS</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824" w:type="dxa"/>
            <w:tcBorders/>
            <w:shd w:fill="auto" w:val="clear"/>
          </w:tcPr>
          <w:p>
            <w:pPr>
              <w:pStyle w:val="TableContents"/>
              <w:spacing w:before="0" w:after="0"/>
              <w:ind w:left="0" w:right="0" w:hanging="0"/>
              <w:rPr/>
            </w:pPr>
            <w:hyperlink w:anchor="Item5_OtherInformation_121354">
              <w:r>
                <w:rPr>
                  <w:rStyle w:val="InternetLink"/>
                  <w:rFonts w:ascii="Times New Roman" w:hAnsi="Times New Roman"/>
                  <w:sz w:val="17"/>
                </w:rPr>
                <w:t>Item 5.</w:t>
              </w:r>
            </w:hyperlink>
          </w:p>
        </w:tc>
        <w:tc>
          <w:tcPr>
            <w:tcW w:w="9071" w:type="dxa"/>
            <w:tcBorders/>
            <w:shd w:fill="auto" w:val="clear"/>
          </w:tcPr>
          <w:p>
            <w:pPr>
              <w:pStyle w:val="TableContents"/>
              <w:spacing w:before="0" w:after="0"/>
              <w:ind w:left="0" w:right="0" w:hanging="0"/>
              <w:rPr/>
            </w:pPr>
            <w:hyperlink w:anchor="Item5_OtherInformation_121354">
              <w:r>
                <w:rPr>
                  <w:rStyle w:val="InternetLink"/>
                  <w:rFonts w:ascii="Times New Roman" w:hAnsi="Times New Roman"/>
                  <w:sz w:val="17"/>
                </w:rPr>
                <w:t>OTHER INFORMATION</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824" w:type="dxa"/>
            <w:tcBorders/>
            <w:shd w:fill="auto" w:val="clear"/>
          </w:tcPr>
          <w:p>
            <w:pPr>
              <w:pStyle w:val="TableContents"/>
              <w:spacing w:before="0" w:after="0"/>
              <w:ind w:left="0" w:right="0" w:hanging="0"/>
              <w:rPr/>
            </w:pPr>
            <w:hyperlink w:anchor="Item6_Exhibits_140139">
              <w:r>
                <w:rPr>
                  <w:rStyle w:val="InternetLink"/>
                  <w:rFonts w:ascii="Times New Roman" w:hAnsi="Times New Roman"/>
                  <w:sz w:val="17"/>
                </w:rPr>
                <w:t>Item 6.</w:t>
              </w:r>
            </w:hyperlink>
          </w:p>
        </w:tc>
        <w:tc>
          <w:tcPr>
            <w:tcW w:w="9071" w:type="dxa"/>
            <w:tcBorders/>
            <w:shd w:fill="auto" w:val="clear"/>
          </w:tcPr>
          <w:p>
            <w:pPr>
              <w:pStyle w:val="TableContents"/>
              <w:spacing w:before="0" w:after="0"/>
              <w:ind w:left="0" w:right="0" w:hanging="0"/>
              <w:rPr/>
            </w:pPr>
            <w:hyperlink w:anchor="Item6_Exhibits_140139">
              <w:r>
                <w:rPr>
                  <w:rStyle w:val="InternetLink"/>
                  <w:rFonts w:ascii="Times New Roman" w:hAnsi="Times New Roman"/>
                  <w:sz w:val="17"/>
                </w:rPr>
                <w:t>EXHIBITS</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r>
      <w:tr>
        <w:trPr/>
        <w:tc>
          <w:tcPr>
            <w:tcW w:w="9895" w:type="dxa"/>
            <w:gridSpan w:val="2"/>
            <w:tcBorders/>
            <w:shd w:fill="auto" w:val="clear"/>
          </w:tcPr>
          <w:p>
            <w:pPr>
              <w:pStyle w:val="TableContents"/>
              <w:spacing w:before="0" w:after="0"/>
              <w:ind w:left="0" w:right="0" w:hanging="0"/>
              <w:rPr/>
            </w:pPr>
            <w:hyperlink w:anchor="Signatures_140129">
              <w:r>
                <w:rPr>
                  <w:rStyle w:val="InternetLink"/>
                  <w:rFonts w:ascii="Times New Roman" w:hAnsi="Times New Roman"/>
                  <w:sz w:val="17"/>
                </w:rPr>
                <w:t>SIGNATURES</w:t>
              </w:r>
            </w:hyperlink>
          </w:p>
        </w:tc>
        <w:tc>
          <w:tcPr>
            <w:tcW w:w="3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r>
    </w:tbl>
    <w:p>
      <w:pPr>
        <w:pStyle w:val="TextBody"/>
        <w:spacing w:lineRule="atLeast" w:line="141"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2</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jc w:val="left"/>
        <w:rPr/>
      </w:pPr>
      <w:r>
        <w:rPr/>
        <w:t> </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PART I. FINANCIAL INFORMATION</w:t>
      </w:r>
      <w:bookmarkStart w:id="3" w:name="Parti_FinancialInformation_113651"/>
      <w:bookmarkEnd w:id="3"/>
    </w:p>
    <w:p>
      <w:pPr>
        <w:pStyle w:val="TextBody"/>
        <w:keepNext w:val="true"/>
        <w:spacing w:before="0" w:after="240"/>
        <w:ind w:left="940" w:right="0" w:hanging="940"/>
        <w:rPr>
          <w:rFonts w:ascii="Times New Roman" w:hAnsi="Times New Roman"/>
          <w:b/>
          <w:sz w:val="17"/>
        </w:rPr>
      </w:pPr>
      <w:r>
        <w:rPr>
          <w:rFonts w:ascii="Times New Roman" w:hAnsi="Times New Roman"/>
          <w:b/>
          <w:sz w:val="17"/>
        </w:rPr>
        <w:t>Item 1.                                                     UNAUDITED CONSOLIDATED FINANCIAL STATEMENTS</w:t>
      </w:r>
      <w:bookmarkStart w:id="4" w:name="Item1_UnauditedConsolidatedFinanc_113605"/>
      <w:bookmarkEnd w:id="4"/>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CONSOLIDATED BALANCE SHEETS</w:t>
      </w:r>
      <w:bookmarkStart w:id="5" w:name="ConsolidatedBalanceSheets_104851"/>
      <w:bookmarkEnd w:id="5"/>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(in millions, except units)</w:t>
      </w:r>
    </w:p>
    <w:tbl>
      <w:tblPr>
        <w:tblW w:w="5000" w:type="pct"/>
        <w:jc w:val="left"/>
        <w:tblInd w:w="0" w:type="dxa"/>
        <w:tblCellMar>
          <w:top w:w="0" w:type="dxa"/>
          <w:left w:w="0" w:type="dxa"/>
          <w:bottom w:w="0" w:type="dxa"/>
          <w:right w:w="0" w:type="dxa"/>
        </w:tblCellMar>
      </w:tblPr>
      <w:tblGrid>
        <w:gridCol w:w="7085"/>
        <w:gridCol w:w="200"/>
        <w:gridCol w:w="141"/>
        <w:gridCol w:w="968"/>
        <w:gridCol w:w="126"/>
        <w:gridCol w:w="172"/>
        <w:gridCol w:w="1128"/>
        <w:gridCol w:w="385"/>
      </w:tblGrid>
      <w:tr>
        <w:trPr/>
        <w:tc>
          <w:tcPr>
            <w:tcW w:w="7085" w:type="dxa"/>
            <w:tcBorders/>
            <w:shd w:fill="auto" w:val="clear"/>
            <w:vAlign w:val="bottom"/>
          </w:tcPr>
          <w:p>
            <w:pPr>
              <w:pStyle w:val="TableContents"/>
              <w:spacing w:lineRule="atLeast" w:line="160" w:before="0" w:after="0"/>
              <w:ind w:left="0" w:right="0" w:hanging="0"/>
              <w:rPr/>
            </w:pPr>
            <w:r>
              <w:rPr/>
              <w:t> </w:t>
            </w:r>
          </w:p>
        </w:tc>
        <w:tc>
          <w:tcPr>
            <w:tcW w:w="200" w:type="dxa"/>
            <w:tcBorders/>
            <w:shd w:fill="auto" w:val="clear"/>
            <w:vAlign w:val="bottom"/>
          </w:tcPr>
          <w:p>
            <w:pPr>
              <w:pStyle w:val="TableContents"/>
              <w:spacing w:lineRule="atLeast" w:line="160" w:before="0" w:after="0"/>
              <w:ind w:left="0" w:right="0" w:hanging="0"/>
              <w:rPr/>
            </w:pPr>
            <w:r>
              <w:rPr/>
              <w:t> </w:t>
            </w:r>
          </w:p>
        </w:tc>
        <w:tc>
          <w:tcPr>
            <w:tcW w:w="1109"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w:t>
            </w:r>
          </w:p>
        </w:tc>
        <w:tc>
          <w:tcPr>
            <w:tcW w:w="126" w:type="dxa"/>
            <w:tcBorders/>
            <w:shd w:fill="auto" w:val="clear"/>
            <w:vAlign w:val="bottom"/>
          </w:tcPr>
          <w:p>
            <w:pPr>
              <w:pStyle w:val="TableContents"/>
              <w:spacing w:lineRule="atLeast" w:line="160" w:before="0" w:after="0"/>
              <w:ind w:left="0" w:right="0" w:hanging="0"/>
              <w:rPr/>
            </w:pPr>
            <w:r>
              <w:rPr/>
              <w:t> </w:t>
            </w:r>
          </w:p>
        </w:tc>
        <w:tc>
          <w:tcPr>
            <w:tcW w:w="1300"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w:t>
            </w:r>
          </w:p>
        </w:tc>
        <w:tc>
          <w:tcPr>
            <w:tcW w:w="385" w:type="dxa"/>
            <w:tcBorders/>
            <w:shd w:fill="auto" w:val="clear"/>
            <w:vAlign w:val="bottom"/>
          </w:tcPr>
          <w:p>
            <w:pPr>
              <w:pStyle w:val="TableContents"/>
              <w:spacing w:lineRule="atLeast" w:line="160" w:before="0" w:after="0"/>
              <w:ind w:left="0" w:right="0" w:hanging="0"/>
              <w:rPr/>
            </w:pPr>
            <w:r>
              <w:rPr/>
              <w:t> </w:t>
            </w:r>
          </w:p>
        </w:tc>
      </w:tr>
      <w:tr>
        <w:trPr/>
        <w:tc>
          <w:tcPr>
            <w:tcW w:w="7085" w:type="dxa"/>
            <w:tcBorders/>
            <w:shd w:fill="auto" w:val="clear"/>
            <w:vAlign w:val="bottom"/>
          </w:tcPr>
          <w:p>
            <w:pPr>
              <w:pStyle w:val="TableContents"/>
              <w:spacing w:lineRule="atLeast" w:line="160" w:before="0" w:after="0"/>
              <w:ind w:left="0" w:right="0" w:hanging="0"/>
              <w:rPr/>
            </w:pPr>
            <w:r>
              <w:rPr/>
              <w:t> </w:t>
            </w:r>
          </w:p>
        </w:tc>
        <w:tc>
          <w:tcPr>
            <w:tcW w:w="200" w:type="dxa"/>
            <w:tcBorders/>
            <w:shd w:fill="auto" w:val="clear"/>
            <w:vAlign w:val="bottom"/>
          </w:tcPr>
          <w:p>
            <w:pPr>
              <w:pStyle w:val="TableContents"/>
              <w:spacing w:lineRule="atLeast" w:line="160" w:before="0" w:after="0"/>
              <w:ind w:left="0" w:right="0" w:hanging="0"/>
              <w:rPr/>
            </w:pPr>
            <w:r>
              <w:rPr/>
              <w:t> </w:t>
            </w:r>
          </w:p>
        </w:tc>
        <w:tc>
          <w:tcPr>
            <w:tcW w:w="1109"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126" w:type="dxa"/>
            <w:tcBorders/>
            <w:shd w:fill="auto" w:val="clear"/>
            <w:vAlign w:val="bottom"/>
          </w:tcPr>
          <w:p>
            <w:pPr>
              <w:pStyle w:val="TableContents"/>
              <w:spacing w:lineRule="atLeast" w:line="160" w:before="0" w:after="0"/>
              <w:ind w:left="0" w:right="0" w:hanging="0"/>
              <w:rPr/>
            </w:pPr>
            <w:r>
              <w:rPr/>
              <w:t> </w:t>
            </w:r>
          </w:p>
        </w:tc>
        <w:tc>
          <w:tcPr>
            <w:tcW w:w="130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2005        </w:t>
            </w:r>
          </w:p>
        </w:tc>
        <w:tc>
          <w:tcPr>
            <w:tcW w:w="385" w:type="dxa"/>
            <w:tcBorders/>
            <w:shd w:fill="auto" w:val="clear"/>
            <w:vAlign w:val="bottom"/>
          </w:tcPr>
          <w:p>
            <w:pPr>
              <w:pStyle w:val="TableContents"/>
              <w:spacing w:lineRule="atLeast" w:line="160" w:before="0" w:after="0"/>
              <w:ind w:left="0" w:right="0" w:hanging="0"/>
              <w:rPr/>
            </w:pPr>
            <w:r>
              <w:rPr/>
              <w:t> </w:t>
            </w:r>
          </w:p>
        </w:tc>
      </w:tr>
      <w:tr>
        <w:trPr/>
        <w:tc>
          <w:tcPr>
            <w:tcW w:w="7085" w:type="dxa"/>
            <w:tcBorders/>
            <w:shd w:fill="auto" w:val="clear"/>
            <w:vAlign w:val="bottom"/>
          </w:tcPr>
          <w:p>
            <w:pPr>
              <w:pStyle w:val="TableContents"/>
              <w:spacing w:lineRule="atLeast" w:line="160" w:before="0" w:after="0"/>
              <w:ind w:left="0" w:right="0" w:hanging="0"/>
              <w:rPr/>
            </w:pPr>
            <w:r>
              <w:rPr/>
              <w:t> </w:t>
            </w:r>
          </w:p>
        </w:tc>
        <w:tc>
          <w:tcPr>
            <w:tcW w:w="200" w:type="dxa"/>
            <w:tcBorders/>
            <w:shd w:fill="auto" w:val="clear"/>
            <w:vAlign w:val="bottom"/>
          </w:tcPr>
          <w:p>
            <w:pPr>
              <w:pStyle w:val="TableContents"/>
              <w:spacing w:lineRule="atLeast" w:line="160" w:before="0" w:after="0"/>
              <w:ind w:left="0" w:right="0" w:hanging="0"/>
              <w:rPr/>
            </w:pPr>
            <w:r>
              <w:rPr/>
              <w:t> </w:t>
            </w:r>
          </w:p>
        </w:tc>
        <w:tc>
          <w:tcPr>
            <w:tcW w:w="2535"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(unaudited)</w:t>
            </w:r>
          </w:p>
        </w:tc>
        <w:tc>
          <w:tcPr>
            <w:tcW w:w="385" w:type="dxa"/>
            <w:tcBorders/>
            <w:shd w:fill="auto" w:val="clear"/>
            <w:vAlign w:val="bottom"/>
          </w:tcPr>
          <w:p>
            <w:pPr>
              <w:pStyle w:val="TableContents"/>
              <w:spacing w:lineRule="atLeast" w:line="160" w:before="0" w:after="0"/>
              <w:ind w:left="0" w:right="0" w:hanging="0"/>
              <w:rPr/>
            </w:pPr>
            <w:r>
              <w:rPr/>
              <w:t> </w:t>
            </w:r>
          </w:p>
        </w:tc>
      </w:tr>
      <w:tr>
        <w:trPr/>
        <w:tc>
          <w:tcPr>
            <w:tcW w:w="7085" w:type="dxa"/>
            <w:tcBorders/>
            <w:shd w:fill="CCEEFF"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ASSETS</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shd w:fill="CCEEFF" w:val="clear"/>
            <w:vAlign w:val="bottom"/>
          </w:tcPr>
          <w:p>
            <w:pPr>
              <w:pStyle w:val="TableContents"/>
              <w:spacing w:before="0" w:after="0"/>
              <w:ind w:left="0" w:right="0" w:hanging="0"/>
              <w:rPr/>
            </w:pPr>
            <w:r>
              <w:rPr/>
              <w:t> </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shd w:fill="auto" w:val="clear"/>
            <w:vAlign w:val="bottom"/>
          </w:tcPr>
          <w:p>
            <w:pPr>
              <w:pStyle w:val="TableContents"/>
              <w:spacing w:before="0" w:after="0"/>
              <w:ind w:left="0" w:right="0" w:hanging="0"/>
              <w:rPr/>
            </w:pPr>
            <w:r>
              <w:rPr/>
              <w:t> </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CURRENT ASSETS</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shd w:fill="CCEEFF" w:val="clear"/>
            <w:vAlign w:val="bottom"/>
          </w:tcPr>
          <w:p>
            <w:pPr>
              <w:pStyle w:val="TableContents"/>
              <w:spacing w:before="0" w:after="0"/>
              <w:ind w:left="0" w:right="0" w:hanging="0"/>
              <w:rPr/>
            </w:pPr>
            <w:r>
              <w:rPr/>
              <w:t> </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200"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7.6</w:t>
            </w:r>
          </w:p>
        </w:tc>
        <w:tc>
          <w:tcPr>
            <w:tcW w:w="126"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9.6</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 receivables, net</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1,917.2</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781.0</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1,155.9</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910.3</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95.7</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104.3</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3,176.4</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1,805.2</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shd w:fill="CCEEFF" w:val="clear"/>
            <w:vAlign w:val="bottom"/>
          </w:tcPr>
          <w:p>
            <w:pPr>
              <w:pStyle w:val="TableContents"/>
              <w:spacing w:before="0" w:after="0"/>
              <w:ind w:left="0" w:right="0" w:hanging="0"/>
              <w:rPr/>
            </w:pPr>
            <w:r>
              <w:rPr/>
              <w:t> </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PROPERTY AND EQUIPMENT</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2,450.9</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2,116.1</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Accumulated depreciation</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(303.4</w:t>
            </w:r>
          </w:p>
        </w:tc>
        <w:tc>
          <w:tcPr>
            <w:tcW w:w="12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(258.9</w:t>
            </w:r>
          </w:p>
        </w:tc>
        <w:tc>
          <w:tcPr>
            <w:tcW w:w="3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85"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2,147.5</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1,857.2</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shd w:fill="CCEEFF" w:val="clear"/>
            <w:vAlign w:val="bottom"/>
          </w:tcPr>
          <w:p>
            <w:pPr>
              <w:pStyle w:val="TableContents"/>
              <w:spacing w:before="0" w:after="0"/>
              <w:ind w:left="0" w:right="0" w:hanging="0"/>
              <w:rPr/>
            </w:pPr>
            <w:r>
              <w:rPr/>
              <w:t> </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OTHER ASSETS</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shd w:fill="auto" w:val="clear"/>
            <w:vAlign w:val="bottom"/>
          </w:tcPr>
          <w:p>
            <w:pPr>
              <w:pStyle w:val="TableContents"/>
              <w:spacing w:before="0" w:after="0"/>
              <w:ind w:left="0" w:right="0" w:hanging="0"/>
              <w:rPr/>
            </w:pPr>
            <w:r>
              <w:rPr/>
              <w:t> </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Pipeline linefill in owned assets</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200.4</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180.2</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Inventory in third party assets</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80.4</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71.5</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Investment in PAA/Vulcan Gas Storage, LLC</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124.4</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113.5</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179.6</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47.4</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109.6</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45.3</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00"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6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6,018.3</w:t>
            </w:r>
          </w:p>
        </w:tc>
        <w:tc>
          <w:tcPr>
            <w:tcW w:w="126" w:type="dxa"/>
            <w:tcBorders/>
            <w:shd w:fill="auto" w:val="clear"/>
            <w:vAlign w:val="bottom"/>
          </w:tcPr>
          <w:p>
            <w:pPr>
              <w:pStyle w:val="TableContents"/>
              <w:spacing w:before="0" w:after="0"/>
              <w:ind w:left="0" w:right="0" w:hanging="0"/>
              <w:rPr/>
            </w:pPr>
            <w:r>
              <w:rPr/>
              <w:t> </w:t>
            </w:r>
          </w:p>
        </w:tc>
        <w:tc>
          <w:tcPr>
            <w:tcW w:w="172"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2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4,120.3</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shd w:fill="CCEEFF" w:val="clear"/>
            <w:vAlign w:val="bottom"/>
          </w:tcPr>
          <w:p>
            <w:pPr>
              <w:pStyle w:val="TableContents"/>
              <w:spacing w:before="0" w:after="0"/>
              <w:ind w:left="0" w:right="0" w:hanging="0"/>
              <w:rPr/>
            </w:pPr>
            <w:r>
              <w:rPr/>
              <w:t> </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LIABILITIES AND PARTNERS CAPITAL</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shd w:fill="auto" w:val="clear"/>
            <w:vAlign w:val="bottom"/>
          </w:tcPr>
          <w:p>
            <w:pPr>
              <w:pStyle w:val="TableContents"/>
              <w:spacing w:before="0" w:after="0"/>
              <w:ind w:left="0" w:right="0" w:hanging="0"/>
              <w:rPr/>
            </w:pPr>
            <w:r>
              <w:rPr/>
              <w:t> </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shd w:fill="CCEEFF" w:val="clear"/>
            <w:vAlign w:val="bottom"/>
          </w:tcPr>
          <w:p>
            <w:pPr>
              <w:pStyle w:val="TableContents"/>
              <w:spacing w:before="0" w:after="0"/>
              <w:ind w:left="0" w:right="0" w:hanging="0"/>
              <w:rPr/>
            </w:pPr>
            <w:r>
              <w:rPr/>
              <w:t> </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CURRENT LIABILITIES</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shd w:fill="auto" w:val="clear"/>
            <w:vAlign w:val="bottom"/>
          </w:tcPr>
          <w:p>
            <w:pPr>
              <w:pStyle w:val="TableContents"/>
              <w:spacing w:before="0" w:after="0"/>
              <w:ind w:left="0" w:right="0" w:hanging="0"/>
              <w:rPr/>
            </w:pPr>
            <w:r>
              <w:rPr/>
              <w:t> </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Accounts payable and accrued liabilities</w:t>
            </w:r>
          </w:p>
        </w:tc>
        <w:tc>
          <w:tcPr>
            <w:tcW w:w="200"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1,850.8</w:t>
            </w:r>
          </w:p>
        </w:tc>
        <w:tc>
          <w:tcPr>
            <w:tcW w:w="126" w:type="dxa"/>
            <w:tcBorders/>
            <w:shd w:fill="CCEEFF" w:val="clear"/>
            <w:vAlign w:val="bottom"/>
          </w:tcPr>
          <w:p>
            <w:pPr>
              <w:pStyle w:val="TableContents"/>
              <w:spacing w:before="0" w:after="0"/>
              <w:ind w:left="0" w:right="0" w:hanging="0"/>
              <w:rPr/>
            </w:pPr>
            <w:r>
              <w:rPr/>
              <w:t> </w:t>
            </w:r>
          </w:p>
        </w:tc>
        <w:tc>
          <w:tcPr>
            <w:tcW w:w="172"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1,293.6</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Due to related parties</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0.2</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6.8</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1,188.5</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378.4</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139.9</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114.5</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3,179.4</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1,793.3</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shd w:fill="auto" w:val="clear"/>
            <w:vAlign w:val="bottom"/>
          </w:tcPr>
          <w:p>
            <w:pPr>
              <w:pStyle w:val="TableContents"/>
              <w:spacing w:before="0" w:after="0"/>
              <w:ind w:left="0" w:right="0" w:hanging="0"/>
              <w:rPr/>
            </w:pPr>
            <w:r>
              <w:rPr/>
              <w:t> </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LONG-TERM LIABILITIES</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shd w:fill="CCEEFF" w:val="clear"/>
            <w:vAlign w:val="bottom"/>
          </w:tcPr>
          <w:p>
            <w:pPr>
              <w:pStyle w:val="TableContents"/>
              <w:spacing w:before="0" w:after="0"/>
              <w:ind w:left="0" w:right="0" w:hanging="0"/>
              <w:rPr/>
            </w:pPr>
            <w:r>
              <w:rPr/>
              <w:t> </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58.4</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4.7</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 of $3.3 and $3.0, respectively</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1,196.7</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947.0</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57.7</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44.6</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4,492.2</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2,789.6</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shd w:fill="auto" w:val="clear"/>
            <w:vAlign w:val="bottom"/>
          </w:tcPr>
          <w:p>
            <w:pPr>
              <w:pStyle w:val="TableContents"/>
              <w:spacing w:before="0" w:after="0"/>
              <w:ind w:left="0" w:right="0" w:hanging="0"/>
              <w:rPr/>
            </w:pPr>
            <w:r>
              <w:rPr/>
              <w:t> </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COMMITMENTS AND CONTINGENCIES (NOTE 11)</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shd w:fill="CCEEFF" w:val="clear"/>
            <w:vAlign w:val="bottom"/>
          </w:tcPr>
          <w:p>
            <w:pPr>
              <w:pStyle w:val="TableContents"/>
              <w:spacing w:before="0" w:after="0"/>
              <w:ind w:left="0" w:right="0" w:hanging="0"/>
              <w:rPr/>
            </w:pPr>
            <w:r>
              <w:rPr/>
              <w:t> </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shd w:fill="auto" w:val="clear"/>
            <w:vAlign w:val="bottom"/>
          </w:tcPr>
          <w:p>
            <w:pPr>
              <w:pStyle w:val="TableContents"/>
              <w:spacing w:before="0" w:after="0"/>
              <w:ind w:left="0" w:right="0" w:hanging="0"/>
              <w:rPr/>
            </w:pPr>
            <w:r>
              <w:rPr/>
              <w:t> </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PARTNERS CAPITAL</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shd w:fill="CCEEFF" w:val="clear"/>
            <w:vAlign w:val="bottom"/>
          </w:tcPr>
          <w:p>
            <w:pPr>
              <w:pStyle w:val="TableContents"/>
              <w:spacing w:before="0" w:after="0"/>
              <w:ind w:left="0" w:right="0" w:hanging="0"/>
              <w:rPr/>
            </w:pPr>
            <w:r>
              <w:rPr/>
              <w:t> </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shd w:fill="CCEEFF" w:val="clear"/>
            <w:vAlign w:val="bottom"/>
          </w:tcPr>
          <w:p>
            <w:pPr>
              <w:pStyle w:val="TableContents"/>
              <w:spacing w:before="0" w:after="0"/>
              <w:ind w:left="0" w:right="0" w:hanging="0"/>
              <w:rPr/>
            </w:pPr>
            <w:r>
              <w:rPr/>
              <w:t> </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Common unitholders (77,273,248 and 73,768,576 units outstanding at June 30, 2006 and December 31, 2005, respectively)</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1,485.6</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1,294.1</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00" w:type="dxa"/>
            <w:tcBorders/>
            <w:shd w:fill="CCEEFF" w:val="clear"/>
            <w:vAlign w:val="bottom"/>
          </w:tcPr>
          <w:p>
            <w:pPr>
              <w:pStyle w:val="TableContents"/>
              <w:spacing w:before="0" w:after="0"/>
              <w:ind w:left="0" w:right="0" w:hanging="0"/>
              <w:rPr/>
            </w:pPr>
            <w:r>
              <w:rPr/>
              <w:t> </w:t>
            </w:r>
          </w:p>
        </w:tc>
        <w:tc>
          <w:tcPr>
            <w:tcW w:w="110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40.5</w:t>
            </w:r>
          </w:p>
        </w:tc>
        <w:tc>
          <w:tcPr>
            <w:tcW w:w="126" w:type="dxa"/>
            <w:tcBorders/>
            <w:shd w:fill="CCEEFF" w:val="clear"/>
            <w:vAlign w:val="bottom"/>
          </w:tcPr>
          <w:p>
            <w:pPr>
              <w:pStyle w:val="TableContents"/>
              <w:spacing w:before="0" w:after="0"/>
              <w:ind w:left="0" w:right="0" w:hanging="0"/>
              <w:rPr/>
            </w:pPr>
            <w:r>
              <w:rPr/>
              <w:t> </w:t>
            </w:r>
          </w:p>
        </w:tc>
        <w:tc>
          <w:tcPr>
            <w:tcW w:w="130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36.6</w:t>
            </w:r>
          </w:p>
        </w:tc>
        <w:tc>
          <w:tcPr>
            <w:tcW w:w="385" w:type="dxa"/>
            <w:tcBorders/>
            <w:shd w:fill="CCEEFF" w:val="clear"/>
            <w:vAlign w:val="bottom"/>
          </w:tcPr>
          <w:p>
            <w:pPr>
              <w:pStyle w:val="TableContents"/>
              <w:spacing w:before="0" w:after="0"/>
              <w:ind w:left="0" w:right="0" w:hanging="0"/>
              <w:rPr/>
            </w:pPr>
            <w:r>
              <w:rPr/>
              <w:t> </w:t>
            </w:r>
          </w:p>
        </w:tc>
      </w:tr>
      <w:tr>
        <w:trPr/>
        <w:tc>
          <w:tcPr>
            <w:tcW w:w="70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00" w:type="dxa"/>
            <w:tcBorders/>
            <w:shd w:fill="auto" w:val="clear"/>
            <w:vAlign w:val="bottom"/>
          </w:tcPr>
          <w:p>
            <w:pPr>
              <w:pStyle w:val="TableContents"/>
              <w:spacing w:before="0" w:after="0"/>
              <w:ind w:left="0" w:right="0" w:hanging="0"/>
              <w:rPr/>
            </w:pPr>
            <w:r>
              <w:rPr/>
              <w:t> </w:t>
            </w:r>
          </w:p>
        </w:tc>
        <w:tc>
          <w:tcPr>
            <w:tcW w:w="110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1,526.1</w:t>
            </w:r>
          </w:p>
        </w:tc>
        <w:tc>
          <w:tcPr>
            <w:tcW w:w="126" w:type="dxa"/>
            <w:tcBorders/>
            <w:shd w:fill="auto" w:val="clear"/>
            <w:vAlign w:val="bottom"/>
          </w:tcPr>
          <w:p>
            <w:pPr>
              <w:pStyle w:val="TableContents"/>
              <w:spacing w:before="0" w:after="0"/>
              <w:ind w:left="0" w:right="0" w:hanging="0"/>
              <w:rPr/>
            </w:pPr>
            <w:r>
              <w:rPr/>
              <w:t> </w:t>
            </w:r>
          </w:p>
        </w:tc>
        <w:tc>
          <w:tcPr>
            <w:tcW w:w="130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1,330.7</w:t>
            </w:r>
          </w:p>
        </w:tc>
        <w:tc>
          <w:tcPr>
            <w:tcW w:w="385" w:type="dxa"/>
            <w:tcBorders/>
            <w:shd w:fill="auto" w:val="clear"/>
            <w:vAlign w:val="bottom"/>
          </w:tcPr>
          <w:p>
            <w:pPr>
              <w:pStyle w:val="TableContents"/>
              <w:spacing w:before="0" w:after="0"/>
              <w:ind w:left="0" w:right="0" w:hanging="0"/>
              <w:rPr/>
            </w:pPr>
            <w:r>
              <w:rPr/>
              <w:t> </w:t>
            </w:r>
          </w:p>
        </w:tc>
      </w:tr>
      <w:tr>
        <w:trPr/>
        <w:tc>
          <w:tcPr>
            <w:tcW w:w="7085" w:type="dxa"/>
            <w:tcBorders/>
            <w:shd w:fill="CCEEFF" w:val="clear"/>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6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6,018.3</w:t>
            </w:r>
          </w:p>
        </w:tc>
        <w:tc>
          <w:tcPr>
            <w:tcW w:w="126" w:type="dxa"/>
            <w:tcBorders/>
            <w:shd w:fill="CCEEFF" w:val="clear"/>
            <w:vAlign w:val="bottom"/>
          </w:tcPr>
          <w:p>
            <w:pPr>
              <w:pStyle w:val="TableContents"/>
              <w:spacing w:before="0" w:after="0"/>
              <w:ind w:left="0" w:right="0" w:hanging="0"/>
              <w:rPr/>
            </w:pPr>
            <w:r>
              <w:rPr/>
              <w:t> </w:t>
            </w:r>
          </w:p>
        </w:tc>
        <w:tc>
          <w:tcPr>
            <w:tcW w:w="172"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4,120.3</w:t>
            </w:r>
          </w:p>
        </w:tc>
        <w:tc>
          <w:tcPr>
            <w:tcW w:w="385" w:type="dxa"/>
            <w:tcBorders/>
            <w:shd w:fill="CCEEFF"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notes are an integral part of these consolidated financial statements.</w:t>
      </w:r>
    </w:p>
    <w:p>
      <w:pPr>
        <w:pStyle w:val="TextBody"/>
        <w:spacing w:before="480" w:after="480"/>
        <w:ind w:left="0" w:right="0" w:hanging="0"/>
        <w:rPr>
          <w:rFonts w:ascii="Times New Roman" w:hAnsi="Times New Roman"/>
          <w:sz w:val="17"/>
        </w:rPr>
      </w:pPr>
      <w:r>
        <w:rPr>
          <w:rFonts w:ascii="Times New Roman" w:hAnsi="Times New Roman"/>
          <w:sz w:val="17"/>
        </w:rPr>
        <w:t>3</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CONSOLIDATED STATEMENTS OF OPERATIONS</w:t>
      </w:r>
      <w:bookmarkStart w:id="6" w:name="ConsolidatedStatementsOfOperation_105510"/>
      <w:bookmarkEnd w:id="6"/>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(in millions, except per unit data)</w:t>
      </w:r>
    </w:p>
    <w:tbl>
      <w:tblPr>
        <w:tblW w:w="5000" w:type="pct"/>
        <w:jc w:val="left"/>
        <w:tblInd w:w="0" w:type="dxa"/>
        <w:tblCellMar>
          <w:top w:w="0" w:type="dxa"/>
          <w:left w:w="0" w:type="dxa"/>
          <w:bottom w:w="0" w:type="dxa"/>
          <w:right w:w="0" w:type="dxa"/>
        </w:tblCellMar>
      </w:tblPr>
      <w:tblGrid>
        <w:gridCol w:w="4716"/>
        <w:gridCol w:w="104"/>
        <w:gridCol w:w="156"/>
        <w:gridCol w:w="1013"/>
        <w:gridCol w:w="125"/>
        <w:gridCol w:w="156"/>
        <w:gridCol w:w="1013"/>
        <w:gridCol w:w="115"/>
        <w:gridCol w:w="132"/>
        <w:gridCol w:w="934"/>
        <w:gridCol w:w="114"/>
        <w:gridCol w:w="132"/>
        <w:gridCol w:w="934"/>
        <w:gridCol w:w="561"/>
      </w:tblGrid>
      <w:tr>
        <w:trPr/>
        <w:tc>
          <w:tcPr>
            <w:tcW w:w="4716" w:type="dxa"/>
            <w:tcBorders/>
            <w:shd w:fill="auto" w:val="clear"/>
            <w:vAlign w:val="bottom"/>
          </w:tcPr>
          <w:p>
            <w:pPr>
              <w:pStyle w:val="TableContents"/>
              <w:spacing w:lineRule="atLeast" w:line="160" w:before="0" w:after="0"/>
              <w:ind w:left="0" w:right="0" w:hanging="0"/>
              <w:rPr/>
            </w:pPr>
            <w:r>
              <w:rPr/>
              <w:t> </w:t>
            </w:r>
          </w:p>
        </w:tc>
        <w:tc>
          <w:tcPr>
            <w:tcW w:w="104" w:type="dxa"/>
            <w:tcBorders/>
            <w:shd w:fill="auto" w:val="clear"/>
            <w:vAlign w:val="bottom"/>
          </w:tcPr>
          <w:p>
            <w:pPr>
              <w:pStyle w:val="TableContents"/>
              <w:spacing w:lineRule="atLeast" w:line="160" w:before="0" w:after="0"/>
              <w:ind w:left="0" w:right="0" w:hanging="0"/>
              <w:rPr/>
            </w:pPr>
            <w:r>
              <w:rPr/>
              <w:t> </w:t>
            </w:r>
          </w:p>
        </w:tc>
        <w:tc>
          <w:tcPr>
            <w:tcW w:w="2463"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 June 30,</w:t>
            </w:r>
          </w:p>
        </w:tc>
        <w:tc>
          <w:tcPr>
            <w:tcW w:w="115" w:type="dxa"/>
            <w:tcBorders/>
            <w:shd w:fill="auto" w:val="clear"/>
            <w:vAlign w:val="bottom"/>
          </w:tcPr>
          <w:p>
            <w:pPr>
              <w:pStyle w:val="TableContents"/>
              <w:spacing w:lineRule="atLeast" w:line="160" w:before="0" w:after="0"/>
              <w:ind w:left="0" w:right="0" w:hanging="0"/>
              <w:rPr/>
            </w:pPr>
            <w:r>
              <w:rPr/>
              <w:t> </w:t>
            </w:r>
          </w:p>
        </w:tc>
        <w:tc>
          <w:tcPr>
            <w:tcW w:w="2246"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 Ended June 30,</w:t>
            </w:r>
          </w:p>
        </w:tc>
        <w:tc>
          <w:tcPr>
            <w:tcW w:w="561" w:type="dxa"/>
            <w:tcBorders/>
            <w:shd w:fill="auto" w:val="clear"/>
            <w:vAlign w:val="bottom"/>
          </w:tcPr>
          <w:p>
            <w:pPr>
              <w:pStyle w:val="TableContents"/>
              <w:spacing w:lineRule="atLeast" w:line="160" w:before="0" w:after="0"/>
              <w:ind w:left="0" w:right="0" w:hanging="0"/>
              <w:rPr/>
            </w:pPr>
            <w:r>
              <w:rPr/>
              <w:t> </w:t>
            </w:r>
          </w:p>
        </w:tc>
      </w:tr>
      <w:tr>
        <w:trPr/>
        <w:tc>
          <w:tcPr>
            <w:tcW w:w="4716" w:type="dxa"/>
            <w:tcBorders/>
            <w:shd w:fill="auto" w:val="clear"/>
            <w:vAlign w:val="bottom"/>
          </w:tcPr>
          <w:p>
            <w:pPr>
              <w:pStyle w:val="TableContents"/>
              <w:spacing w:lineRule="atLeast" w:line="160" w:before="0" w:after="0"/>
              <w:ind w:left="0" w:right="0" w:hanging="0"/>
              <w:rPr/>
            </w:pPr>
            <w:r>
              <w:rPr/>
              <w:t> </w:t>
            </w:r>
          </w:p>
        </w:tc>
        <w:tc>
          <w:tcPr>
            <w:tcW w:w="104" w:type="dxa"/>
            <w:tcBorders/>
            <w:shd w:fill="auto" w:val="clear"/>
            <w:vAlign w:val="bottom"/>
          </w:tcPr>
          <w:p>
            <w:pPr>
              <w:pStyle w:val="TableContents"/>
              <w:spacing w:lineRule="atLeast" w:line="160" w:before="0" w:after="0"/>
              <w:ind w:left="0" w:right="0" w:hanging="0"/>
              <w:rPr/>
            </w:pPr>
            <w:r>
              <w:rPr/>
              <w:t> </w:t>
            </w:r>
          </w:p>
        </w:tc>
        <w:tc>
          <w:tcPr>
            <w:tcW w:w="1169"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2006       </w:t>
            </w:r>
          </w:p>
        </w:tc>
        <w:tc>
          <w:tcPr>
            <w:tcW w:w="125" w:type="dxa"/>
            <w:tcBorders/>
            <w:shd w:fill="auto" w:val="clear"/>
            <w:vAlign w:val="bottom"/>
          </w:tcPr>
          <w:p>
            <w:pPr>
              <w:pStyle w:val="TableContents"/>
              <w:spacing w:lineRule="atLeast" w:line="160" w:before="0" w:after="0"/>
              <w:ind w:left="0" w:right="0" w:hanging="0"/>
              <w:rPr/>
            </w:pPr>
            <w:r>
              <w:rPr/>
              <w:t> </w:t>
            </w:r>
          </w:p>
        </w:tc>
        <w:tc>
          <w:tcPr>
            <w:tcW w:w="1169"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2005       </w:t>
            </w:r>
          </w:p>
        </w:tc>
        <w:tc>
          <w:tcPr>
            <w:tcW w:w="115" w:type="dxa"/>
            <w:tcBorders/>
            <w:shd w:fill="auto" w:val="clear"/>
            <w:vAlign w:val="bottom"/>
          </w:tcPr>
          <w:p>
            <w:pPr>
              <w:pStyle w:val="TableContents"/>
              <w:spacing w:lineRule="atLeast" w:line="160" w:before="0" w:after="0"/>
              <w:ind w:left="0" w:right="0" w:hanging="0"/>
              <w:rPr/>
            </w:pPr>
            <w:r>
              <w:rPr/>
              <w:t> </w:t>
            </w:r>
          </w:p>
        </w:tc>
        <w:tc>
          <w:tcPr>
            <w:tcW w:w="1066"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114" w:type="dxa"/>
            <w:tcBorders/>
            <w:shd w:fill="auto" w:val="clear"/>
            <w:vAlign w:val="bottom"/>
          </w:tcPr>
          <w:p>
            <w:pPr>
              <w:pStyle w:val="TableContents"/>
              <w:spacing w:lineRule="atLeast" w:line="160" w:before="0" w:after="0"/>
              <w:ind w:left="0" w:right="0" w:hanging="0"/>
              <w:rPr/>
            </w:pPr>
            <w:r>
              <w:rPr/>
              <w:t> </w:t>
            </w:r>
          </w:p>
        </w:tc>
        <w:tc>
          <w:tcPr>
            <w:tcW w:w="1066"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561" w:type="dxa"/>
            <w:tcBorders/>
            <w:shd w:fill="auto" w:val="clear"/>
            <w:vAlign w:val="bottom"/>
          </w:tcPr>
          <w:p>
            <w:pPr>
              <w:pStyle w:val="TableContents"/>
              <w:spacing w:lineRule="atLeast" w:line="160" w:before="0" w:after="0"/>
              <w:ind w:left="0" w:right="0" w:hanging="0"/>
              <w:rPr/>
            </w:pPr>
            <w:r>
              <w:rPr/>
              <w:t> </w:t>
            </w:r>
          </w:p>
        </w:tc>
      </w:tr>
      <w:tr>
        <w:trPr/>
        <w:tc>
          <w:tcPr>
            <w:tcW w:w="4716" w:type="dxa"/>
            <w:tcBorders/>
            <w:shd w:fill="auto" w:val="clear"/>
            <w:vAlign w:val="bottom"/>
          </w:tcPr>
          <w:p>
            <w:pPr>
              <w:pStyle w:val="TableContents"/>
              <w:spacing w:lineRule="atLeast" w:line="160" w:before="0" w:after="0"/>
              <w:ind w:left="0" w:right="0" w:hanging="0"/>
              <w:rPr/>
            </w:pPr>
            <w:r>
              <w:rPr/>
              <w:t> </w:t>
            </w:r>
          </w:p>
        </w:tc>
        <w:tc>
          <w:tcPr>
            <w:tcW w:w="104" w:type="dxa"/>
            <w:tcBorders/>
            <w:shd w:fill="auto" w:val="clear"/>
            <w:vAlign w:val="bottom"/>
          </w:tcPr>
          <w:p>
            <w:pPr>
              <w:pStyle w:val="TableContents"/>
              <w:spacing w:lineRule="atLeast" w:line="160" w:before="0" w:after="0"/>
              <w:ind w:left="0" w:right="0" w:hanging="0"/>
              <w:rPr/>
            </w:pPr>
            <w:r>
              <w:rPr/>
              <w:t> </w:t>
            </w:r>
          </w:p>
        </w:tc>
        <w:tc>
          <w:tcPr>
            <w:tcW w:w="2463"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(unaudited)</w:t>
            </w:r>
          </w:p>
        </w:tc>
        <w:tc>
          <w:tcPr>
            <w:tcW w:w="115" w:type="dxa"/>
            <w:tcBorders/>
            <w:shd w:fill="auto" w:val="clear"/>
            <w:vAlign w:val="bottom"/>
          </w:tcPr>
          <w:p>
            <w:pPr>
              <w:pStyle w:val="TableContents"/>
              <w:spacing w:lineRule="atLeast" w:line="160" w:before="0" w:after="0"/>
              <w:ind w:left="0" w:right="0" w:hanging="0"/>
              <w:rPr/>
            </w:pPr>
            <w:r>
              <w:rPr/>
              <w:t> </w:t>
            </w:r>
          </w:p>
        </w:tc>
        <w:tc>
          <w:tcPr>
            <w:tcW w:w="2246"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(unaudited)</w:t>
            </w:r>
          </w:p>
        </w:tc>
        <w:tc>
          <w:tcPr>
            <w:tcW w:w="561" w:type="dxa"/>
            <w:tcBorders/>
            <w:shd w:fill="auto" w:val="clear"/>
            <w:vAlign w:val="bottom"/>
          </w:tcPr>
          <w:p>
            <w:pPr>
              <w:pStyle w:val="TableContents"/>
              <w:spacing w:lineRule="atLeast" w:line="160"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104"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pPr>
            <w:r>
              <w:rPr/>
              <w:t> </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 and LPG sales (includes buy/sell transactions of $3,706.1 million in the three months ended June 30, 2005 and $4,717.7 million and $7,125.2 million in the six months ended June 30, 2006 and 2005, respectively)</w:t>
            </w:r>
          </w:p>
        </w:tc>
        <w:tc>
          <w:tcPr>
            <w:tcW w:w="104"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4,635.8</w:t>
            </w:r>
          </w:p>
        </w:tc>
        <w:tc>
          <w:tcPr>
            <w:tcW w:w="125"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6,919.5</w:t>
            </w:r>
          </w:p>
        </w:tc>
        <w:tc>
          <w:tcPr>
            <w:tcW w:w="115"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13,007.8</w:t>
            </w:r>
          </w:p>
        </w:tc>
        <w:tc>
          <w:tcPr>
            <w:tcW w:w="114"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13,337.3</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gathering, marketing, terminalling and storage revenues</w:t>
            </w:r>
          </w:p>
        </w:tc>
        <w:tc>
          <w:tcPr>
            <w:tcW w:w="104"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19.2</w:t>
            </w:r>
          </w:p>
        </w:tc>
        <w:tc>
          <w:tcPr>
            <w:tcW w:w="125"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11.3</w:t>
            </w:r>
          </w:p>
        </w:tc>
        <w:tc>
          <w:tcPr>
            <w:tcW w:w="115"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35.7</w:t>
            </w:r>
          </w:p>
        </w:tc>
        <w:tc>
          <w:tcPr>
            <w:tcW w:w="114"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19.5</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Pipeline margin activities revenues (includes buy/sell transactions of $40.0 million in the three months ended June 30, 2005 and $45.3 million and $73.6 million in the six months ended June 30, 2006 and 2005, respectively)</w:t>
            </w:r>
          </w:p>
        </w:tc>
        <w:tc>
          <w:tcPr>
            <w:tcW w:w="104"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173.8</w:t>
            </w:r>
          </w:p>
        </w:tc>
        <w:tc>
          <w:tcPr>
            <w:tcW w:w="125"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174.9</w:t>
            </w:r>
          </w:p>
        </w:tc>
        <w:tc>
          <w:tcPr>
            <w:tcW w:w="115"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367.7</w:t>
            </w:r>
          </w:p>
        </w:tc>
        <w:tc>
          <w:tcPr>
            <w:tcW w:w="114"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332.5</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Pipeline tariff activities revenues</w:t>
            </w:r>
          </w:p>
        </w:tc>
        <w:tc>
          <w:tcPr>
            <w:tcW w:w="104"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63.6</w:t>
            </w:r>
          </w:p>
        </w:tc>
        <w:tc>
          <w:tcPr>
            <w:tcW w:w="125"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55.0</w:t>
            </w:r>
          </w:p>
        </w:tc>
        <w:tc>
          <w:tcPr>
            <w:tcW w:w="115" w:type="dxa"/>
            <w:tcBorders/>
            <w:shd w:fill="CCEEFF" w:val="clear"/>
            <w:vAlign w:val="bottom"/>
          </w:tcPr>
          <w:p>
            <w:pPr>
              <w:pStyle w:val="TableContents"/>
              <w:spacing w:before="0" w:after="0"/>
              <w:ind w:left="0" w:right="0" w:hanging="0"/>
              <w:rPr/>
            </w:pPr>
            <w:r>
              <w:rPr/>
              <w:t> </w:t>
            </w:r>
          </w:p>
        </w:tc>
        <w:tc>
          <w:tcPr>
            <w:tcW w:w="1066"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116.6</w:t>
            </w:r>
          </w:p>
        </w:tc>
        <w:tc>
          <w:tcPr>
            <w:tcW w:w="114" w:type="dxa"/>
            <w:tcBorders/>
            <w:shd w:fill="CCEEFF" w:val="clear"/>
            <w:vAlign w:val="bottom"/>
          </w:tcPr>
          <w:p>
            <w:pPr>
              <w:pStyle w:val="TableContents"/>
              <w:spacing w:before="0" w:after="0"/>
              <w:ind w:left="0" w:right="0" w:hanging="0"/>
              <w:rPr/>
            </w:pPr>
            <w:r>
              <w:rPr/>
              <w:t> </w:t>
            </w:r>
          </w:p>
        </w:tc>
        <w:tc>
          <w:tcPr>
            <w:tcW w:w="1066"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109.9</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revenues</w:t>
            </w:r>
          </w:p>
        </w:tc>
        <w:tc>
          <w:tcPr>
            <w:tcW w:w="104"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4,892.4</w:t>
            </w:r>
          </w:p>
        </w:tc>
        <w:tc>
          <w:tcPr>
            <w:tcW w:w="125"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7,160.7</w:t>
            </w:r>
          </w:p>
        </w:tc>
        <w:tc>
          <w:tcPr>
            <w:tcW w:w="115"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13,527.8</w:t>
            </w:r>
          </w:p>
        </w:tc>
        <w:tc>
          <w:tcPr>
            <w:tcW w:w="114"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13,799.2</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pPr>
            <w:r>
              <w:rPr/>
              <w:t> </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104"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pPr>
            <w:r>
              <w:rPr/>
              <w:t> </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 and LPG purchases and related costs (includes buy/sell transactions of $3,583.6 million in the three months ended June 30, 2005 and $4,749.4 million and $6,984.5 million in the six months ended June 30, 2006 and 2005, respectively)</w:t>
            </w:r>
          </w:p>
        </w:tc>
        <w:tc>
          <w:tcPr>
            <w:tcW w:w="104"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4,494.6</w:t>
            </w:r>
          </w:p>
        </w:tc>
        <w:tc>
          <w:tcPr>
            <w:tcW w:w="125"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6,804.2</w:t>
            </w:r>
          </w:p>
        </w:tc>
        <w:tc>
          <w:tcPr>
            <w:tcW w:w="115"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12,733.7</w:t>
            </w:r>
          </w:p>
        </w:tc>
        <w:tc>
          <w:tcPr>
            <w:tcW w:w="114"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13,138.9</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Pipeline margin activities purchases (includes buy/sell transactions of $37.3 million in the three months ended June 30, 2005 and $45.7 million and $68.8 million in the six months ended June 30, 2006 and 2005, respectively)</w:t>
            </w:r>
          </w:p>
        </w:tc>
        <w:tc>
          <w:tcPr>
            <w:tcW w:w="104"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165.4</w:t>
            </w:r>
          </w:p>
        </w:tc>
        <w:tc>
          <w:tcPr>
            <w:tcW w:w="125"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167.5</w:t>
            </w:r>
          </w:p>
        </w:tc>
        <w:tc>
          <w:tcPr>
            <w:tcW w:w="115"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353.7</w:t>
            </w:r>
          </w:p>
        </w:tc>
        <w:tc>
          <w:tcPr>
            <w:tcW w:w="114"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319.0</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04"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86.6</w:t>
            </w:r>
          </w:p>
        </w:tc>
        <w:tc>
          <w:tcPr>
            <w:tcW w:w="125"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67.8</w:t>
            </w:r>
          </w:p>
        </w:tc>
        <w:tc>
          <w:tcPr>
            <w:tcW w:w="115"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168.9</w:t>
            </w:r>
          </w:p>
        </w:tc>
        <w:tc>
          <w:tcPr>
            <w:tcW w:w="114"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131.6</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104"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27.4</w:t>
            </w:r>
          </w:p>
        </w:tc>
        <w:tc>
          <w:tcPr>
            <w:tcW w:w="125"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26.1</w:t>
            </w:r>
          </w:p>
        </w:tc>
        <w:tc>
          <w:tcPr>
            <w:tcW w:w="115"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59.2</w:t>
            </w:r>
          </w:p>
        </w:tc>
        <w:tc>
          <w:tcPr>
            <w:tcW w:w="114"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48.3</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04"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21.3</w:t>
            </w:r>
          </w:p>
        </w:tc>
        <w:tc>
          <w:tcPr>
            <w:tcW w:w="125"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19.0</w:t>
            </w:r>
          </w:p>
        </w:tc>
        <w:tc>
          <w:tcPr>
            <w:tcW w:w="115" w:type="dxa"/>
            <w:tcBorders/>
            <w:shd w:fill="CCEEFF" w:val="clear"/>
            <w:vAlign w:val="bottom"/>
          </w:tcPr>
          <w:p>
            <w:pPr>
              <w:pStyle w:val="TableContents"/>
              <w:spacing w:before="0" w:after="0"/>
              <w:ind w:left="0" w:right="0" w:hanging="0"/>
              <w:rPr/>
            </w:pPr>
            <w:r>
              <w:rPr/>
              <w:t> </w:t>
            </w:r>
          </w:p>
        </w:tc>
        <w:tc>
          <w:tcPr>
            <w:tcW w:w="1066"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42.9</w:t>
            </w:r>
          </w:p>
        </w:tc>
        <w:tc>
          <w:tcPr>
            <w:tcW w:w="114" w:type="dxa"/>
            <w:tcBorders/>
            <w:shd w:fill="CCEEFF" w:val="clear"/>
            <w:vAlign w:val="bottom"/>
          </w:tcPr>
          <w:p>
            <w:pPr>
              <w:pStyle w:val="TableContents"/>
              <w:spacing w:before="0" w:after="0"/>
              <w:ind w:left="0" w:right="0" w:hanging="0"/>
              <w:rPr/>
            </w:pPr>
            <w:r>
              <w:rPr/>
              <w:t> </w:t>
            </w:r>
          </w:p>
        </w:tc>
        <w:tc>
          <w:tcPr>
            <w:tcW w:w="1066"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38.1</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104" w:type="dxa"/>
            <w:tcBorders/>
            <w:shd w:fill="auto"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4,795.3</w:t>
            </w:r>
          </w:p>
        </w:tc>
        <w:tc>
          <w:tcPr>
            <w:tcW w:w="125" w:type="dxa"/>
            <w:tcBorders/>
            <w:shd w:fill="auto"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7,084.6</w:t>
            </w:r>
          </w:p>
        </w:tc>
        <w:tc>
          <w:tcPr>
            <w:tcW w:w="115" w:type="dxa"/>
            <w:tcBorders/>
            <w:shd w:fill="auto" w:val="clear"/>
            <w:vAlign w:val="bottom"/>
          </w:tcPr>
          <w:p>
            <w:pPr>
              <w:pStyle w:val="TableContents"/>
              <w:spacing w:before="0" w:after="0"/>
              <w:ind w:left="0" w:right="0" w:hanging="0"/>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13,358.4</w:t>
            </w:r>
          </w:p>
        </w:tc>
        <w:tc>
          <w:tcPr>
            <w:tcW w:w="114" w:type="dxa"/>
            <w:tcBorders/>
            <w:shd w:fill="auto" w:val="clear"/>
            <w:vAlign w:val="bottom"/>
          </w:tcPr>
          <w:p>
            <w:pPr>
              <w:pStyle w:val="TableContents"/>
              <w:spacing w:before="0" w:after="0"/>
              <w:ind w:left="0" w:right="0" w:hanging="0"/>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13,675.9</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104"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97.1</w:t>
            </w:r>
          </w:p>
        </w:tc>
        <w:tc>
          <w:tcPr>
            <w:tcW w:w="125"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76.1</w:t>
            </w:r>
          </w:p>
        </w:tc>
        <w:tc>
          <w:tcPr>
            <w:tcW w:w="115" w:type="dxa"/>
            <w:tcBorders/>
            <w:shd w:fill="CCEEFF" w:val="clear"/>
            <w:vAlign w:val="bottom"/>
          </w:tcPr>
          <w:p>
            <w:pPr>
              <w:pStyle w:val="TableContents"/>
              <w:spacing w:before="0" w:after="0"/>
              <w:ind w:left="0" w:right="0" w:hanging="0"/>
              <w:rPr/>
            </w:pPr>
            <w:r>
              <w:rPr/>
              <w:t> </w:t>
            </w:r>
          </w:p>
        </w:tc>
        <w:tc>
          <w:tcPr>
            <w:tcW w:w="1066"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169.4</w:t>
            </w:r>
          </w:p>
        </w:tc>
        <w:tc>
          <w:tcPr>
            <w:tcW w:w="114" w:type="dxa"/>
            <w:tcBorders/>
            <w:shd w:fill="CCEEFF" w:val="clear"/>
            <w:vAlign w:val="bottom"/>
          </w:tcPr>
          <w:p>
            <w:pPr>
              <w:pStyle w:val="TableContents"/>
              <w:spacing w:before="0" w:after="0"/>
              <w:ind w:left="0" w:right="0" w:hanging="0"/>
              <w:rPr/>
            </w:pPr>
            <w:r>
              <w:rPr/>
              <w:t> </w:t>
            </w:r>
          </w:p>
        </w:tc>
        <w:tc>
          <w:tcPr>
            <w:tcW w:w="1066"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123.3</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pPr>
            <w:r>
              <w:rPr/>
              <w:t> </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104"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pPr>
            <w:r>
              <w:rPr/>
              <w:t> </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pPr>
            <w:r>
              <w:rPr/>
              <w:t> </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PAA/Vulcan Gas Storage, LLC</w:t>
            </w:r>
          </w:p>
        </w:tc>
        <w:tc>
          <w:tcPr>
            <w:tcW w:w="104"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w:t>
            </w:r>
          </w:p>
        </w:tc>
        <w:tc>
          <w:tcPr>
            <w:tcW w:w="125"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0.9</w:t>
            </w:r>
          </w:p>
        </w:tc>
        <w:tc>
          <w:tcPr>
            <w:tcW w:w="114"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pPr>
            <w:r>
              <w:rPr/>
              <w:t> </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expense (net of capitalized interest of $0.9 million and $0.3 million in the three months and $1.7 million and $1.0 million in the six months ended June 30, 2006 and 2005, respectively)</w:t>
            </w:r>
          </w:p>
        </w:tc>
        <w:tc>
          <w:tcPr>
            <w:tcW w:w="104"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(18.0</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(14.3</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6"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(33.3</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6"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(28.8</w:t>
            </w:r>
          </w:p>
        </w:tc>
        <w:tc>
          <w:tcPr>
            <w:tcW w:w="5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income and other income (expense), net</w:t>
            </w:r>
          </w:p>
        </w:tc>
        <w:tc>
          <w:tcPr>
            <w:tcW w:w="104" w:type="dxa"/>
            <w:tcBorders/>
            <w:shd w:fill="auto"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0.1</w:t>
            </w:r>
          </w:p>
        </w:tc>
        <w:tc>
          <w:tcPr>
            <w:tcW w:w="125" w:type="dxa"/>
            <w:tcBorders/>
            <w:shd w:fill="auto"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0.5</w:t>
            </w:r>
          </w:p>
        </w:tc>
        <w:tc>
          <w:tcPr>
            <w:tcW w:w="115" w:type="dxa"/>
            <w:tcBorders/>
            <w:shd w:fill="auto" w:val="clear"/>
            <w:vAlign w:val="bottom"/>
          </w:tcPr>
          <w:p>
            <w:pPr>
              <w:pStyle w:val="TableContents"/>
              <w:spacing w:before="0" w:after="0"/>
              <w:ind w:left="0" w:right="0" w:hanging="0"/>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0.4</w:t>
            </w:r>
          </w:p>
        </w:tc>
        <w:tc>
          <w:tcPr>
            <w:tcW w:w="114" w:type="dxa"/>
            <w:tcBorders/>
            <w:shd w:fill="auto" w:val="clear"/>
            <w:vAlign w:val="bottom"/>
          </w:tcPr>
          <w:p>
            <w:pPr>
              <w:pStyle w:val="TableContents"/>
              <w:spacing w:before="0" w:after="0"/>
              <w:ind w:left="0" w:right="0" w:hanging="0"/>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0.6</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Income before cumulative effect of change in accounting principle</w:t>
            </w:r>
          </w:p>
        </w:tc>
        <w:tc>
          <w:tcPr>
            <w:tcW w:w="104"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80.3</w:t>
            </w:r>
          </w:p>
        </w:tc>
        <w:tc>
          <w:tcPr>
            <w:tcW w:w="125"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62.3</w:t>
            </w:r>
          </w:p>
        </w:tc>
        <w:tc>
          <w:tcPr>
            <w:tcW w:w="115"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137.4</w:t>
            </w:r>
          </w:p>
        </w:tc>
        <w:tc>
          <w:tcPr>
            <w:tcW w:w="114"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95.1</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pPr>
            <w:r>
              <w:rPr/>
              <w:t> </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Cumulative effect of change in accounting principle</w:t>
            </w:r>
          </w:p>
        </w:tc>
        <w:tc>
          <w:tcPr>
            <w:tcW w:w="104"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1066"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6.3</w:t>
            </w:r>
          </w:p>
        </w:tc>
        <w:tc>
          <w:tcPr>
            <w:tcW w:w="114" w:type="dxa"/>
            <w:tcBorders/>
            <w:shd w:fill="CCEEFF" w:val="clear"/>
            <w:vAlign w:val="bottom"/>
          </w:tcPr>
          <w:p>
            <w:pPr>
              <w:pStyle w:val="TableContents"/>
              <w:spacing w:before="0" w:after="0"/>
              <w:ind w:left="0" w:right="0" w:hanging="0"/>
              <w:rPr/>
            </w:pPr>
            <w:r>
              <w:rPr/>
              <w:t> </w:t>
            </w:r>
          </w:p>
        </w:tc>
        <w:tc>
          <w:tcPr>
            <w:tcW w:w="1066"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pPr>
            <w:r>
              <w:rPr/>
              <w:t> </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104" w:type="dxa"/>
            <w:tcBorders/>
            <w:shd w:fill="CCEEFF" w:val="clear"/>
            <w:vAlign w:val="bottom"/>
          </w:tcPr>
          <w:p>
            <w:pPr>
              <w:pStyle w:val="TableContents"/>
              <w:spacing w:before="0" w:after="0"/>
              <w:ind w:left="0" w:right="0" w:hanging="0"/>
              <w:rPr/>
            </w:pPr>
            <w:r>
              <w:rPr/>
              <w:t> </w:t>
            </w:r>
          </w:p>
        </w:tc>
        <w:tc>
          <w:tcPr>
            <w:tcW w:w="156"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80.3</w:t>
            </w:r>
          </w:p>
        </w:tc>
        <w:tc>
          <w:tcPr>
            <w:tcW w:w="125" w:type="dxa"/>
            <w:tcBorders/>
            <w:shd w:fill="CCEEFF" w:val="clear"/>
            <w:vAlign w:val="bottom"/>
          </w:tcPr>
          <w:p>
            <w:pPr>
              <w:pStyle w:val="TableContents"/>
              <w:spacing w:before="0" w:after="0"/>
              <w:ind w:left="0" w:right="0" w:hanging="0"/>
              <w:rPr/>
            </w:pPr>
            <w:r>
              <w:rPr/>
              <w:t> </w:t>
            </w:r>
          </w:p>
        </w:tc>
        <w:tc>
          <w:tcPr>
            <w:tcW w:w="156"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62.3</w:t>
            </w:r>
          </w:p>
        </w:tc>
        <w:tc>
          <w:tcPr>
            <w:tcW w:w="115"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143.7</w:t>
            </w:r>
          </w:p>
        </w:tc>
        <w:tc>
          <w:tcPr>
            <w:tcW w:w="114"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95.1</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NET INCOME-LIMITED PARTNERS</w:t>
            </w:r>
          </w:p>
        </w:tc>
        <w:tc>
          <w:tcPr>
            <w:tcW w:w="104" w:type="dxa"/>
            <w:tcBorders/>
            <w:shd w:fill="auto" w:val="clear"/>
            <w:vAlign w:val="bottom"/>
          </w:tcPr>
          <w:p>
            <w:pPr>
              <w:pStyle w:val="TableContents"/>
              <w:spacing w:before="0" w:after="0"/>
              <w:ind w:left="0" w:right="0" w:hanging="0"/>
              <w:rPr/>
            </w:pPr>
            <w:r>
              <w:rPr/>
              <w:t> </w:t>
            </w:r>
          </w:p>
        </w:tc>
        <w:tc>
          <w:tcPr>
            <w:tcW w:w="156"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71.4</w:t>
            </w:r>
          </w:p>
        </w:tc>
        <w:tc>
          <w:tcPr>
            <w:tcW w:w="125" w:type="dxa"/>
            <w:tcBorders/>
            <w:shd w:fill="auto" w:val="clear"/>
            <w:vAlign w:val="bottom"/>
          </w:tcPr>
          <w:p>
            <w:pPr>
              <w:pStyle w:val="TableContents"/>
              <w:spacing w:before="0" w:after="0"/>
              <w:ind w:left="0" w:right="0" w:hanging="0"/>
              <w:rPr/>
            </w:pPr>
            <w:r>
              <w:rPr/>
              <w:t> </w:t>
            </w:r>
          </w:p>
        </w:tc>
        <w:tc>
          <w:tcPr>
            <w:tcW w:w="156"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57.6</w:t>
            </w:r>
          </w:p>
        </w:tc>
        <w:tc>
          <w:tcPr>
            <w:tcW w:w="115"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128.2</w:t>
            </w:r>
          </w:p>
        </w:tc>
        <w:tc>
          <w:tcPr>
            <w:tcW w:w="114"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86.9</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NET INCOME-GENERAL PARTNER</w:t>
            </w:r>
          </w:p>
        </w:tc>
        <w:tc>
          <w:tcPr>
            <w:tcW w:w="104" w:type="dxa"/>
            <w:tcBorders/>
            <w:shd w:fill="CCEEFF" w:val="clear"/>
            <w:vAlign w:val="bottom"/>
          </w:tcPr>
          <w:p>
            <w:pPr>
              <w:pStyle w:val="TableContents"/>
              <w:spacing w:before="0" w:after="0"/>
              <w:ind w:left="0" w:right="0" w:hanging="0"/>
              <w:rPr/>
            </w:pPr>
            <w:r>
              <w:rPr/>
              <w:t> </w:t>
            </w:r>
          </w:p>
        </w:tc>
        <w:tc>
          <w:tcPr>
            <w:tcW w:w="156"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8.9</w:t>
            </w:r>
          </w:p>
        </w:tc>
        <w:tc>
          <w:tcPr>
            <w:tcW w:w="125" w:type="dxa"/>
            <w:tcBorders/>
            <w:shd w:fill="CCEEFF" w:val="clear"/>
            <w:vAlign w:val="bottom"/>
          </w:tcPr>
          <w:p>
            <w:pPr>
              <w:pStyle w:val="TableContents"/>
              <w:spacing w:before="0" w:after="0"/>
              <w:ind w:left="0" w:right="0" w:hanging="0"/>
              <w:rPr/>
            </w:pPr>
            <w:r>
              <w:rPr/>
              <w:t> </w:t>
            </w:r>
          </w:p>
        </w:tc>
        <w:tc>
          <w:tcPr>
            <w:tcW w:w="156"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4.7</w:t>
            </w:r>
          </w:p>
        </w:tc>
        <w:tc>
          <w:tcPr>
            <w:tcW w:w="115"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15.5</w:t>
            </w:r>
          </w:p>
        </w:tc>
        <w:tc>
          <w:tcPr>
            <w:tcW w:w="114"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8.2</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pPr>
            <w:r>
              <w:rPr/>
              <w:t> </w:t>
            </w:r>
          </w:p>
        </w:tc>
        <w:tc>
          <w:tcPr>
            <w:tcW w:w="104"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pPr>
            <w:r>
              <w:rPr/>
              <w:t> </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104"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pPr>
            <w:r>
              <w:rPr/>
              <w:t> </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Income before cumulative effect of change in accounting principle</w:t>
            </w:r>
          </w:p>
        </w:tc>
        <w:tc>
          <w:tcPr>
            <w:tcW w:w="104"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0.82</w:t>
            </w:r>
          </w:p>
        </w:tc>
        <w:tc>
          <w:tcPr>
            <w:tcW w:w="125"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0.76</w:t>
            </w:r>
          </w:p>
        </w:tc>
        <w:tc>
          <w:tcPr>
            <w:tcW w:w="115"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1.47</w:t>
            </w:r>
          </w:p>
        </w:tc>
        <w:tc>
          <w:tcPr>
            <w:tcW w:w="114"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1.27</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Cumulative effect of change in accounting principle</w:t>
            </w:r>
          </w:p>
        </w:tc>
        <w:tc>
          <w:tcPr>
            <w:tcW w:w="104"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 w:type="dxa"/>
            <w:tcBorders/>
            <w:shd w:fill="CCEEFF"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CCEEFF" w:val="clear"/>
            <w:vAlign w:val="bottom"/>
          </w:tcPr>
          <w:p>
            <w:pPr>
              <w:pStyle w:val="TableContents"/>
              <w:spacing w:before="0" w:after="0"/>
              <w:ind w:left="0" w:right="0" w:hanging="0"/>
              <w:rPr/>
            </w:pPr>
            <w:r>
              <w:rPr/>
              <w:t> </w:t>
            </w:r>
          </w:p>
        </w:tc>
        <w:tc>
          <w:tcPr>
            <w:tcW w:w="1066"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0.08</w:t>
            </w:r>
          </w:p>
        </w:tc>
        <w:tc>
          <w:tcPr>
            <w:tcW w:w="114" w:type="dxa"/>
            <w:tcBorders/>
            <w:shd w:fill="CCEEFF" w:val="clear"/>
            <w:vAlign w:val="bottom"/>
          </w:tcPr>
          <w:p>
            <w:pPr>
              <w:pStyle w:val="TableContents"/>
              <w:spacing w:before="0" w:after="0"/>
              <w:ind w:left="0" w:right="0" w:hanging="0"/>
              <w:rPr/>
            </w:pPr>
            <w:r>
              <w:rPr/>
              <w:t> </w:t>
            </w:r>
          </w:p>
        </w:tc>
        <w:tc>
          <w:tcPr>
            <w:tcW w:w="1066"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04" w:type="dxa"/>
            <w:tcBorders/>
            <w:shd w:fill="auto" w:val="clear"/>
            <w:vAlign w:val="bottom"/>
          </w:tcPr>
          <w:p>
            <w:pPr>
              <w:pStyle w:val="TableContents"/>
              <w:spacing w:before="0" w:after="0"/>
              <w:ind w:left="0" w:right="0" w:hanging="0"/>
              <w:rPr/>
            </w:pPr>
            <w:r>
              <w:rPr/>
              <w:t> </w:t>
            </w:r>
          </w:p>
        </w:tc>
        <w:tc>
          <w:tcPr>
            <w:tcW w:w="156"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0.82</w:t>
            </w:r>
          </w:p>
        </w:tc>
        <w:tc>
          <w:tcPr>
            <w:tcW w:w="125" w:type="dxa"/>
            <w:tcBorders/>
            <w:shd w:fill="auto" w:val="clear"/>
            <w:vAlign w:val="bottom"/>
          </w:tcPr>
          <w:p>
            <w:pPr>
              <w:pStyle w:val="TableContents"/>
              <w:spacing w:before="0" w:after="0"/>
              <w:ind w:left="0" w:right="0" w:hanging="0"/>
              <w:rPr/>
            </w:pPr>
            <w:r>
              <w:rPr/>
              <w:t> </w:t>
            </w:r>
          </w:p>
        </w:tc>
        <w:tc>
          <w:tcPr>
            <w:tcW w:w="156"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1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0.76</w:t>
            </w:r>
          </w:p>
        </w:tc>
        <w:tc>
          <w:tcPr>
            <w:tcW w:w="115"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1.55</w:t>
            </w:r>
          </w:p>
        </w:tc>
        <w:tc>
          <w:tcPr>
            <w:tcW w:w="114" w:type="dxa"/>
            <w:tcBorders/>
            <w:shd w:fill="auto" w:val="clear"/>
            <w:vAlign w:val="bottom"/>
          </w:tcPr>
          <w:p>
            <w:pPr>
              <w:pStyle w:val="TableContents"/>
              <w:spacing w:before="0" w:after="0"/>
              <w:ind w:left="0" w:right="0" w:hanging="0"/>
              <w:rPr/>
            </w:pPr>
            <w:r>
              <w:rPr/>
              <w:t> </w:t>
            </w:r>
          </w:p>
        </w:tc>
        <w:tc>
          <w:tcPr>
            <w:tcW w:w="132"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1.27</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pPr>
            <w:r>
              <w:rPr/>
              <w:t> </w:t>
            </w:r>
          </w:p>
        </w:tc>
        <w:tc>
          <w:tcPr>
            <w:tcW w:w="104"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pPr>
            <w:r>
              <w:rPr/>
              <w:t> </w:t>
            </w:r>
          </w:p>
        </w:tc>
        <w:tc>
          <w:tcPr>
            <w:tcW w:w="1169" w:type="dxa"/>
            <w:gridSpan w:val="2"/>
            <w:tcBorders/>
            <w:shd w:fill="CCEEFF" w:val="clear"/>
            <w:vAlign w:val="bottom"/>
          </w:tcPr>
          <w:p>
            <w:pPr>
              <w:pStyle w:val="TableContents"/>
              <w:spacing w:before="0" w:after="0"/>
              <w:ind w:left="0" w:right="0" w:hanging="0"/>
              <w:rPr/>
            </w:pPr>
            <w:r>
              <w:rPr/>
              <w:t> </w:t>
            </w:r>
          </w:p>
        </w:tc>
        <w:tc>
          <w:tcPr>
            <w:tcW w:w="115"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pPr>
            <w:r>
              <w:rPr/>
              <w:t> </w:t>
            </w:r>
          </w:p>
        </w:tc>
        <w:tc>
          <w:tcPr>
            <w:tcW w:w="1066" w:type="dxa"/>
            <w:gridSpan w:val="2"/>
            <w:tcBorders/>
            <w:shd w:fill="CCEEFF" w:val="clear"/>
            <w:vAlign w:val="bottom"/>
          </w:tcPr>
          <w:p>
            <w:pPr>
              <w:pStyle w:val="TableContents"/>
              <w:spacing w:before="0" w:after="0"/>
              <w:ind w:left="0" w:right="0" w:hanging="0"/>
              <w:rPr/>
            </w:pPr>
            <w:r>
              <w:rPr/>
              <w:t> </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104"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pPr>
            <w:r>
              <w:rPr/>
              <w:t> </w:t>
            </w:r>
          </w:p>
        </w:tc>
        <w:tc>
          <w:tcPr>
            <w:tcW w:w="1169" w:type="dxa"/>
            <w:gridSpan w:val="2"/>
            <w:tcBorders/>
            <w:shd w:fill="auto" w:val="clear"/>
            <w:vAlign w:val="bottom"/>
          </w:tcPr>
          <w:p>
            <w:pPr>
              <w:pStyle w:val="TableContents"/>
              <w:spacing w:before="0" w:after="0"/>
              <w:ind w:left="0" w:right="0" w:hanging="0"/>
              <w:rPr/>
            </w:pPr>
            <w:r>
              <w:rPr/>
              <w:t> </w:t>
            </w:r>
          </w:p>
        </w:tc>
        <w:tc>
          <w:tcPr>
            <w:tcW w:w="115"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pPr>
            <w:r>
              <w:rPr/>
              <w:t> </w:t>
            </w:r>
          </w:p>
        </w:tc>
        <w:tc>
          <w:tcPr>
            <w:tcW w:w="114" w:type="dxa"/>
            <w:tcBorders/>
            <w:shd w:fill="auto" w:val="clear"/>
            <w:vAlign w:val="bottom"/>
          </w:tcPr>
          <w:p>
            <w:pPr>
              <w:pStyle w:val="TableContents"/>
              <w:spacing w:before="0" w:after="0"/>
              <w:ind w:left="0" w:right="0" w:hanging="0"/>
              <w:rPr/>
            </w:pPr>
            <w:r>
              <w:rPr/>
              <w:t> </w:t>
            </w:r>
          </w:p>
        </w:tc>
        <w:tc>
          <w:tcPr>
            <w:tcW w:w="1066" w:type="dxa"/>
            <w:gridSpan w:val="2"/>
            <w:tcBorders/>
            <w:shd w:fill="auto" w:val="clear"/>
            <w:vAlign w:val="bottom"/>
          </w:tcPr>
          <w:p>
            <w:pPr>
              <w:pStyle w:val="TableContents"/>
              <w:spacing w:before="0" w:after="0"/>
              <w:ind w:left="0" w:right="0" w:hanging="0"/>
              <w:rPr/>
            </w:pPr>
            <w:r>
              <w:rPr/>
              <w:t> </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Income before cumulative effect of change in accounting principle</w:t>
            </w:r>
          </w:p>
        </w:tc>
        <w:tc>
          <w:tcPr>
            <w:tcW w:w="104" w:type="dxa"/>
            <w:tcBorders/>
            <w:shd w:fill="CCEEFF" w:val="clear"/>
            <w:vAlign w:val="bottom"/>
          </w:tcPr>
          <w:p>
            <w:pPr>
              <w:pStyle w:val="TableContents"/>
              <w:spacing w:before="0" w:after="0"/>
              <w:ind w:left="0" w:right="0" w:hanging="0"/>
              <w:rPr/>
            </w:pPr>
            <w:r>
              <w:rPr/>
              <w:t> </w:t>
            </w:r>
          </w:p>
        </w:tc>
        <w:tc>
          <w:tcPr>
            <w:tcW w:w="156"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0.81</w:t>
            </w:r>
          </w:p>
        </w:tc>
        <w:tc>
          <w:tcPr>
            <w:tcW w:w="125" w:type="dxa"/>
            <w:tcBorders/>
            <w:shd w:fill="CCEEFF" w:val="clear"/>
            <w:vAlign w:val="bottom"/>
          </w:tcPr>
          <w:p>
            <w:pPr>
              <w:pStyle w:val="TableContents"/>
              <w:spacing w:before="0" w:after="0"/>
              <w:ind w:left="0" w:right="0" w:hanging="0"/>
              <w:rPr/>
            </w:pPr>
            <w:r>
              <w:rPr/>
              <w:t> </w:t>
            </w:r>
          </w:p>
        </w:tc>
        <w:tc>
          <w:tcPr>
            <w:tcW w:w="156"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0.74</w:t>
            </w:r>
          </w:p>
        </w:tc>
        <w:tc>
          <w:tcPr>
            <w:tcW w:w="115"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1.45</w:t>
            </w:r>
          </w:p>
        </w:tc>
        <w:tc>
          <w:tcPr>
            <w:tcW w:w="114"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1.26</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Cumulative effect of change in accounting principle</w:t>
            </w:r>
          </w:p>
        </w:tc>
        <w:tc>
          <w:tcPr>
            <w:tcW w:w="104" w:type="dxa"/>
            <w:tcBorders/>
            <w:shd w:fill="auto"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 w:type="dxa"/>
            <w:tcBorders/>
            <w:shd w:fill="auto" w:val="clear"/>
            <w:vAlign w:val="bottom"/>
          </w:tcPr>
          <w:p>
            <w:pPr>
              <w:pStyle w:val="TableContents"/>
              <w:spacing w:before="0" w:after="0"/>
              <w:ind w:left="0" w:right="0" w:hanging="0"/>
              <w:rPr/>
            </w:pPr>
            <w:r>
              <w:rPr/>
              <w:t> </w:t>
            </w:r>
          </w:p>
        </w:tc>
        <w:tc>
          <w:tcPr>
            <w:tcW w:w="116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5" w:type="dxa"/>
            <w:tcBorders/>
            <w:shd w:fill="auto" w:val="clear"/>
            <w:vAlign w:val="bottom"/>
          </w:tcPr>
          <w:p>
            <w:pPr>
              <w:pStyle w:val="TableContents"/>
              <w:spacing w:before="0" w:after="0"/>
              <w:ind w:left="0" w:right="0" w:hanging="0"/>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0.08</w:t>
            </w:r>
          </w:p>
        </w:tc>
        <w:tc>
          <w:tcPr>
            <w:tcW w:w="114" w:type="dxa"/>
            <w:tcBorders/>
            <w:shd w:fill="auto" w:val="clear"/>
            <w:vAlign w:val="bottom"/>
          </w:tcPr>
          <w:p>
            <w:pPr>
              <w:pStyle w:val="TableContents"/>
              <w:spacing w:before="0" w:after="0"/>
              <w:ind w:left="0" w:right="0" w:hanging="0"/>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04" w:type="dxa"/>
            <w:tcBorders/>
            <w:shd w:fill="CCEEFF" w:val="clear"/>
            <w:vAlign w:val="bottom"/>
          </w:tcPr>
          <w:p>
            <w:pPr>
              <w:pStyle w:val="TableContents"/>
              <w:spacing w:before="0" w:after="0"/>
              <w:ind w:left="0" w:right="0" w:hanging="0"/>
              <w:rPr/>
            </w:pPr>
            <w:r>
              <w:rPr/>
              <w:t> </w:t>
            </w:r>
          </w:p>
        </w:tc>
        <w:tc>
          <w:tcPr>
            <w:tcW w:w="156"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0.81</w:t>
            </w:r>
          </w:p>
        </w:tc>
        <w:tc>
          <w:tcPr>
            <w:tcW w:w="125" w:type="dxa"/>
            <w:tcBorders/>
            <w:shd w:fill="CCEEFF" w:val="clear"/>
            <w:vAlign w:val="bottom"/>
          </w:tcPr>
          <w:p>
            <w:pPr>
              <w:pStyle w:val="TableContents"/>
              <w:spacing w:before="0" w:after="0"/>
              <w:ind w:left="0" w:right="0" w:hanging="0"/>
              <w:rPr/>
            </w:pPr>
            <w:r>
              <w:rPr/>
              <w:t> </w:t>
            </w:r>
          </w:p>
        </w:tc>
        <w:tc>
          <w:tcPr>
            <w:tcW w:w="156"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0.74</w:t>
            </w:r>
          </w:p>
        </w:tc>
        <w:tc>
          <w:tcPr>
            <w:tcW w:w="115"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1.53</w:t>
            </w:r>
          </w:p>
        </w:tc>
        <w:tc>
          <w:tcPr>
            <w:tcW w:w="114" w:type="dxa"/>
            <w:tcBorders/>
            <w:shd w:fill="CCEEFF" w:val="clear"/>
            <w:vAlign w:val="bottom"/>
          </w:tcPr>
          <w:p>
            <w:pPr>
              <w:pStyle w:val="TableContents"/>
              <w:spacing w:before="0" w:after="0"/>
              <w:ind w:left="0" w:right="0" w:hanging="0"/>
              <w:rPr/>
            </w:pPr>
            <w:r>
              <w:rPr/>
              <w:t> </w:t>
            </w:r>
          </w:p>
        </w:tc>
        <w:tc>
          <w:tcPr>
            <w:tcW w:w="132"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1.26</w:t>
            </w:r>
          </w:p>
        </w:tc>
        <w:tc>
          <w:tcPr>
            <w:tcW w:w="561" w:type="dxa"/>
            <w:tcBorders/>
            <w:shd w:fill="CCEEFF" w:val="clear"/>
            <w:vAlign w:val="bottom"/>
          </w:tcPr>
          <w:p>
            <w:pPr>
              <w:pStyle w:val="TableContents"/>
              <w:spacing w:before="0" w:after="0"/>
              <w:ind w:left="0" w:right="0" w:hanging="0"/>
              <w:rPr/>
            </w:pPr>
            <w:r>
              <w:rPr/>
              <w:t> </w:t>
            </w:r>
          </w:p>
        </w:tc>
      </w:tr>
      <w:tr>
        <w:trPr/>
        <w:tc>
          <w:tcPr>
            <w:tcW w:w="4716"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104" w:type="dxa"/>
            <w:tcBorders/>
            <w:shd w:fill="auto" w:val="clear"/>
            <w:vAlign w:val="bottom"/>
          </w:tcPr>
          <w:p>
            <w:pPr>
              <w:pStyle w:val="TableContents"/>
              <w:spacing w:before="0" w:after="0"/>
              <w:ind w:left="0" w:right="0" w:hanging="0"/>
              <w:rPr/>
            </w:pPr>
            <w:r>
              <w:rPr/>
              <w:t> </w:t>
            </w:r>
          </w:p>
        </w:tc>
        <w:tc>
          <w:tcPr>
            <w:tcW w:w="1169"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77.0</w:t>
            </w:r>
          </w:p>
        </w:tc>
        <w:tc>
          <w:tcPr>
            <w:tcW w:w="125" w:type="dxa"/>
            <w:tcBorders/>
            <w:shd w:fill="auto" w:val="clear"/>
            <w:vAlign w:val="bottom"/>
          </w:tcPr>
          <w:p>
            <w:pPr>
              <w:pStyle w:val="TableContents"/>
              <w:spacing w:before="0" w:after="0"/>
              <w:ind w:left="0" w:right="0" w:hanging="0"/>
              <w:rPr/>
            </w:pPr>
            <w:r>
              <w:rPr/>
              <w:t> </w:t>
            </w:r>
          </w:p>
        </w:tc>
        <w:tc>
          <w:tcPr>
            <w:tcW w:w="1169"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67.9</w:t>
            </w:r>
          </w:p>
        </w:tc>
        <w:tc>
          <w:tcPr>
            <w:tcW w:w="115" w:type="dxa"/>
            <w:tcBorders/>
            <w:shd w:fill="auto" w:val="clear"/>
            <w:vAlign w:val="bottom"/>
          </w:tcPr>
          <w:p>
            <w:pPr>
              <w:pStyle w:val="TableContents"/>
              <w:spacing w:before="0" w:after="0"/>
              <w:ind w:left="0" w:right="0" w:hanging="0"/>
              <w:rPr/>
            </w:pPr>
            <w:r>
              <w:rPr/>
              <w:t> </w:t>
            </w:r>
          </w:p>
        </w:tc>
        <w:tc>
          <w:tcPr>
            <w:tcW w:w="1066"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75.5</w:t>
            </w:r>
          </w:p>
        </w:tc>
        <w:tc>
          <w:tcPr>
            <w:tcW w:w="114" w:type="dxa"/>
            <w:tcBorders/>
            <w:shd w:fill="auto" w:val="clear"/>
            <w:vAlign w:val="bottom"/>
          </w:tcPr>
          <w:p>
            <w:pPr>
              <w:pStyle w:val="TableContents"/>
              <w:spacing w:before="0" w:after="0"/>
              <w:ind w:left="0" w:right="0" w:hanging="0"/>
              <w:rPr/>
            </w:pPr>
            <w:r>
              <w:rPr/>
              <w:t> </w:t>
            </w:r>
          </w:p>
        </w:tc>
        <w:tc>
          <w:tcPr>
            <w:tcW w:w="1066"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67.7</w:t>
            </w:r>
          </w:p>
        </w:tc>
        <w:tc>
          <w:tcPr>
            <w:tcW w:w="561" w:type="dxa"/>
            <w:tcBorders/>
            <w:shd w:fill="auto" w:val="clear"/>
            <w:vAlign w:val="bottom"/>
          </w:tcPr>
          <w:p>
            <w:pPr>
              <w:pStyle w:val="TableContents"/>
              <w:spacing w:before="0" w:after="0"/>
              <w:ind w:left="0" w:right="0" w:hanging="0"/>
              <w:rPr/>
            </w:pPr>
            <w:r>
              <w:rPr/>
              <w:t> </w:t>
            </w:r>
          </w:p>
        </w:tc>
      </w:tr>
      <w:tr>
        <w:trPr/>
        <w:tc>
          <w:tcPr>
            <w:tcW w:w="471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104" w:type="dxa"/>
            <w:tcBorders/>
            <w:shd w:fill="CCEEFF" w:val="clear"/>
            <w:vAlign w:val="bottom"/>
          </w:tcPr>
          <w:p>
            <w:pPr>
              <w:pStyle w:val="TableContents"/>
              <w:spacing w:before="0" w:after="0"/>
              <w:ind w:left="0" w:right="0" w:hanging="0"/>
              <w:rPr/>
            </w:pPr>
            <w:r>
              <w:rPr/>
              <w:t> </w:t>
            </w:r>
          </w:p>
        </w:tc>
        <w:tc>
          <w:tcPr>
            <w:tcW w:w="1169"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77.8</w:t>
            </w:r>
          </w:p>
        </w:tc>
        <w:tc>
          <w:tcPr>
            <w:tcW w:w="125" w:type="dxa"/>
            <w:tcBorders/>
            <w:shd w:fill="CCEEFF" w:val="clear"/>
            <w:vAlign w:val="bottom"/>
          </w:tcPr>
          <w:p>
            <w:pPr>
              <w:pStyle w:val="TableContents"/>
              <w:spacing w:before="0" w:after="0"/>
              <w:ind w:left="0" w:right="0" w:hanging="0"/>
              <w:rPr/>
            </w:pPr>
            <w:r>
              <w:rPr/>
              <w:t> </w:t>
            </w:r>
          </w:p>
        </w:tc>
        <w:tc>
          <w:tcPr>
            <w:tcW w:w="1169"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69.3</w:t>
            </w:r>
          </w:p>
        </w:tc>
        <w:tc>
          <w:tcPr>
            <w:tcW w:w="115" w:type="dxa"/>
            <w:tcBorders/>
            <w:shd w:fill="CCEEFF" w:val="clear"/>
            <w:vAlign w:val="bottom"/>
          </w:tcPr>
          <w:p>
            <w:pPr>
              <w:pStyle w:val="TableContents"/>
              <w:spacing w:before="0" w:after="0"/>
              <w:ind w:left="0" w:right="0" w:hanging="0"/>
              <w:rPr/>
            </w:pPr>
            <w:r>
              <w:rPr/>
              <w:t> </w:t>
            </w:r>
          </w:p>
        </w:tc>
        <w:tc>
          <w:tcPr>
            <w:tcW w:w="1066"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76.3</w:t>
            </w:r>
          </w:p>
        </w:tc>
        <w:tc>
          <w:tcPr>
            <w:tcW w:w="114" w:type="dxa"/>
            <w:tcBorders/>
            <w:shd w:fill="CCEEFF" w:val="clear"/>
            <w:vAlign w:val="bottom"/>
          </w:tcPr>
          <w:p>
            <w:pPr>
              <w:pStyle w:val="TableContents"/>
              <w:spacing w:before="0" w:after="0"/>
              <w:ind w:left="0" w:right="0" w:hanging="0"/>
              <w:rPr/>
            </w:pPr>
            <w:r>
              <w:rPr/>
              <w:t> </w:t>
            </w:r>
          </w:p>
        </w:tc>
        <w:tc>
          <w:tcPr>
            <w:tcW w:w="1066"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68.7</w:t>
            </w:r>
          </w:p>
        </w:tc>
        <w:tc>
          <w:tcPr>
            <w:tcW w:w="561" w:type="dxa"/>
            <w:tcBorders/>
            <w:shd w:fill="CCEEFF"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notes are an integral part of these consolidated financial statements.</w:t>
      </w:r>
    </w:p>
    <w:p>
      <w:pPr>
        <w:pStyle w:val="TextBody"/>
        <w:spacing w:before="480" w:after="480"/>
        <w:ind w:left="0" w:right="0" w:hanging="0"/>
        <w:rPr>
          <w:rFonts w:ascii="Times New Roman" w:hAnsi="Times New Roman"/>
          <w:sz w:val="17"/>
        </w:rPr>
      </w:pPr>
      <w:r>
        <w:rPr>
          <w:rFonts w:ascii="Times New Roman" w:hAnsi="Times New Roman"/>
          <w:sz w:val="17"/>
        </w:rPr>
        <w:t>4</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 xml:space="preserve">PLAINS ALL AMERICAN PIPELINE, L.P. AND SUBSIDIARIES </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CONSOLIDATED STATEMENTS OF CASH FLOWS</w:t>
      </w:r>
      <w:bookmarkStart w:id="7" w:name="ConsolidatedStatementsOfCashFlows_111731"/>
      <w:bookmarkEnd w:id="7"/>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(in millions)</w:t>
      </w:r>
    </w:p>
    <w:tbl>
      <w:tblPr>
        <w:tblW w:w="5000" w:type="pct"/>
        <w:jc w:val="left"/>
        <w:tblInd w:w="0" w:type="dxa"/>
        <w:tblCellMar>
          <w:top w:w="0" w:type="dxa"/>
          <w:left w:w="0" w:type="dxa"/>
          <w:bottom w:w="0" w:type="dxa"/>
          <w:right w:w="0" w:type="dxa"/>
        </w:tblCellMar>
      </w:tblPr>
      <w:tblGrid>
        <w:gridCol w:w="8114"/>
        <w:gridCol w:w="212"/>
        <w:gridCol w:w="127"/>
        <w:gridCol w:w="608"/>
        <w:gridCol w:w="217"/>
        <w:gridCol w:w="125"/>
        <w:gridCol w:w="579"/>
        <w:gridCol w:w="223"/>
      </w:tblGrid>
      <w:tr>
        <w:trPr/>
        <w:tc>
          <w:tcPr>
            <w:tcW w:w="8114" w:type="dxa"/>
            <w:tcBorders/>
            <w:shd w:fill="auto" w:val="clear"/>
            <w:vAlign w:val="bottom"/>
          </w:tcPr>
          <w:p>
            <w:pPr>
              <w:pStyle w:val="TableContents"/>
              <w:spacing w:lineRule="atLeast" w:line="160" w:before="0" w:after="0"/>
              <w:ind w:left="0" w:right="0" w:hanging="0"/>
              <w:rPr/>
            </w:pPr>
            <w:r>
              <w:rPr/>
              <w:t> </w:t>
            </w:r>
          </w:p>
        </w:tc>
        <w:tc>
          <w:tcPr>
            <w:tcW w:w="212" w:type="dxa"/>
            <w:tcBorders/>
            <w:shd w:fill="auto" w:val="clear"/>
            <w:vAlign w:val="bottom"/>
          </w:tcPr>
          <w:p>
            <w:pPr>
              <w:pStyle w:val="TableContents"/>
              <w:spacing w:lineRule="atLeast" w:line="160" w:before="0" w:after="0"/>
              <w:ind w:left="0" w:right="0" w:hanging="0"/>
              <w:rPr/>
            </w:pPr>
            <w:r>
              <w:rPr/>
              <w:t> </w:t>
            </w:r>
          </w:p>
        </w:tc>
        <w:tc>
          <w:tcPr>
            <w:tcW w:w="1656"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 Ended</w:t>
            </w:r>
          </w:p>
        </w:tc>
        <w:tc>
          <w:tcPr>
            <w:tcW w:w="223" w:type="dxa"/>
            <w:tcBorders/>
            <w:shd w:fill="auto" w:val="clear"/>
            <w:vAlign w:val="bottom"/>
          </w:tcPr>
          <w:p>
            <w:pPr>
              <w:pStyle w:val="TableContents"/>
              <w:spacing w:lineRule="atLeast" w:line="160" w:before="0" w:after="0"/>
              <w:ind w:left="0" w:right="0" w:hanging="0"/>
              <w:rPr/>
            </w:pPr>
            <w:r>
              <w:rPr/>
              <w:t> </w:t>
            </w:r>
          </w:p>
        </w:tc>
      </w:tr>
      <w:tr>
        <w:trPr/>
        <w:tc>
          <w:tcPr>
            <w:tcW w:w="8114" w:type="dxa"/>
            <w:tcBorders/>
            <w:shd w:fill="auto" w:val="clear"/>
            <w:vAlign w:val="bottom"/>
          </w:tcPr>
          <w:p>
            <w:pPr>
              <w:pStyle w:val="TableContents"/>
              <w:spacing w:lineRule="atLeast" w:line="160" w:before="0" w:after="0"/>
              <w:ind w:left="0" w:right="0" w:hanging="0"/>
              <w:rPr/>
            </w:pPr>
            <w:r>
              <w:rPr/>
              <w:t> </w:t>
            </w:r>
          </w:p>
        </w:tc>
        <w:tc>
          <w:tcPr>
            <w:tcW w:w="212" w:type="dxa"/>
            <w:tcBorders/>
            <w:shd w:fill="auto" w:val="clear"/>
            <w:vAlign w:val="bottom"/>
          </w:tcPr>
          <w:p>
            <w:pPr>
              <w:pStyle w:val="TableContents"/>
              <w:spacing w:lineRule="atLeast" w:line="160" w:before="0" w:after="0"/>
              <w:ind w:left="0" w:right="0" w:hanging="0"/>
              <w:rPr/>
            </w:pPr>
            <w:r>
              <w:rPr/>
              <w:t> </w:t>
            </w:r>
          </w:p>
        </w:tc>
        <w:tc>
          <w:tcPr>
            <w:tcW w:w="1656"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w:t>
            </w:r>
          </w:p>
        </w:tc>
        <w:tc>
          <w:tcPr>
            <w:tcW w:w="223" w:type="dxa"/>
            <w:tcBorders/>
            <w:shd w:fill="auto" w:val="clear"/>
            <w:vAlign w:val="bottom"/>
          </w:tcPr>
          <w:p>
            <w:pPr>
              <w:pStyle w:val="TableContents"/>
              <w:spacing w:lineRule="atLeast" w:line="160" w:before="0" w:after="0"/>
              <w:ind w:left="0" w:right="0" w:hanging="0"/>
              <w:rPr/>
            </w:pPr>
            <w:r>
              <w:rPr/>
              <w:t> </w:t>
            </w:r>
          </w:p>
        </w:tc>
      </w:tr>
      <w:tr>
        <w:trPr/>
        <w:tc>
          <w:tcPr>
            <w:tcW w:w="8114" w:type="dxa"/>
            <w:tcBorders/>
            <w:shd w:fill="auto" w:val="clear"/>
            <w:vAlign w:val="bottom"/>
          </w:tcPr>
          <w:p>
            <w:pPr>
              <w:pStyle w:val="TableContents"/>
              <w:spacing w:lineRule="atLeast" w:line="160" w:before="0" w:after="0"/>
              <w:ind w:left="0" w:right="0" w:hanging="0"/>
              <w:rPr/>
            </w:pPr>
            <w:r>
              <w:rPr/>
              <w:t> </w:t>
            </w:r>
          </w:p>
        </w:tc>
        <w:tc>
          <w:tcPr>
            <w:tcW w:w="212" w:type="dxa"/>
            <w:tcBorders/>
            <w:shd w:fill="auto" w:val="clear"/>
            <w:vAlign w:val="bottom"/>
          </w:tcPr>
          <w:p>
            <w:pPr>
              <w:pStyle w:val="TableContents"/>
              <w:spacing w:lineRule="atLeast" w:line="160" w:before="0" w:after="0"/>
              <w:ind w:left="0" w:right="0" w:hanging="0"/>
              <w:rPr/>
            </w:pPr>
            <w:r>
              <w:rPr/>
              <w:t> </w:t>
            </w:r>
          </w:p>
        </w:tc>
        <w:tc>
          <w:tcPr>
            <w:tcW w:w="73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217" w:type="dxa"/>
            <w:tcBorders/>
            <w:shd w:fill="auto" w:val="clear"/>
            <w:vAlign w:val="bottom"/>
          </w:tcPr>
          <w:p>
            <w:pPr>
              <w:pStyle w:val="TableContents"/>
              <w:spacing w:lineRule="atLeast" w:line="160" w:before="0" w:after="0"/>
              <w:ind w:left="0" w:right="0" w:hanging="0"/>
              <w:rPr/>
            </w:pPr>
            <w:r>
              <w:rPr/>
              <w:t> </w:t>
            </w:r>
          </w:p>
        </w:tc>
        <w:tc>
          <w:tcPr>
            <w:tcW w:w="704"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23" w:type="dxa"/>
            <w:tcBorders/>
            <w:shd w:fill="auto" w:val="clear"/>
            <w:vAlign w:val="bottom"/>
          </w:tcPr>
          <w:p>
            <w:pPr>
              <w:pStyle w:val="TableContents"/>
              <w:spacing w:lineRule="atLeast" w:line="160" w:before="0" w:after="0"/>
              <w:ind w:left="0" w:right="0" w:hanging="0"/>
              <w:rPr/>
            </w:pPr>
            <w:r>
              <w:rPr/>
              <w:t> </w:t>
            </w:r>
          </w:p>
        </w:tc>
      </w:tr>
      <w:tr>
        <w:trPr/>
        <w:tc>
          <w:tcPr>
            <w:tcW w:w="8114" w:type="dxa"/>
            <w:tcBorders/>
            <w:shd w:fill="auto" w:val="clear"/>
            <w:vAlign w:val="bottom"/>
          </w:tcPr>
          <w:p>
            <w:pPr>
              <w:pStyle w:val="TableContents"/>
              <w:spacing w:lineRule="atLeast" w:line="160" w:before="0" w:after="0"/>
              <w:ind w:left="0" w:right="0" w:hanging="0"/>
              <w:rPr/>
            </w:pPr>
            <w:r>
              <w:rPr/>
              <w:t> </w:t>
            </w:r>
          </w:p>
        </w:tc>
        <w:tc>
          <w:tcPr>
            <w:tcW w:w="212" w:type="dxa"/>
            <w:tcBorders/>
            <w:shd w:fill="auto" w:val="clear"/>
            <w:vAlign w:val="bottom"/>
          </w:tcPr>
          <w:p>
            <w:pPr>
              <w:pStyle w:val="TableContents"/>
              <w:spacing w:lineRule="atLeast" w:line="160" w:before="0" w:after="0"/>
              <w:ind w:left="0" w:right="0" w:hanging="0"/>
              <w:rPr/>
            </w:pPr>
            <w:r>
              <w:rPr/>
              <w:t> </w:t>
            </w:r>
          </w:p>
        </w:tc>
        <w:tc>
          <w:tcPr>
            <w:tcW w:w="1656"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(unaudited)</w:t>
            </w:r>
          </w:p>
        </w:tc>
        <w:tc>
          <w:tcPr>
            <w:tcW w:w="223" w:type="dxa"/>
            <w:tcBorders/>
            <w:shd w:fill="auto" w:val="clear"/>
            <w:vAlign w:val="bottom"/>
          </w:tcPr>
          <w:p>
            <w:pPr>
              <w:pStyle w:val="TableContents"/>
              <w:spacing w:lineRule="atLeast" w:line="160" w:before="0" w:after="0"/>
              <w:ind w:left="0" w:right="0" w:hanging="0"/>
              <w:rPr/>
            </w:pPr>
            <w:r>
              <w:rPr/>
              <w:t> </w:t>
            </w:r>
          </w:p>
        </w:tc>
      </w:tr>
      <w:tr>
        <w:trPr/>
        <w:tc>
          <w:tcPr>
            <w:tcW w:w="8114" w:type="dxa"/>
            <w:tcBorders/>
            <w:shd w:fill="CCEEFF" w:val="clear"/>
          </w:tcPr>
          <w:p>
            <w:pPr>
              <w:pStyle w:val="TableContents"/>
              <w:spacing w:before="0" w:after="0"/>
              <w:ind w:left="0" w:right="0" w:hanging="0"/>
              <w:rPr/>
            </w:pPr>
            <w:r>
              <w:rPr/>
              <w:t> </w:t>
            </w:r>
            <w:r>
              <w:rPr>
                <w:rFonts w:ascii="Times New Roman" w:hAnsi="Times New Roman"/>
                <w:b/>
                <w:sz w:val="17"/>
              </w:rPr>
              <w:t>CASH FLOWS FROM OPERATING ACTIVITIES</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rPr/>
            </w:pPr>
            <w:r>
              <w:rPr/>
              <w:t> </w:t>
            </w:r>
          </w:p>
        </w:tc>
        <w:tc>
          <w:tcPr>
            <w:tcW w:w="223" w:type="dxa"/>
            <w:tcBorders/>
            <w:shd w:fill="CCEEFF" w:val="clear"/>
            <w:vAlign w:val="bottom"/>
          </w:tcPr>
          <w:p>
            <w:pPr>
              <w:pStyle w:val="TableContents"/>
              <w:spacing w:before="0" w:after="0"/>
              <w:ind w:left="0" w:right="0" w:hanging="0"/>
              <w:rPr/>
            </w:pPr>
            <w:r>
              <w:rPr/>
              <w:t> </w:t>
            </w:r>
          </w:p>
        </w:tc>
      </w:tr>
      <w:tr>
        <w:trPr/>
        <w:tc>
          <w:tcPr>
            <w:tcW w:w="8114" w:type="dxa"/>
            <w:tcBorders/>
            <w:shd w:fill="auto" w:val="clear"/>
          </w:tcPr>
          <w:p>
            <w:pPr>
              <w:pStyle w:val="TableContents"/>
              <w:spacing w:before="0" w:after="0"/>
              <w:ind w:left="0" w:right="0" w:hanging="0"/>
              <w:rPr/>
            </w:pPr>
            <w:r>
              <w:rPr/>
              <w:t> </w:t>
            </w:r>
            <w:r>
              <w:rPr>
                <w:rFonts w:ascii="Times New Roman" w:hAnsi="Times New Roman"/>
                <w:sz w:val="17"/>
              </w:rPr>
              <w:t>Net income</w:t>
            </w:r>
          </w:p>
        </w:tc>
        <w:tc>
          <w:tcPr>
            <w:tcW w:w="212"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143.7</w:t>
            </w:r>
          </w:p>
        </w:tc>
        <w:tc>
          <w:tcPr>
            <w:tcW w:w="217"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95.1</w:t>
            </w:r>
          </w:p>
        </w:tc>
        <w:tc>
          <w:tcPr>
            <w:tcW w:w="223" w:type="dxa"/>
            <w:tcBorders/>
            <w:shd w:fill="auto" w:val="clear"/>
            <w:vAlign w:val="bottom"/>
          </w:tcPr>
          <w:p>
            <w:pPr>
              <w:pStyle w:val="TableContents"/>
              <w:spacing w:before="0" w:after="0"/>
              <w:ind w:left="0" w:right="0" w:hanging="0"/>
              <w:rPr/>
            </w:pPr>
            <w:r>
              <w:rPr/>
              <w:t> </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Adjustments to reconcile to cash flows from operating activities:</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rPr/>
            </w:pPr>
            <w:r>
              <w:rPr/>
              <w:t> </w:t>
            </w:r>
          </w:p>
        </w:tc>
        <w:tc>
          <w:tcPr>
            <w:tcW w:w="223" w:type="dxa"/>
            <w:tcBorders/>
            <w:shd w:fill="CCEEFF" w:val="clear"/>
            <w:vAlign w:val="bottom"/>
          </w:tcPr>
          <w:p>
            <w:pPr>
              <w:pStyle w:val="TableContents"/>
              <w:spacing w:before="0" w:after="0"/>
              <w:ind w:left="0" w:right="0" w:hanging="0"/>
              <w:rPr/>
            </w:pPr>
            <w:r>
              <w:rPr/>
              <w:t> </w:t>
            </w:r>
          </w:p>
        </w:tc>
      </w:tr>
      <w:tr>
        <w:trPr/>
        <w:tc>
          <w:tcPr>
            <w:tcW w:w="8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42.9</w:t>
            </w:r>
          </w:p>
        </w:tc>
        <w:tc>
          <w:tcPr>
            <w:tcW w:w="217"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38.1</w:t>
            </w:r>
          </w:p>
        </w:tc>
        <w:tc>
          <w:tcPr>
            <w:tcW w:w="223" w:type="dxa"/>
            <w:tcBorders/>
            <w:shd w:fill="auto" w:val="clear"/>
            <w:vAlign w:val="bottom"/>
          </w:tcPr>
          <w:p>
            <w:pPr>
              <w:pStyle w:val="TableContents"/>
              <w:spacing w:before="0" w:after="0"/>
              <w:ind w:left="0" w:right="0" w:hanging="0"/>
              <w:rPr/>
            </w:pPr>
            <w:r>
              <w:rPr/>
              <w:t> </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Cumulative effect of change in accounting principle</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(6.3</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3" w:type="dxa"/>
            <w:tcBorders/>
            <w:shd w:fill="CCEEFF" w:val="clear"/>
            <w:vAlign w:val="bottom"/>
          </w:tcPr>
          <w:p>
            <w:pPr>
              <w:pStyle w:val="TableContents"/>
              <w:spacing w:before="0" w:after="0"/>
              <w:ind w:left="0" w:right="0" w:hanging="0"/>
              <w:rPr/>
            </w:pPr>
            <w:r>
              <w:rPr/>
              <w:t> </w:t>
            </w:r>
          </w:p>
        </w:tc>
      </w:tr>
      <w:tr>
        <w:trPr/>
        <w:tc>
          <w:tcPr>
            <w:tcW w:w="8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SFAS 133 mark-to-market adjustment</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217"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26.3</w:t>
            </w:r>
          </w:p>
        </w:tc>
        <w:tc>
          <w:tcPr>
            <w:tcW w:w="223" w:type="dxa"/>
            <w:tcBorders/>
            <w:shd w:fill="auto" w:val="clear"/>
            <w:vAlign w:val="bottom"/>
          </w:tcPr>
          <w:p>
            <w:pPr>
              <w:pStyle w:val="TableContents"/>
              <w:spacing w:before="0" w:after="0"/>
              <w:ind w:left="0" w:right="0" w:hanging="0"/>
              <w:rPr/>
            </w:pPr>
            <w:r>
              <w:rPr/>
              <w:t> </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 charge</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16.8</w:t>
            </w:r>
          </w:p>
        </w:tc>
        <w:tc>
          <w:tcPr>
            <w:tcW w:w="217"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10.2</w:t>
            </w:r>
          </w:p>
        </w:tc>
        <w:tc>
          <w:tcPr>
            <w:tcW w:w="223" w:type="dxa"/>
            <w:tcBorders/>
            <w:shd w:fill="CCEEFF" w:val="clear"/>
            <w:vAlign w:val="bottom"/>
          </w:tcPr>
          <w:p>
            <w:pPr>
              <w:pStyle w:val="TableContents"/>
              <w:spacing w:before="0" w:after="0"/>
              <w:ind w:left="0" w:right="0" w:hanging="0"/>
              <w:rPr/>
            </w:pPr>
            <w:r>
              <w:rPr/>
              <w:t> </w:t>
            </w:r>
          </w:p>
        </w:tc>
      </w:tr>
      <w:tr>
        <w:trPr/>
        <w:tc>
          <w:tcPr>
            <w:tcW w:w="8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Noncash amortization of terminated interest rate hedging instruments</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0.8</w:t>
            </w:r>
          </w:p>
        </w:tc>
        <w:tc>
          <w:tcPr>
            <w:tcW w:w="217"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0.8</w:t>
            </w:r>
          </w:p>
        </w:tc>
        <w:tc>
          <w:tcPr>
            <w:tcW w:w="223" w:type="dxa"/>
            <w:tcBorders/>
            <w:shd w:fill="auto" w:val="clear"/>
            <w:vAlign w:val="bottom"/>
          </w:tcPr>
          <w:p>
            <w:pPr>
              <w:pStyle w:val="TableContents"/>
              <w:spacing w:before="0" w:after="0"/>
              <w:ind w:left="0" w:right="0" w:hanging="0"/>
              <w:rPr/>
            </w:pPr>
            <w:r>
              <w:rPr/>
              <w:t> </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(Gain)/loss on foreign currency revaluation</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1.8</w:t>
            </w:r>
          </w:p>
        </w:tc>
        <w:tc>
          <w:tcPr>
            <w:tcW w:w="217"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(0.9</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cash paid for terminated interest rate hedging instruments</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7"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(0.9</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PAA/Vulcan Gas Storage, LLC</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(0.9</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3" w:type="dxa"/>
            <w:tcBorders/>
            <w:shd w:fill="CCEEFF" w:val="clear"/>
            <w:vAlign w:val="bottom"/>
          </w:tcPr>
          <w:p>
            <w:pPr>
              <w:pStyle w:val="TableContents"/>
              <w:spacing w:before="0" w:after="0"/>
              <w:ind w:left="0" w:right="0" w:hanging="0"/>
              <w:rPr/>
            </w:pPr>
            <w:r>
              <w:rPr/>
              <w:t> </w:t>
            </w:r>
          </w:p>
        </w:tc>
      </w:tr>
      <w:tr>
        <w:trPr/>
        <w:tc>
          <w:tcPr>
            <w:tcW w:w="8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Changes in assets and liabilities, net of acquisitions:</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rPr/>
            </w:pPr>
            <w:r>
              <w:rPr/>
              <w:t> </w:t>
            </w:r>
          </w:p>
        </w:tc>
        <w:tc>
          <w:tcPr>
            <w:tcW w:w="223" w:type="dxa"/>
            <w:tcBorders/>
            <w:shd w:fill="auto" w:val="clear"/>
            <w:vAlign w:val="bottom"/>
          </w:tcPr>
          <w:p>
            <w:pPr>
              <w:pStyle w:val="TableContents"/>
              <w:spacing w:before="0" w:after="0"/>
              <w:ind w:left="0" w:right="0" w:hanging="0"/>
              <w:rPr/>
            </w:pPr>
            <w:r>
              <w:rPr/>
              <w:t> </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(1,088.8</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(589.4</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(214.3</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(351.5</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Accounts payable and other current liabilities</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464.5</w:t>
            </w:r>
          </w:p>
        </w:tc>
        <w:tc>
          <w:tcPr>
            <w:tcW w:w="217"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311.1</w:t>
            </w:r>
          </w:p>
        </w:tc>
        <w:tc>
          <w:tcPr>
            <w:tcW w:w="223" w:type="dxa"/>
            <w:tcBorders/>
            <w:shd w:fill="CCEEFF" w:val="clear"/>
            <w:vAlign w:val="bottom"/>
          </w:tcPr>
          <w:p>
            <w:pPr>
              <w:pStyle w:val="TableContents"/>
              <w:spacing w:before="0" w:after="0"/>
              <w:ind w:left="0" w:right="0" w:hanging="0"/>
              <w:rPr/>
            </w:pPr>
            <w:r>
              <w:rPr/>
              <w:t> </w:t>
            </w:r>
          </w:p>
        </w:tc>
      </w:tr>
      <w:tr>
        <w:trPr/>
        <w:tc>
          <w:tcPr>
            <w:tcW w:w="8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Due to related parties</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(6.0</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7.7</w:t>
            </w:r>
          </w:p>
        </w:tc>
        <w:tc>
          <w:tcPr>
            <w:tcW w:w="223" w:type="dxa"/>
            <w:tcBorders/>
            <w:shd w:fill="auto" w:val="clear"/>
            <w:vAlign w:val="bottom"/>
          </w:tcPr>
          <w:p>
            <w:pPr>
              <w:pStyle w:val="TableContents"/>
              <w:spacing w:before="0" w:after="0"/>
              <w:ind w:left="0" w:right="0" w:hanging="0"/>
              <w:rPr/>
            </w:pPr>
            <w:r>
              <w:rPr/>
              <w:t> </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used in operating activities</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(642.7</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(453.4</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114"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rPr/>
            </w:pPr>
            <w:r>
              <w:rPr/>
              <w:t> </w:t>
            </w:r>
          </w:p>
        </w:tc>
        <w:tc>
          <w:tcPr>
            <w:tcW w:w="223" w:type="dxa"/>
            <w:tcBorders/>
            <w:shd w:fill="auto" w:val="clear"/>
            <w:vAlign w:val="bottom"/>
          </w:tcPr>
          <w:p>
            <w:pPr>
              <w:pStyle w:val="TableContents"/>
              <w:spacing w:before="0" w:after="0"/>
              <w:ind w:left="0" w:right="0" w:hanging="0"/>
              <w:rPr/>
            </w:pPr>
            <w:r>
              <w:rPr/>
              <w:t> </w:t>
            </w:r>
          </w:p>
        </w:tc>
      </w:tr>
      <w:tr>
        <w:trPr/>
        <w:tc>
          <w:tcPr>
            <w:tcW w:w="811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CASH FLOWS FROM INVESTING ACTIVITIES</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rPr/>
            </w:pPr>
            <w:r>
              <w:rPr/>
              <w:t> </w:t>
            </w:r>
          </w:p>
        </w:tc>
        <w:tc>
          <w:tcPr>
            <w:tcW w:w="223" w:type="dxa"/>
            <w:tcBorders/>
            <w:shd w:fill="CCEEFF" w:val="clear"/>
            <w:vAlign w:val="bottom"/>
          </w:tcPr>
          <w:p>
            <w:pPr>
              <w:pStyle w:val="TableContents"/>
              <w:spacing w:before="0" w:after="0"/>
              <w:ind w:left="0" w:right="0" w:hanging="0"/>
              <w:rPr/>
            </w:pPr>
            <w:r>
              <w:rPr/>
              <w:t> </w:t>
            </w:r>
          </w:p>
        </w:tc>
      </w:tr>
      <w:tr>
        <w:trPr/>
        <w:tc>
          <w:tcPr>
            <w:tcW w:w="8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Cash paid in connection with acquisitions (Note 3)</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(359.8</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(14.5</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Additions to property and equipment</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(121.6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(86.3</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affiliates</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(10.0</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3" w:type="dxa"/>
            <w:tcBorders/>
            <w:shd w:fill="auto" w:val="clear"/>
            <w:vAlign w:val="bottom"/>
          </w:tcPr>
          <w:p>
            <w:pPr>
              <w:pStyle w:val="TableContents"/>
              <w:spacing w:before="0" w:after="0"/>
              <w:ind w:left="0" w:right="0" w:hanging="0"/>
              <w:rPr/>
            </w:pPr>
            <w:r>
              <w:rPr/>
              <w:t> </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paid for linefill in assets owned</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(4.8</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3" w:type="dxa"/>
            <w:tcBorders/>
            <w:shd w:fill="CCEEFF" w:val="clear"/>
            <w:vAlign w:val="bottom"/>
          </w:tcPr>
          <w:p>
            <w:pPr>
              <w:pStyle w:val="TableContents"/>
              <w:spacing w:before="0" w:after="0"/>
              <w:ind w:left="0" w:right="0" w:hanging="0"/>
              <w:rPr/>
            </w:pPr>
            <w:r>
              <w:rPr/>
              <w:t> </w:t>
            </w:r>
          </w:p>
        </w:tc>
      </w:tr>
      <w:tr>
        <w:trPr/>
        <w:tc>
          <w:tcPr>
            <w:tcW w:w="8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Proceeds from sales of assets</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217" w:type="dxa"/>
            <w:tcBorders/>
            <w:shd w:fill="auto" w:val="clear"/>
            <w:vAlign w:val="bottom"/>
          </w:tcPr>
          <w:p>
            <w:pPr>
              <w:pStyle w:val="TableContents"/>
              <w:spacing w:before="0" w:after="0"/>
              <w:ind w:left="0" w:right="0" w:hanging="0"/>
              <w:rPr/>
            </w:pPr>
            <w:r>
              <w:rPr/>
              <w:t> </w:t>
            </w:r>
          </w:p>
        </w:tc>
        <w:tc>
          <w:tcPr>
            <w:tcW w:w="704"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3.4</w:t>
            </w:r>
          </w:p>
        </w:tc>
        <w:tc>
          <w:tcPr>
            <w:tcW w:w="223" w:type="dxa"/>
            <w:tcBorders/>
            <w:shd w:fill="auto" w:val="clear"/>
            <w:vAlign w:val="bottom"/>
          </w:tcPr>
          <w:p>
            <w:pPr>
              <w:pStyle w:val="TableContents"/>
              <w:spacing w:before="0" w:after="0"/>
              <w:ind w:left="0" w:right="0" w:hanging="0"/>
              <w:rPr/>
            </w:pPr>
            <w:r>
              <w:rPr/>
              <w:t> </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(492.7</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(97.4</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114"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rPr/>
            </w:pPr>
            <w:r>
              <w:rPr/>
              <w:t> </w:t>
            </w:r>
          </w:p>
        </w:tc>
        <w:tc>
          <w:tcPr>
            <w:tcW w:w="223" w:type="dxa"/>
            <w:tcBorders/>
            <w:shd w:fill="auto" w:val="clear"/>
            <w:vAlign w:val="bottom"/>
          </w:tcPr>
          <w:p>
            <w:pPr>
              <w:pStyle w:val="TableContents"/>
              <w:spacing w:before="0" w:after="0"/>
              <w:ind w:left="0" w:right="0" w:hanging="0"/>
              <w:rPr/>
            </w:pPr>
            <w:r>
              <w:rPr/>
              <w:t> </w:t>
            </w:r>
          </w:p>
        </w:tc>
      </w:tr>
      <w:tr>
        <w:trPr/>
        <w:tc>
          <w:tcPr>
            <w:tcW w:w="8114"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CASH FLOWS FROM FINANCING ACTIVITIES</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shd w:fill="CCEEFF" w:val="clear"/>
            <w:vAlign w:val="bottom"/>
          </w:tcPr>
          <w:p>
            <w:pPr>
              <w:pStyle w:val="TableContents"/>
              <w:spacing w:before="0" w:after="0"/>
              <w:ind w:left="0" w:right="0" w:hanging="0"/>
              <w:rPr/>
            </w:pPr>
            <w:r>
              <w:rPr/>
              <w:t> </w:t>
            </w:r>
          </w:p>
        </w:tc>
        <w:tc>
          <w:tcPr>
            <w:tcW w:w="217"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rPr/>
            </w:pPr>
            <w:r>
              <w:rPr/>
              <w:t> </w:t>
            </w:r>
          </w:p>
        </w:tc>
        <w:tc>
          <w:tcPr>
            <w:tcW w:w="223" w:type="dxa"/>
            <w:tcBorders/>
            <w:shd w:fill="CCEEFF" w:val="clear"/>
            <w:vAlign w:val="bottom"/>
          </w:tcPr>
          <w:p>
            <w:pPr>
              <w:pStyle w:val="TableContents"/>
              <w:spacing w:before="0" w:after="0"/>
              <w:ind w:left="0" w:right="0" w:hanging="0"/>
              <w:rPr/>
            </w:pPr>
            <w:r>
              <w:rPr/>
              <w:t> </w:t>
            </w:r>
          </w:p>
        </w:tc>
      </w:tr>
      <w:tr>
        <w:trPr/>
        <w:tc>
          <w:tcPr>
            <w:tcW w:w="8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borrowings/(repayments) on long-term revolving credit facility</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54.6</w:t>
            </w:r>
          </w:p>
        </w:tc>
        <w:tc>
          <w:tcPr>
            <w:tcW w:w="217"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(143.6</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borrowings on working capital revolving credit facility</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229.9</w:t>
            </w:r>
          </w:p>
        </w:tc>
        <w:tc>
          <w:tcPr>
            <w:tcW w:w="217"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71.8</w:t>
            </w:r>
          </w:p>
        </w:tc>
        <w:tc>
          <w:tcPr>
            <w:tcW w:w="223" w:type="dxa"/>
            <w:tcBorders/>
            <w:shd w:fill="CCEEFF" w:val="clear"/>
            <w:vAlign w:val="bottom"/>
          </w:tcPr>
          <w:p>
            <w:pPr>
              <w:pStyle w:val="TableContents"/>
              <w:spacing w:before="0" w:after="0"/>
              <w:ind w:left="0" w:right="0" w:hanging="0"/>
              <w:rPr/>
            </w:pPr>
            <w:r>
              <w:rPr/>
              <w:t> </w:t>
            </w:r>
          </w:p>
        </w:tc>
      </w:tr>
      <w:tr>
        <w:trPr/>
        <w:tc>
          <w:tcPr>
            <w:tcW w:w="8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borrowings on short-term letter of credit and hedged inventory facility</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579.4</w:t>
            </w:r>
          </w:p>
        </w:tc>
        <w:tc>
          <w:tcPr>
            <w:tcW w:w="217"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575.3</w:t>
            </w:r>
          </w:p>
        </w:tc>
        <w:tc>
          <w:tcPr>
            <w:tcW w:w="223" w:type="dxa"/>
            <w:tcBorders/>
            <w:shd w:fill="auto" w:val="clear"/>
            <w:vAlign w:val="bottom"/>
          </w:tcPr>
          <w:p>
            <w:pPr>
              <w:pStyle w:val="TableContents"/>
              <w:spacing w:before="0" w:after="0"/>
              <w:ind w:left="0" w:right="0" w:hanging="0"/>
              <w:rPr/>
            </w:pPr>
            <w:r>
              <w:rPr/>
              <w:t> </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Proceeds from the issuance of senior notes</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249.5</w:t>
            </w:r>
          </w:p>
        </w:tc>
        <w:tc>
          <w:tcPr>
            <w:tcW w:w="217" w:type="dxa"/>
            <w:tcBorders/>
            <w:shd w:fill="CCEEFF" w:val="clear"/>
            <w:vAlign w:val="bottom"/>
          </w:tcPr>
          <w:p>
            <w:pPr>
              <w:pStyle w:val="TableContents"/>
              <w:spacing w:before="0" w:after="0"/>
              <w:ind w:left="0" w:right="0" w:hanging="0"/>
              <w:rPr/>
            </w:pPr>
            <w:r>
              <w:rPr/>
              <w:t> </w:t>
            </w:r>
          </w:p>
        </w:tc>
        <w:tc>
          <w:tcPr>
            <w:tcW w:w="70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149.3</w:t>
            </w:r>
          </w:p>
        </w:tc>
        <w:tc>
          <w:tcPr>
            <w:tcW w:w="223" w:type="dxa"/>
            <w:tcBorders/>
            <w:shd w:fill="CCEEFF" w:val="clear"/>
            <w:vAlign w:val="bottom"/>
          </w:tcPr>
          <w:p>
            <w:pPr>
              <w:pStyle w:val="TableContents"/>
              <w:spacing w:before="0" w:after="0"/>
              <w:ind w:left="0" w:right="0" w:hanging="0"/>
              <w:rPr/>
            </w:pPr>
            <w:r>
              <w:rPr/>
              <w:t> </w:t>
            </w:r>
          </w:p>
        </w:tc>
      </w:tr>
      <w:tr>
        <w:trPr/>
        <w:tc>
          <w:tcPr>
            <w:tcW w:w="8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proceeds from the issuance of common units (Note 7)</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152.4</w:t>
            </w:r>
          </w:p>
        </w:tc>
        <w:tc>
          <w:tcPr>
            <w:tcW w:w="217"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22.3</w:t>
            </w:r>
          </w:p>
        </w:tc>
        <w:tc>
          <w:tcPr>
            <w:tcW w:w="223" w:type="dxa"/>
            <w:tcBorders/>
            <w:shd w:fill="auto" w:val="clear"/>
            <w:vAlign w:val="bottom"/>
          </w:tcPr>
          <w:p>
            <w:pPr>
              <w:pStyle w:val="TableContents"/>
              <w:spacing w:before="0" w:after="0"/>
              <w:ind w:left="0" w:right="0" w:hanging="0"/>
              <w:rPr/>
            </w:pPr>
            <w:r>
              <w:rPr/>
              <w:t> </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Distributions paid to unitholders and general partner (Note 7)</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(120.4</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(92.7</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financing activities</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(4.4</w:t>
            </w:r>
          </w:p>
        </w:tc>
        <w:tc>
          <w:tcPr>
            <w:tcW w:w="21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(5.8</w:t>
            </w:r>
          </w:p>
        </w:tc>
        <w:tc>
          <w:tcPr>
            <w:tcW w:w="2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provided by financing activities</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1,141.0</w:t>
            </w:r>
          </w:p>
        </w:tc>
        <w:tc>
          <w:tcPr>
            <w:tcW w:w="217" w:type="dxa"/>
            <w:tcBorders/>
            <w:shd w:fill="CCEEFF" w:val="clear"/>
            <w:vAlign w:val="bottom"/>
          </w:tcPr>
          <w:p>
            <w:pPr>
              <w:pStyle w:val="TableContents"/>
              <w:spacing w:before="0" w:after="0"/>
              <w:ind w:left="0" w:right="0" w:hanging="0"/>
              <w:rPr/>
            </w:pPr>
            <w:r>
              <w:rPr/>
              <w:t> </w:t>
            </w:r>
          </w:p>
        </w:tc>
        <w:tc>
          <w:tcPr>
            <w:tcW w:w="704"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576.6</w:t>
            </w:r>
          </w:p>
        </w:tc>
        <w:tc>
          <w:tcPr>
            <w:tcW w:w="223" w:type="dxa"/>
            <w:tcBorders/>
            <w:shd w:fill="CCEEFF" w:val="clear"/>
            <w:vAlign w:val="bottom"/>
          </w:tcPr>
          <w:p>
            <w:pPr>
              <w:pStyle w:val="TableContents"/>
              <w:spacing w:before="0" w:after="0"/>
              <w:ind w:left="0" w:right="0" w:hanging="0"/>
              <w:rPr/>
            </w:pPr>
            <w:r>
              <w:rPr/>
              <w:t> </w:t>
            </w:r>
          </w:p>
        </w:tc>
      </w:tr>
      <w:tr>
        <w:trPr/>
        <w:tc>
          <w:tcPr>
            <w:tcW w:w="8114"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rPr/>
            </w:pPr>
            <w:r>
              <w:rPr/>
              <w:t> </w:t>
            </w:r>
          </w:p>
        </w:tc>
        <w:tc>
          <w:tcPr>
            <w:tcW w:w="223" w:type="dxa"/>
            <w:tcBorders/>
            <w:shd w:fill="auto" w:val="clear"/>
            <w:vAlign w:val="bottom"/>
          </w:tcPr>
          <w:p>
            <w:pPr>
              <w:pStyle w:val="TableContents"/>
              <w:spacing w:before="0" w:after="0"/>
              <w:ind w:left="0" w:right="0" w:hanging="0"/>
              <w:rPr/>
            </w:pPr>
            <w:r>
              <w:rPr/>
              <w:t> </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Effect of translation adjustment on cash</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(7.6</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(0.8</w:t>
            </w:r>
          </w:p>
        </w:tc>
        <w:tc>
          <w:tcPr>
            <w:tcW w:w="2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114"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rPr/>
            </w:pPr>
            <w:r>
              <w:rPr/>
              <w:t> </w:t>
            </w:r>
          </w:p>
        </w:tc>
        <w:tc>
          <w:tcPr>
            <w:tcW w:w="223" w:type="dxa"/>
            <w:tcBorders/>
            <w:shd w:fill="auto" w:val="clear"/>
            <w:vAlign w:val="bottom"/>
          </w:tcPr>
          <w:p>
            <w:pPr>
              <w:pStyle w:val="TableContents"/>
              <w:spacing w:before="0" w:after="0"/>
              <w:ind w:left="0" w:right="0" w:hanging="0"/>
              <w:rPr/>
            </w:pPr>
            <w:r>
              <w:rPr/>
              <w:t> </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increase (decrease) in cash and cash equivalents</w:t>
            </w:r>
          </w:p>
        </w:tc>
        <w:tc>
          <w:tcPr>
            <w:tcW w:w="212" w:type="dxa"/>
            <w:tcBorders/>
            <w:shd w:fill="CCEEFF" w:val="clear"/>
            <w:vAlign w:val="bottom"/>
          </w:tcPr>
          <w:p>
            <w:pPr>
              <w:pStyle w:val="TableContents"/>
              <w:spacing w:before="0" w:after="0"/>
              <w:ind w:left="0" w:right="0" w:hanging="0"/>
              <w:rPr/>
            </w:pPr>
            <w:r>
              <w:rPr/>
              <w:t> </w:t>
            </w:r>
          </w:p>
        </w:tc>
        <w:tc>
          <w:tcPr>
            <w:tcW w:w="7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w:t>
            </w:r>
          </w:p>
        </w:tc>
        <w:tc>
          <w:tcPr>
            <w:tcW w:w="21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25.0</w:t>
            </w:r>
          </w:p>
        </w:tc>
        <w:tc>
          <w:tcPr>
            <w:tcW w:w="223" w:type="dxa"/>
            <w:tcBorders/>
            <w:shd w:fill="CCEEFF" w:val="clear"/>
            <w:vAlign w:val="bottom"/>
          </w:tcPr>
          <w:p>
            <w:pPr>
              <w:pStyle w:val="TableContents"/>
              <w:spacing w:before="0" w:after="0"/>
              <w:ind w:left="0" w:right="0" w:hanging="0"/>
              <w:rPr/>
            </w:pPr>
            <w:r>
              <w:rPr/>
              <w:t> </w:t>
            </w:r>
          </w:p>
        </w:tc>
      </w:tr>
      <w:tr>
        <w:trPr/>
        <w:tc>
          <w:tcPr>
            <w:tcW w:w="8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Cash and cash equivalents, beginning of period</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9.6</w:t>
            </w:r>
          </w:p>
        </w:tc>
        <w:tc>
          <w:tcPr>
            <w:tcW w:w="217" w:type="dxa"/>
            <w:tcBorders/>
            <w:shd w:fill="auto" w:val="clear"/>
            <w:vAlign w:val="bottom"/>
          </w:tcPr>
          <w:p>
            <w:pPr>
              <w:pStyle w:val="TableContents"/>
              <w:spacing w:before="0" w:after="0"/>
              <w:ind w:left="0" w:right="0" w:hanging="0"/>
              <w:rPr/>
            </w:pPr>
            <w:r>
              <w:rPr/>
              <w:t> </w:t>
            </w:r>
          </w:p>
        </w:tc>
        <w:tc>
          <w:tcPr>
            <w:tcW w:w="704"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13.0</w:t>
            </w:r>
          </w:p>
        </w:tc>
        <w:tc>
          <w:tcPr>
            <w:tcW w:w="223" w:type="dxa"/>
            <w:tcBorders/>
            <w:shd w:fill="auto" w:val="clear"/>
            <w:vAlign w:val="bottom"/>
          </w:tcPr>
          <w:p>
            <w:pPr>
              <w:pStyle w:val="TableContents"/>
              <w:spacing w:before="0" w:after="0"/>
              <w:ind w:left="0" w:right="0" w:hanging="0"/>
              <w:rPr/>
            </w:pPr>
            <w:r>
              <w:rPr/>
              <w:t> </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and cash equivalents, end of period</w:t>
            </w:r>
          </w:p>
        </w:tc>
        <w:tc>
          <w:tcPr>
            <w:tcW w:w="212"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0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7.6</w:t>
            </w:r>
          </w:p>
        </w:tc>
        <w:tc>
          <w:tcPr>
            <w:tcW w:w="217"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7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38.0</w:t>
            </w:r>
          </w:p>
        </w:tc>
        <w:tc>
          <w:tcPr>
            <w:tcW w:w="223" w:type="dxa"/>
            <w:tcBorders/>
            <w:shd w:fill="CCEEFF" w:val="clear"/>
            <w:vAlign w:val="bottom"/>
          </w:tcPr>
          <w:p>
            <w:pPr>
              <w:pStyle w:val="TableContents"/>
              <w:spacing w:before="0" w:after="0"/>
              <w:ind w:left="0" w:right="0" w:hanging="0"/>
              <w:rPr/>
            </w:pPr>
            <w:r>
              <w:rPr/>
              <w:t> </w:t>
            </w:r>
          </w:p>
        </w:tc>
      </w:tr>
      <w:tr>
        <w:trPr/>
        <w:tc>
          <w:tcPr>
            <w:tcW w:w="8114" w:type="dxa"/>
            <w:tcBorders/>
            <w:shd w:fill="auto" w:val="clea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735" w:type="dxa"/>
            <w:gridSpan w:val="2"/>
            <w:tcBorders/>
            <w:shd w:fill="auto" w:val="clear"/>
            <w:vAlign w:val="bottom"/>
          </w:tcPr>
          <w:p>
            <w:pPr>
              <w:pStyle w:val="TableContents"/>
              <w:spacing w:before="0" w:after="0"/>
              <w:ind w:left="0" w:right="0" w:hanging="0"/>
              <w:rPr/>
            </w:pPr>
            <w:r>
              <w:rPr/>
              <w:t> </w:t>
            </w:r>
          </w:p>
        </w:tc>
        <w:tc>
          <w:tcPr>
            <w:tcW w:w="217" w:type="dxa"/>
            <w:tcBorders/>
            <w:shd w:fill="auto" w:val="clear"/>
            <w:vAlign w:val="bottom"/>
          </w:tcPr>
          <w:p>
            <w:pPr>
              <w:pStyle w:val="TableContents"/>
              <w:spacing w:before="0" w:after="0"/>
              <w:ind w:left="0" w:right="0" w:hanging="0"/>
              <w:rPr/>
            </w:pPr>
            <w:r>
              <w:rPr/>
              <w:t> </w:t>
            </w:r>
          </w:p>
        </w:tc>
        <w:tc>
          <w:tcPr>
            <w:tcW w:w="704" w:type="dxa"/>
            <w:gridSpan w:val="2"/>
            <w:tcBorders/>
            <w:shd w:fill="auto" w:val="clear"/>
            <w:vAlign w:val="bottom"/>
          </w:tcPr>
          <w:p>
            <w:pPr>
              <w:pStyle w:val="TableContents"/>
              <w:spacing w:before="0" w:after="0"/>
              <w:ind w:left="0" w:right="0" w:hanging="0"/>
              <w:rPr/>
            </w:pPr>
            <w:r>
              <w:rPr/>
              <w:t> </w:t>
            </w:r>
          </w:p>
        </w:tc>
        <w:tc>
          <w:tcPr>
            <w:tcW w:w="223" w:type="dxa"/>
            <w:tcBorders/>
            <w:shd w:fill="auto" w:val="clear"/>
            <w:vAlign w:val="bottom"/>
          </w:tcPr>
          <w:p>
            <w:pPr>
              <w:pStyle w:val="TableContents"/>
              <w:spacing w:before="0" w:after="0"/>
              <w:ind w:left="0" w:right="0" w:hanging="0"/>
              <w:rPr/>
            </w:pPr>
            <w:r>
              <w:rPr/>
              <w:t> </w:t>
            </w:r>
          </w:p>
        </w:tc>
      </w:tr>
      <w:tr>
        <w:trPr/>
        <w:tc>
          <w:tcPr>
            <w:tcW w:w="8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paid for interest, net of amounts capitalized</w:t>
            </w:r>
          </w:p>
        </w:tc>
        <w:tc>
          <w:tcPr>
            <w:tcW w:w="212"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0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49.7</w:t>
            </w:r>
          </w:p>
        </w:tc>
        <w:tc>
          <w:tcPr>
            <w:tcW w:w="217"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35.8</w:t>
            </w:r>
          </w:p>
        </w:tc>
        <w:tc>
          <w:tcPr>
            <w:tcW w:w="223" w:type="dxa"/>
            <w:tcBorders/>
            <w:shd w:fill="CCEEFF"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notes are an integral part of these consolidated financial statements.</w:t>
      </w:r>
    </w:p>
    <w:p>
      <w:pPr>
        <w:pStyle w:val="TextBody"/>
        <w:spacing w:before="480" w:after="480"/>
        <w:ind w:left="0" w:right="0" w:hanging="0"/>
        <w:rPr>
          <w:rFonts w:ascii="Times New Roman" w:hAnsi="Times New Roman"/>
          <w:sz w:val="17"/>
        </w:rPr>
      </w:pPr>
      <w:r>
        <w:rPr>
          <w:rFonts w:ascii="Times New Roman" w:hAnsi="Times New Roman"/>
          <w:sz w:val="17"/>
        </w:rPr>
        <w:t>5</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CONSOLIDATED STATEMENT OF PARTNERS CAPITAL</w:t>
      </w:r>
      <w:bookmarkStart w:id="8" w:name="ConsolidatedStatementOfPartnersCa_111726"/>
      <w:bookmarkEnd w:id="8"/>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(in millions)</w:t>
      </w:r>
    </w:p>
    <w:tbl>
      <w:tblPr>
        <w:tblW w:w="5000" w:type="pct"/>
        <w:jc w:val="left"/>
        <w:tblInd w:w="0" w:type="dxa"/>
        <w:tblCellMar>
          <w:top w:w="0" w:type="dxa"/>
          <w:left w:w="0" w:type="dxa"/>
          <w:bottom w:w="0" w:type="dxa"/>
          <w:right w:w="0" w:type="dxa"/>
        </w:tblCellMar>
      </w:tblPr>
      <w:tblGrid>
        <w:gridCol w:w="5849"/>
        <w:gridCol w:w="200"/>
        <w:gridCol w:w="735"/>
        <w:gridCol w:w="200"/>
        <w:gridCol w:w="120"/>
        <w:gridCol w:w="698"/>
        <w:gridCol w:w="205"/>
        <w:gridCol w:w="123"/>
        <w:gridCol w:w="652"/>
        <w:gridCol w:w="205"/>
        <w:gridCol w:w="120"/>
        <w:gridCol w:w="698"/>
        <w:gridCol w:w="400"/>
      </w:tblGrid>
      <w:tr>
        <w:trPr/>
        <w:tc>
          <w:tcPr>
            <w:tcW w:w="5849" w:type="dxa"/>
            <w:tcBorders/>
            <w:shd w:fill="auto" w:val="clear"/>
            <w:vAlign w:val="bottom"/>
          </w:tcPr>
          <w:p>
            <w:pPr>
              <w:pStyle w:val="TableContents"/>
              <w:spacing w:lineRule="atLeast" w:line="160" w:before="0" w:after="0"/>
              <w:ind w:left="0" w:right="0" w:hanging="0"/>
              <w:rPr/>
            </w:pPr>
            <w:r>
              <w:rPr/>
              <w:t> </w:t>
            </w:r>
          </w:p>
        </w:tc>
        <w:tc>
          <w:tcPr>
            <w:tcW w:w="200" w:type="dxa"/>
            <w:tcBorders/>
            <w:shd w:fill="auto" w:val="clear"/>
            <w:vAlign w:val="bottom"/>
          </w:tcPr>
          <w:p>
            <w:pPr>
              <w:pStyle w:val="TableContents"/>
              <w:spacing w:lineRule="atLeast" w:line="160" w:before="0" w:after="0"/>
              <w:ind w:left="0" w:right="0" w:hanging="0"/>
              <w:rPr/>
            </w:pPr>
            <w:r>
              <w:rPr/>
              <w:t> </w:t>
            </w:r>
          </w:p>
        </w:tc>
        <w:tc>
          <w:tcPr>
            <w:tcW w:w="735" w:type="dxa"/>
            <w:tcBorders/>
            <w:shd w:fill="auto" w:val="clear"/>
            <w:vAlign w:val="bottom"/>
          </w:tcPr>
          <w:p>
            <w:pPr>
              <w:pStyle w:val="TableContents"/>
              <w:spacing w:lineRule="atLeast" w:line="160" w:before="0" w:after="0"/>
              <w:ind w:left="0" w:right="0" w:hanging="0"/>
              <w:rPr/>
            </w:pPr>
            <w:r>
              <w:rPr/>
              <w:t> </w:t>
            </w:r>
          </w:p>
        </w:tc>
        <w:tc>
          <w:tcPr>
            <w:tcW w:w="200" w:type="dxa"/>
            <w:tcBorders/>
            <w:shd w:fill="auto" w:val="clear"/>
            <w:vAlign w:val="bottom"/>
          </w:tcPr>
          <w:p>
            <w:pPr>
              <w:pStyle w:val="TableContents"/>
              <w:spacing w:lineRule="atLeast" w:line="160" w:before="0" w:after="0"/>
              <w:ind w:left="0" w:right="0" w:hanging="0"/>
              <w:rPr/>
            </w:pPr>
            <w:r>
              <w:rPr/>
              <w:t> </w:t>
            </w:r>
          </w:p>
        </w:tc>
        <w:tc>
          <w:tcPr>
            <w:tcW w:w="818" w:type="dxa"/>
            <w:gridSpan w:val="2"/>
            <w:tcBorders/>
            <w:shd w:fill="auto" w:val="clear"/>
            <w:vAlign w:val="bottom"/>
          </w:tcPr>
          <w:p>
            <w:pPr>
              <w:pStyle w:val="TableContents"/>
              <w:spacing w:lineRule="atLeast" w:line="160" w:before="0" w:after="0"/>
              <w:ind w:left="0" w:right="0" w:hanging="0"/>
              <w:rPr/>
            </w:pPr>
            <w:r>
              <w:rPr/>
              <w:t> </w:t>
            </w:r>
          </w:p>
        </w:tc>
        <w:tc>
          <w:tcPr>
            <w:tcW w:w="205" w:type="dxa"/>
            <w:tcBorders/>
            <w:shd w:fill="auto" w:val="clear"/>
            <w:vAlign w:val="bottom"/>
          </w:tcPr>
          <w:p>
            <w:pPr>
              <w:pStyle w:val="TableContents"/>
              <w:spacing w:lineRule="atLeast" w:line="160" w:before="0" w:after="0"/>
              <w:ind w:left="0" w:right="0" w:hanging="0"/>
              <w:rPr/>
            </w:pPr>
            <w:r>
              <w:rPr/>
              <w:t> </w:t>
            </w:r>
          </w:p>
        </w:tc>
        <w:tc>
          <w:tcPr>
            <w:tcW w:w="775" w:type="dxa"/>
            <w:gridSpan w:val="2"/>
            <w:tcBorders/>
            <w:shd w:fill="auto" w:val="clear"/>
            <w:vAlign w:val="bottom"/>
          </w:tcPr>
          <w:p>
            <w:pPr>
              <w:pStyle w:val="TableContents"/>
              <w:spacing w:lineRule="atLeast" w:line="160" w:before="0" w:after="0"/>
              <w:ind w:left="0" w:right="0" w:hanging="0"/>
              <w:rPr/>
            </w:pPr>
            <w:r>
              <w:rPr/>
              <w:t> </w:t>
            </w:r>
          </w:p>
        </w:tc>
        <w:tc>
          <w:tcPr>
            <w:tcW w:w="205" w:type="dxa"/>
            <w:tcBorders/>
            <w:shd w:fill="auto" w:val="clear"/>
            <w:vAlign w:val="bottom"/>
          </w:tcPr>
          <w:p>
            <w:pPr>
              <w:pStyle w:val="TableContents"/>
              <w:spacing w:lineRule="atLeast" w:line="160" w:before="0" w:after="0"/>
              <w:ind w:left="0" w:right="0" w:hanging="0"/>
              <w:rPr/>
            </w:pPr>
            <w:r>
              <w:rPr/>
              <w:t> </w:t>
            </w:r>
          </w:p>
        </w:tc>
        <w:tc>
          <w:tcPr>
            <w:tcW w:w="818"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Total</w:t>
            </w:r>
          </w:p>
        </w:tc>
        <w:tc>
          <w:tcPr>
            <w:tcW w:w="400" w:type="dxa"/>
            <w:tcBorders/>
            <w:shd w:fill="auto" w:val="clear"/>
            <w:vAlign w:val="bottom"/>
          </w:tcPr>
          <w:p>
            <w:pPr>
              <w:pStyle w:val="TableContents"/>
              <w:spacing w:lineRule="atLeast" w:line="160" w:before="0" w:after="0"/>
              <w:ind w:left="0" w:right="0" w:hanging="0"/>
              <w:rPr/>
            </w:pPr>
            <w:r>
              <w:rPr/>
              <w:t> </w:t>
            </w:r>
          </w:p>
        </w:tc>
      </w:tr>
      <w:tr>
        <w:trPr/>
        <w:tc>
          <w:tcPr>
            <w:tcW w:w="5849" w:type="dxa"/>
            <w:tcBorders/>
            <w:shd w:fill="auto" w:val="clear"/>
            <w:vAlign w:val="bottom"/>
          </w:tcPr>
          <w:p>
            <w:pPr>
              <w:pStyle w:val="TableContents"/>
              <w:spacing w:lineRule="atLeast" w:line="160" w:before="0" w:after="0"/>
              <w:ind w:left="0" w:right="0" w:hanging="0"/>
              <w:rPr/>
            </w:pPr>
            <w:r>
              <w:rPr/>
              <w:t> </w:t>
            </w:r>
          </w:p>
        </w:tc>
        <w:tc>
          <w:tcPr>
            <w:tcW w:w="200" w:type="dxa"/>
            <w:tcBorders/>
            <w:shd w:fill="auto" w:val="clear"/>
            <w:vAlign w:val="bottom"/>
          </w:tcPr>
          <w:p>
            <w:pPr>
              <w:pStyle w:val="TableContents"/>
              <w:spacing w:lineRule="atLeast" w:line="160" w:before="0" w:after="0"/>
              <w:ind w:left="0" w:right="0" w:hanging="0"/>
              <w:rPr/>
            </w:pPr>
            <w:r>
              <w:rPr/>
              <w:t> </w:t>
            </w:r>
          </w:p>
        </w:tc>
        <w:tc>
          <w:tcPr>
            <w:tcW w:w="735" w:type="dxa"/>
            <w:tcBorders/>
            <w:shd w:fill="auto" w:val="clear"/>
            <w:vAlign w:val="bottom"/>
          </w:tcPr>
          <w:p>
            <w:pPr>
              <w:pStyle w:val="TableContents"/>
              <w:spacing w:lineRule="atLeast" w:line="160" w:before="0" w:after="0"/>
              <w:ind w:left="0" w:right="0" w:hanging="0"/>
              <w:rPr/>
            </w:pPr>
            <w:r>
              <w:rPr/>
              <w:t> </w:t>
            </w:r>
          </w:p>
        </w:tc>
        <w:tc>
          <w:tcPr>
            <w:tcW w:w="200" w:type="dxa"/>
            <w:tcBorders/>
            <w:shd w:fill="auto" w:val="clear"/>
            <w:vAlign w:val="bottom"/>
          </w:tcPr>
          <w:p>
            <w:pPr>
              <w:pStyle w:val="TableContents"/>
              <w:spacing w:lineRule="atLeast" w:line="160" w:before="0" w:after="0"/>
              <w:ind w:left="0" w:right="0" w:hanging="0"/>
              <w:rPr/>
            </w:pPr>
            <w:r>
              <w:rPr/>
              <w:t> </w:t>
            </w:r>
          </w:p>
        </w:tc>
        <w:tc>
          <w:tcPr>
            <w:tcW w:w="818" w:type="dxa"/>
            <w:gridSpan w:val="2"/>
            <w:tcBorders/>
            <w:shd w:fill="auto" w:val="clear"/>
            <w:vAlign w:val="bottom"/>
          </w:tcPr>
          <w:p>
            <w:pPr>
              <w:pStyle w:val="TableContents"/>
              <w:spacing w:lineRule="atLeast" w:line="160" w:before="0" w:after="0"/>
              <w:ind w:left="0" w:right="0" w:hanging="0"/>
              <w:rPr/>
            </w:pPr>
            <w:r>
              <w:rPr/>
              <w:t> </w:t>
            </w:r>
          </w:p>
        </w:tc>
        <w:tc>
          <w:tcPr>
            <w:tcW w:w="205" w:type="dxa"/>
            <w:tcBorders/>
            <w:shd w:fill="auto" w:val="clear"/>
            <w:vAlign w:val="bottom"/>
          </w:tcPr>
          <w:p>
            <w:pPr>
              <w:pStyle w:val="TableContents"/>
              <w:spacing w:lineRule="atLeast" w:line="160" w:before="0" w:after="0"/>
              <w:ind w:left="0" w:right="0" w:hanging="0"/>
              <w:rPr/>
            </w:pPr>
            <w:r>
              <w:rPr/>
              <w:t> </w:t>
            </w:r>
          </w:p>
        </w:tc>
        <w:tc>
          <w:tcPr>
            <w:tcW w:w="775"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General</w:t>
            </w:r>
          </w:p>
        </w:tc>
        <w:tc>
          <w:tcPr>
            <w:tcW w:w="205" w:type="dxa"/>
            <w:tcBorders/>
            <w:shd w:fill="auto" w:val="clear"/>
            <w:vAlign w:val="bottom"/>
          </w:tcPr>
          <w:p>
            <w:pPr>
              <w:pStyle w:val="TableContents"/>
              <w:spacing w:lineRule="atLeast" w:line="160" w:before="0" w:after="0"/>
              <w:ind w:left="0" w:right="0" w:hanging="0"/>
              <w:rPr/>
            </w:pPr>
            <w:r>
              <w:rPr/>
              <w:t> </w:t>
            </w:r>
          </w:p>
        </w:tc>
        <w:tc>
          <w:tcPr>
            <w:tcW w:w="818"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Partners</w:t>
            </w:r>
          </w:p>
        </w:tc>
        <w:tc>
          <w:tcPr>
            <w:tcW w:w="400" w:type="dxa"/>
            <w:tcBorders/>
            <w:shd w:fill="auto" w:val="clear"/>
            <w:vAlign w:val="bottom"/>
          </w:tcPr>
          <w:p>
            <w:pPr>
              <w:pStyle w:val="TableContents"/>
              <w:spacing w:lineRule="atLeast" w:line="160" w:before="0" w:after="0"/>
              <w:ind w:left="0" w:right="0" w:hanging="0"/>
              <w:rPr/>
            </w:pPr>
            <w:r>
              <w:rPr/>
              <w:t> </w:t>
            </w:r>
          </w:p>
        </w:tc>
      </w:tr>
      <w:tr>
        <w:trPr/>
        <w:tc>
          <w:tcPr>
            <w:tcW w:w="5849" w:type="dxa"/>
            <w:tcBorders/>
            <w:shd w:fill="auto" w:val="clear"/>
            <w:vAlign w:val="bottom"/>
          </w:tcPr>
          <w:p>
            <w:pPr>
              <w:pStyle w:val="TableContents"/>
              <w:spacing w:lineRule="atLeast" w:line="160" w:before="0" w:after="0"/>
              <w:ind w:left="0" w:right="0" w:hanging="0"/>
              <w:rPr/>
            </w:pPr>
            <w:r>
              <w:rPr/>
              <w:t> </w:t>
            </w:r>
          </w:p>
        </w:tc>
        <w:tc>
          <w:tcPr>
            <w:tcW w:w="200" w:type="dxa"/>
            <w:tcBorders/>
            <w:shd w:fill="auto" w:val="clear"/>
            <w:vAlign w:val="bottom"/>
          </w:tcPr>
          <w:p>
            <w:pPr>
              <w:pStyle w:val="TableContents"/>
              <w:spacing w:lineRule="atLeast" w:line="160" w:before="0" w:after="0"/>
              <w:ind w:left="0" w:right="0" w:hanging="0"/>
              <w:rPr/>
            </w:pPr>
            <w:r>
              <w:rPr/>
              <w:t> </w:t>
            </w:r>
          </w:p>
        </w:tc>
        <w:tc>
          <w:tcPr>
            <w:tcW w:w="1753"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Common Units</w:t>
            </w:r>
          </w:p>
        </w:tc>
        <w:tc>
          <w:tcPr>
            <w:tcW w:w="205" w:type="dxa"/>
            <w:tcBorders/>
            <w:shd w:fill="auto" w:val="clear"/>
            <w:vAlign w:val="bottom"/>
          </w:tcPr>
          <w:p>
            <w:pPr>
              <w:pStyle w:val="TableContents"/>
              <w:spacing w:lineRule="atLeast" w:line="160" w:before="0" w:after="0"/>
              <w:ind w:left="0" w:right="0" w:hanging="0"/>
              <w:rPr/>
            </w:pPr>
            <w:r>
              <w:rPr/>
              <w:t> </w:t>
            </w:r>
          </w:p>
        </w:tc>
        <w:tc>
          <w:tcPr>
            <w:tcW w:w="775"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Partner</w:t>
            </w:r>
          </w:p>
        </w:tc>
        <w:tc>
          <w:tcPr>
            <w:tcW w:w="205" w:type="dxa"/>
            <w:tcBorders/>
            <w:shd w:fill="auto" w:val="clear"/>
            <w:vAlign w:val="bottom"/>
          </w:tcPr>
          <w:p>
            <w:pPr>
              <w:pStyle w:val="TableContents"/>
              <w:spacing w:lineRule="atLeast" w:line="160" w:before="0" w:after="0"/>
              <w:ind w:left="0" w:right="0" w:hanging="0"/>
              <w:rPr/>
            </w:pPr>
            <w:r>
              <w:rPr/>
              <w:t> </w:t>
            </w:r>
          </w:p>
        </w:tc>
        <w:tc>
          <w:tcPr>
            <w:tcW w:w="818"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Capital</w:t>
            </w:r>
          </w:p>
        </w:tc>
        <w:tc>
          <w:tcPr>
            <w:tcW w:w="400" w:type="dxa"/>
            <w:tcBorders/>
            <w:shd w:fill="auto" w:val="clear"/>
            <w:vAlign w:val="bottom"/>
          </w:tcPr>
          <w:p>
            <w:pPr>
              <w:pStyle w:val="TableContents"/>
              <w:spacing w:lineRule="atLeast" w:line="160" w:before="0" w:after="0"/>
              <w:ind w:left="0" w:right="0" w:hanging="0"/>
              <w:rPr/>
            </w:pPr>
            <w:r>
              <w:rPr/>
              <w:t> </w:t>
            </w:r>
          </w:p>
        </w:tc>
      </w:tr>
      <w:tr>
        <w:trPr/>
        <w:tc>
          <w:tcPr>
            <w:tcW w:w="5849" w:type="dxa"/>
            <w:tcBorders/>
            <w:shd w:fill="auto" w:val="clear"/>
            <w:vAlign w:val="bottom"/>
          </w:tcPr>
          <w:p>
            <w:pPr>
              <w:pStyle w:val="TableContents"/>
              <w:spacing w:lineRule="atLeast" w:line="160" w:before="0" w:after="0"/>
              <w:ind w:left="0" w:right="0" w:hanging="0"/>
              <w:rPr/>
            </w:pPr>
            <w:r>
              <w:rPr/>
              <w:t> </w:t>
            </w:r>
          </w:p>
        </w:tc>
        <w:tc>
          <w:tcPr>
            <w:tcW w:w="200" w:type="dxa"/>
            <w:tcBorders/>
            <w:shd w:fill="auto" w:val="clear"/>
            <w:vAlign w:val="bottom"/>
          </w:tcPr>
          <w:p>
            <w:pPr>
              <w:pStyle w:val="TableContents"/>
              <w:spacing w:lineRule="atLeast" w:line="160" w:before="0" w:after="0"/>
              <w:ind w:left="0" w:right="0" w:hanging="0"/>
              <w:rPr/>
            </w:pPr>
            <w:r>
              <w:rPr/>
              <w:t> </w:t>
            </w:r>
          </w:p>
        </w:tc>
        <w:tc>
          <w:tcPr>
            <w:tcW w:w="735"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Units</w:t>
            </w:r>
          </w:p>
        </w:tc>
        <w:tc>
          <w:tcPr>
            <w:tcW w:w="200" w:type="dxa"/>
            <w:tcBorders/>
            <w:shd w:fill="auto" w:val="clear"/>
            <w:vAlign w:val="bottom"/>
          </w:tcPr>
          <w:p>
            <w:pPr>
              <w:pStyle w:val="TableContents"/>
              <w:spacing w:lineRule="atLeast" w:line="160" w:before="0" w:after="0"/>
              <w:ind w:left="0" w:right="0" w:hanging="0"/>
              <w:rPr/>
            </w:pPr>
            <w:r>
              <w:rPr/>
              <w:t> </w:t>
            </w:r>
          </w:p>
        </w:tc>
        <w:tc>
          <w:tcPr>
            <w:tcW w:w="818"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Amount</w:t>
            </w:r>
          </w:p>
        </w:tc>
        <w:tc>
          <w:tcPr>
            <w:tcW w:w="205" w:type="dxa"/>
            <w:tcBorders/>
            <w:shd w:fill="auto" w:val="clear"/>
            <w:vAlign w:val="bottom"/>
          </w:tcPr>
          <w:p>
            <w:pPr>
              <w:pStyle w:val="TableContents"/>
              <w:spacing w:lineRule="atLeast" w:line="160" w:before="0" w:after="0"/>
              <w:ind w:left="0" w:right="0" w:hanging="0"/>
              <w:rPr/>
            </w:pPr>
            <w:r>
              <w:rPr/>
              <w:t> </w:t>
            </w:r>
          </w:p>
        </w:tc>
        <w:tc>
          <w:tcPr>
            <w:tcW w:w="77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Amount</w:t>
            </w:r>
          </w:p>
        </w:tc>
        <w:tc>
          <w:tcPr>
            <w:tcW w:w="205" w:type="dxa"/>
            <w:tcBorders/>
            <w:shd w:fill="auto" w:val="clear"/>
            <w:vAlign w:val="bottom"/>
          </w:tcPr>
          <w:p>
            <w:pPr>
              <w:pStyle w:val="TableContents"/>
              <w:spacing w:lineRule="atLeast" w:line="160" w:before="0" w:after="0"/>
              <w:ind w:left="0" w:right="0" w:hanging="0"/>
              <w:rPr/>
            </w:pPr>
            <w:r>
              <w:rPr/>
              <w:t> </w:t>
            </w:r>
          </w:p>
        </w:tc>
        <w:tc>
          <w:tcPr>
            <w:tcW w:w="818"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Amount</w:t>
            </w:r>
          </w:p>
        </w:tc>
        <w:tc>
          <w:tcPr>
            <w:tcW w:w="400"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p>
        </w:tc>
      </w:tr>
      <w:tr>
        <w:trPr/>
        <w:tc>
          <w:tcPr>
            <w:tcW w:w="5849" w:type="dxa"/>
            <w:tcBorders/>
            <w:shd w:fill="auto" w:val="clear"/>
            <w:vAlign w:val="bottom"/>
          </w:tcPr>
          <w:p>
            <w:pPr>
              <w:pStyle w:val="TableContents"/>
              <w:spacing w:lineRule="atLeast" w:line="160" w:before="0" w:after="0"/>
              <w:ind w:left="0" w:right="0" w:hanging="0"/>
              <w:rPr/>
            </w:pPr>
            <w:r>
              <w:rPr/>
              <w:t> </w:t>
            </w:r>
          </w:p>
        </w:tc>
        <w:tc>
          <w:tcPr>
            <w:tcW w:w="200" w:type="dxa"/>
            <w:tcBorders/>
            <w:shd w:fill="auto" w:val="clear"/>
            <w:vAlign w:val="bottom"/>
          </w:tcPr>
          <w:p>
            <w:pPr>
              <w:pStyle w:val="TableContents"/>
              <w:spacing w:lineRule="atLeast" w:line="160" w:before="0" w:after="0"/>
              <w:ind w:left="0" w:right="0" w:hanging="0"/>
              <w:rPr/>
            </w:pPr>
            <w:r>
              <w:rPr/>
              <w:t> </w:t>
            </w:r>
          </w:p>
        </w:tc>
        <w:tc>
          <w:tcPr>
            <w:tcW w:w="3756" w:type="dxa"/>
            <w:gridSpan w:val="1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(unaudited)</w:t>
            </w:r>
          </w:p>
        </w:tc>
        <w:tc>
          <w:tcPr>
            <w:tcW w:w="400" w:type="dxa"/>
            <w:tcBorders/>
            <w:shd w:fill="auto" w:val="clear"/>
            <w:vAlign w:val="bottom"/>
          </w:tcPr>
          <w:p>
            <w:pPr>
              <w:pStyle w:val="TableContents"/>
              <w:spacing w:lineRule="atLeast" w:line="160" w:before="0" w:after="0"/>
              <w:ind w:left="0" w:right="0" w:hanging="0"/>
              <w:rPr/>
            </w:pPr>
            <w:r>
              <w:rPr/>
              <w:t> </w:t>
            </w:r>
          </w:p>
        </w:tc>
      </w:tr>
      <w:tr>
        <w:trPr/>
        <w:tc>
          <w:tcPr>
            <w:tcW w:w="58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at December 31, 2005</w:t>
            </w:r>
          </w:p>
        </w:tc>
        <w:tc>
          <w:tcPr>
            <w:tcW w:w="200" w:type="dxa"/>
            <w:tcBorders/>
            <w:shd w:fill="CCEEFF" w:val="clear"/>
            <w:vAlign w:val="bottom"/>
          </w:tcPr>
          <w:p>
            <w:pPr>
              <w:pStyle w:val="TableContents"/>
              <w:spacing w:before="0" w:after="0"/>
              <w:ind w:left="0" w:right="0" w:hanging="0"/>
              <w:rPr/>
            </w:pPr>
            <w:r>
              <w:rPr/>
              <w:t> </w:t>
            </w:r>
          </w:p>
        </w:tc>
        <w:tc>
          <w:tcPr>
            <w:tcW w:w="73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73.8</w:t>
            </w:r>
          </w:p>
        </w:tc>
        <w:tc>
          <w:tcPr>
            <w:tcW w:w="200"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jc w:val="left"/>
              <w:rPr>
                <w:rFonts w:ascii="Times New Roman" w:hAnsi="Times New Roman"/>
                <w:b/>
                <w:sz w:val="17"/>
              </w:rPr>
            </w:pPr>
            <w:r>
              <w:rPr>
                <w:rFonts w:ascii="Times New Roman" w:hAnsi="Times New Roman"/>
                <w:b/>
                <w:sz w:val="17"/>
              </w:rPr>
              <w:t>$</w:t>
            </w:r>
          </w:p>
        </w:tc>
        <w:tc>
          <w:tcPr>
            <w:tcW w:w="69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1,294.1</w:t>
            </w:r>
          </w:p>
        </w:tc>
        <w:tc>
          <w:tcPr>
            <w:tcW w:w="205"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jc w:val="left"/>
              <w:rPr>
                <w:rFonts w:ascii="Times New Roman" w:hAnsi="Times New Roman"/>
                <w:b/>
                <w:sz w:val="17"/>
              </w:rPr>
            </w:pPr>
            <w:r>
              <w:rPr>
                <w:rFonts w:ascii="Times New Roman" w:hAnsi="Times New Roman"/>
                <w:b/>
                <w:sz w:val="17"/>
              </w:rPr>
              <w:t>$</w:t>
            </w:r>
          </w:p>
        </w:tc>
        <w:tc>
          <w:tcPr>
            <w:tcW w:w="65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36.6</w:t>
            </w:r>
          </w:p>
        </w:tc>
        <w:tc>
          <w:tcPr>
            <w:tcW w:w="205" w:type="dxa"/>
            <w:tcBorders/>
            <w:shd w:fill="CCEEFF" w:val="clear"/>
            <w:vAlign w:val="bottom"/>
          </w:tcPr>
          <w:p>
            <w:pPr>
              <w:pStyle w:val="TableContents"/>
              <w:spacing w:before="0" w:after="0"/>
              <w:ind w:left="0" w:right="0" w:hanging="0"/>
              <w:rPr/>
            </w:pPr>
            <w:r>
              <w:rPr/>
              <w:t> </w:t>
            </w:r>
          </w:p>
        </w:tc>
        <w:tc>
          <w:tcPr>
            <w:tcW w:w="120" w:type="dxa"/>
            <w:tcBorders/>
            <w:shd w:fill="CCEEFF" w:val="clear"/>
            <w:vAlign w:val="bottom"/>
          </w:tcPr>
          <w:p>
            <w:pPr>
              <w:pStyle w:val="TableContents"/>
              <w:spacing w:before="0" w:after="0"/>
              <w:ind w:left="0" w:right="0" w:hanging="0"/>
              <w:jc w:val="left"/>
              <w:rPr>
                <w:rFonts w:ascii="Times New Roman" w:hAnsi="Times New Roman"/>
                <w:b/>
                <w:sz w:val="17"/>
              </w:rPr>
            </w:pPr>
            <w:r>
              <w:rPr>
                <w:rFonts w:ascii="Times New Roman" w:hAnsi="Times New Roman"/>
                <w:b/>
                <w:sz w:val="17"/>
              </w:rPr>
              <w:t>$</w:t>
            </w:r>
          </w:p>
        </w:tc>
        <w:tc>
          <w:tcPr>
            <w:tcW w:w="69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1,330.7</w:t>
            </w:r>
          </w:p>
        </w:tc>
        <w:tc>
          <w:tcPr>
            <w:tcW w:w="400" w:type="dxa"/>
            <w:tcBorders/>
            <w:shd w:fill="CCEEFF" w:val="clear"/>
            <w:vAlign w:val="bottom"/>
          </w:tcPr>
          <w:p>
            <w:pPr>
              <w:pStyle w:val="TableContents"/>
              <w:spacing w:before="0" w:after="0"/>
              <w:ind w:left="0" w:right="0" w:hanging="0"/>
              <w:rPr/>
            </w:pPr>
            <w:r>
              <w:rPr/>
              <w:t> </w:t>
            </w:r>
          </w:p>
        </w:tc>
      </w:tr>
      <w:tr>
        <w:trPr/>
        <w:tc>
          <w:tcPr>
            <w:tcW w:w="5849"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735"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775"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rPr/>
            </w:pPr>
            <w:r>
              <w:rPr/>
              <w:t> </w:t>
            </w:r>
          </w:p>
        </w:tc>
        <w:tc>
          <w:tcPr>
            <w:tcW w:w="400" w:type="dxa"/>
            <w:tcBorders/>
            <w:shd w:fill="auto" w:val="clear"/>
            <w:vAlign w:val="bottom"/>
          </w:tcPr>
          <w:p>
            <w:pPr>
              <w:pStyle w:val="TableContents"/>
              <w:spacing w:before="0" w:after="0"/>
              <w:ind w:left="0" w:right="0" w:hanging="0"/>
              <w:rPr/>
            </w:pPr>
            <w:r>
              <w:rPr/>
              <w:t> </w:t>
            </w:r>
          </w:p>
        </w:tc>
      </w:tr>
      <w:tr>
        <w:trPr/>
        <w:tc>
          <w:tcPr>
            <w:tcW w:w="58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00" w:type="dxa"/>
            <w:tcBorders/>
            <w:shd w:fill="CCEEFF" w:val="clear"/>
            <w:vAlign w:val="bottom"/>
          </w:tcPr>
          <w:p>
            <w:pPr>
              <w:pStyle w:val="TableContents"/>
              <w:spacing w:before="0" w:after="0"/>
              <w:ind w:left="0" w:right="0" w:hanging="0"/>
              <w:rPr/>
            </w:pPr>
            <w:r>
              <w:rPr/>
              <w:t> </w:t>
            </w:r>
          </w:p>
        </w:tc>
        <w:tc>
          <w:tcPr>
            <w:tcW w:w="7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128.2</w:t>
            </w:r>
          </w:p>
        </w:tc>
        <w:tc>
          <w:tcPr>
            <w:tcW w:w="205" w:type="dxa"/>
            <w:tcBorders/>
            <w:shd w:fill="CCEEFF" w:val="clear"/>
            <w:vAlign w:val="bottom"/>
          </w:tcPr>
          <w:p>
            <w:pPr>
              <w:pStyle w:val="TableContents"/>
              <w:spacing w:before="0" w:after="0"/>
              <w:ind w:left="0" w:right="0" w:hanging="0"/>
              <w:rPr/>
            </w:pPr>
            <w:r>
              <w:rPr/>
              <w:t> </w:t>
            </w:r>
          </w:p>
        </w:tc>
        <w:tc>
          <w:tcPr>
            <w:tcW w:w="77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15.5</w:t>
            </w:r>
          </w:p>
        </w:tc>
        <w:tc>
          <w:tcPr>
            <w:tcW w:w="205"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143.7</w:t>
            </w:r>
          </w:p>
        </w:tc>
        <w:tc>
          <w:tcPr>
            <w:tcW w:w="400" w:type="dxa"/>
            <w:tcBorders/>
            <w:shd w:fill="CCEEFF" w:val="clear"/>
            <w:vAlign w:val="bottom"/>
          </w:tcPr>
          <w:p>
            <w:pPr>
              <w:pStyle w:val="TableContents"/>
              <w:spacing w:before="0" w:after="0"/>
              <w:ind w:left="0" w:right="0" w:hanging="0"/>
              <w:rPr/>
            </w:pPr>
            <w:r>
              <w:rPr/>
              <w:t> </w:t>
            </w:r>
          </w:p>
        </w:tc>
      </w:tr>
      <w:tr>
        <w:trPr/>
        <w:tc>
          <w:tcPr>
            <w:tcW w:w="5849"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735"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775"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rPr/>
            </w:pPr>
            <w:r>
              <w:rPr/>
              <w:t> </w:t>
            </w:r>
          </w:p>
        </w:tc>
        <w:tc>
          <w:tcPr>
            <w:tcW w:w="400" w:type="dxa"/>
            <w:tcBorders/>
            <w:shd w:fill="auto" w:val="clear"/>
            <w:vAlign w:val="bottom"/>
          </w:tcPr>
          <w:p>
            <w:pPr>
              <w:pStyle w:val="TableContents"/>
              <w:spacing w:before="0" w:after="0"/>
              <w:ind w:left="0" w:right="0" w:hanging="0"/>
              <w:rPr/>
            </w:pPr>
            <w:r>
              <w:rPr/>
              <w:t> </w:t>
            </w:r>
          </w:p>
        </w:tc>
      </w:tr>
      <w:tr>
        <w:trPr/>
        <w:tc>
          <w:tcPr>
            <w:tcW w:w="58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200" w:type="dxa"/>
            <w:tcBorders/>
            <w:shd w:fill="CCEEFF" w:val="clear"/>
            <w:vAlign w:val="bottom"/>
          </w:tcPr>
          <w:p>
            <w:pPr>
              <w:pStyle w:val="TableContents"/>
              <w:spacing w:before="0" w:after="0"/>
              <w:ind w:left="0" w:right="0" w:hanging="0"/>
              <w:rPr/>
            </w:pPr>
            <w:r>
              <w:rPr/>
              <w:t> </w:t>
            </w:r>
          </w:p>
        </w:tc>
        <w:tc>
          <w:tcPr>
            <w:tcW w:w="7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(105.3</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(15.1</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8"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(120.4</w:t>
            </w:r>
          </w:p>
        </w:tc>
        <w:tc>
          <w:tcPr>
            <w:tcW w:w="4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49"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735"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775"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rPr/>
            </w:pPr>
            <w:r>
              <w:rPr/>
              <w:t> </w:t>
            </w:r>
          </w:p>
        </w:tc>
        <w:tc>
          <w:tcPr>
            <w:tcW w:w="400" w:type="dxa"/>
            <w:tcBorders/>
            <w:shd w:fill="auto" w:val="clear"/>
            <w:vAlign w:val="bottom"/>
          </w:tcPr>
          <w:p>
            <w:pPr>
              <w:pStyle w:val="TableContents"/>
              <w:spacing w:before="0" w:after="0"/>
              <w:ind w:left="0" w:right="0" w:hanging="0"/>
              <w:rPr/>
            </w:pPr>
            <w:r>
              <w:rPr/>
              <w:t> </w:t>
            </w:r>
          </w:p>
        </w:tc>
      </w:tr>
      <w:tr>
        <w:trPr/>
        <w:tc>
          <w:tcPr>
            <w:tcW w:w="58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Issuance of common units</w:t>
            </w:r>
          </w:p>
        </w:tc>
        <w:tc>
          <w:tcPr>
            <w:tcW w:w="200" w:type="dxa"/>
            <w:tcBorders/>
            <w:shd w:fill="CCEEFF" w:val="clear"/>
            <w:vAlign w:val="bottom"/>
          </w:tcPr>
          <w:p>
            <w:pPr>
              <w:pStyle w:val="TableContents"/>
              <w:spacing w:before="0" w:after="0"/>
              <w:ind w:left="0" w:right="0" w:hanging="0"/>
              <w:rPr/>
            </w:pPr>
            <w:r>
              <w:rPr/>
              <w:t> </w:t>
            </w:r>
          </w:p>
        </w:tc>
        <w:tc>
          <w:tcPr>
            <w:tcW w:w="73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200"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149.3</w:t>
            </w:r>
          </w:p>
        </w:tc>
        <w:tc>
          <w:tcPr>
            <w:tcW w:w="205" w:type="dxa"/>
            <w:tcBorders/>
            <w:shd w:fill="CCEEFF" w:val="clear"/>
            <w:vAlign w:val="bottom"/>
          </w:tcPr>
          <w:p>
            <w:pPr>
              <w:pStyle w:val="TableContents"/>
              <w:spacing w:before="0" w:after="0"/>
              <w:ind w:left="0" w:right="0" w:hanging="0"/>
              <w:rPr/>
            </w:pPr>
            <w:r>
              <w:rPr/>
              <w:t> </w:t>
            </w:r>
          </w:p>
        </w:tc>
        <w:tc>
          <w:tcPr>
            <w:tcW w:w="77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205" w:type="dxa"/>
            <w:tcBorders/>
            <w:shd w:fill="CCEEFF" w:val="clear"/>
            <w:vAlign w:val="bottom"/>
          </w:tcPr>
          <w:p>
            <w:pPr>
              <w:pStyle w:val="TableContents"/>
              <w:spacing w:before="0" w:after="0"/>
              <w:ind w:left="0" w:right="0" w:hanging="0"/>
              <w:rPr/>
            </w:pPr>
            <w:r>
              <w:rPr/>
              <w:t> </w:t>
            </w:r>
          </w:p>
        </w:tc>
        <w:tc>
          <w:tcPr>
            <w:tcW w:w="818"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152.4</w:t>
            </w:r>
          </w:p>
        </w:tc>
        <w:tc>
          <w:tcPr>
            <w:tcW w:w="400" w:type="dxa"/>
            <w:tcBorders/>
            <w:shd w:fill="CCEEFF" w:val="clear"/>
            <w:vAlign w:val="bottom"/>
          </w:tcPr>
          <w:p>
            <w:pPr>
              <w:pStyle w:val="TableContents"/>
              <w:spacing w:before="0" w:after="0"/>
              <w:ind w:left="0" w:right="0" w:hanging="0"/>
              <w:rPr/>
            </w:pPr>
            <w:r>
              <w:rPr/>
              <w:t> </w:t>
            </w:r>
          </w:p>
        </w:tc>
      </w:tr>
      <w:tr>
        <w:trPr/>
        <w:tc>
          <w:tcPr>
            <w:tcW w:w="5849"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735"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775"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rPr/>
            </w:pPr>
            <w:r>
              <w:rPr/>
              <w:t> </w:t>
            </w:r>
          </w:p>
        </w:tc>
        <w:tc>
          <w:tcPr>
            <w:tcW w:w="400" w:type="dxa"/>
            <w:tcBorders/>
            <w:shd w:fill="auto" w:val="clear"/>
            <w:vAlign w:val="bottom"/>
          </w:tcPr>
          <w:p>
            <w:pPr>
              <w:pStyle w:val="TableContents"/>
              <w:spacing w:before="0" w:after="0"/>
              <w:ind w:left="0" w:right="0" w:hanging="0"/>
              <w:rPr/>
            </w:pPr>
            <w:r>
              <w:rPr/>
              <w:t> </w:t>
            </w:r>
          </w:p>
        </w:tc>
      </w:tr>
      <w:tr>
        <w:trPr/>
        <w:tc>
          <w:tcPr>
            <w:tcW w:w="58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comprehensive income</w:t>
            </w:r>
          </w:p>
        </w:tc>
        <w:tc>
          <w:tcPr>
            <w:tcW w:w="200" w:type="dxa"/>
            <w:tcBorders/>
            <w:shd w:fill="CCEEFF" w:val="clear"/>
            <w:vAlign w:val="bottom"/>
          </w:tcPr>
          <w:p>
            <w:pPr>
              <w:pStyle w:val="TableContents"/>
              <w:spacing w:before="0" w:after="0"/>
              <w:ind w:left="0" w:right="0" w:hanging="0"/>
              <w:rPr/>
            </w:pPr>
            <w:r>
              <w:rPr/>
              <w:t> </w:t>
            </w:r>
          </w:p>
        </w:tc>
        <w:tc>
          <w:tcPr>
            <w:tcW w:w="735"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818"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19.3</w:t>
            </w:r>
          </w:p>
        </w:tc>
        <w:tc>
          <w:tcPr>
            <w:tcW w:w="205" w:type="dxa"/>
            <w:tcBorders/>
            <w:shd w:fill="CCEEFF" w:val="clear"/>
            <w:vAlign w:val="bottom"/>
          </w:tcPr>
          <w:p>
            <w:pPr>
              <w:pStyle w:val="TableContents"/>
              <w:spacing w:before="0" w:after="0"/>
              <w:ind w:left="0" w:right="0" w:hanging="0"/>
              <w:rPr/>
            </w:pPr>
            <w:r>
              <w:rPr/>
              <w:t> </w:t>
            </w:r>
          </w:p>
        </w:tc>
        <w:tc>
          <w:tcPr>
            <w:tcW w:w="77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0.4</w:t>
            </w:r>
          </w:p>
        </w:tc>
        <w:tc>
          <w:tcPr>
            <w:tcW w:w="205" w:type="dxa"/>
            <w:tcBorders/>
            <w:shd w:fill="CCEEFF" w:val="clear"/>
            <w:vAlign w:val="bottom"/>
          </w:tcPr>
          <w:p>
            <w:pPr>
              <w:pStyle w:val="TableContents"/>
              <w:spacing w:before="0" w:after="0"/>
              <w:ind w:left="0" w:right="0" w:hanging="0"/>
              <w:rPr/>
            </w:pPr>
            <w:r>
              <w:rPr/>
              <w:t> </w:t>
            </w:r>
          </w:p>
        </w:tc>
        <w:tc>
          <w:tcPr>
            <w:tcW w:w="818"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19.7</w:t>
            </w:r>
          </w:p>
        </w:tc>
        <w:tc>
          <w:tcPr>
            <w:tcW w:w="400" w:type="dxa"/>
            <w:tcBorders/>
            <w:shd w:fill="CCEEFF" w:val="clear"/>
            <w:vAlign w:val="bottom"/>
          </w:tcPr>
          <w:p>
            <w:pPr>
              <w:pStyle w:val="TableContents"/>
              <w:spacing w:before="0" w:after="0"/>
              <w:ind w:left="0" w:right="0" w:hanging="0"/>
              <w:rPr/>
            </w:pPr>
            <w:r>
              <w:rPr/>
              <w:t> </w:t>
            </w:r>
          </w:p>
        </w:tc>
      </w:tr>
      <w:tr>
        <w:trPr/>
        <w:tc>
          <w:tcPr>
            <w:tcW w:w="5849"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735" w:type="dxa"/>
            <w:tcBorders/>
            <w:shd w:fill="auto" w:val="clear"/>
            <w:vAlign w:val="bottom"/>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775"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18" w:type="dxa"/>
            <w:gridSpan w:val="2"/>
            <w:tcBorders/>
            <w:shd w:fill="auto" w:val="clear"/>
            <w:vAlign w:val="bottom"/>
          </w:tcPr>
          <w:p>
            <w:pPr>
              <w:pStyle w:val="TableContents"/>
              <w:spacing w:before="0" w:after="0"/>
              <w:ind w:left="0" w:right="0" w:hanging="0"/>
              <w:rPr/>
            </w:pPr>
            <w:r>
              <w:rPr/>
              <w:t> </w:t>
            </w:r>
          </w:p>
        </w:tc>
        <w:tc>
          <w:tcPr>
            <w:tcW w:w="400" w:type="dxa"/>
            <w:tcBorders/>
            <w:shd w:fill="auto" w:val="clear"/>
            <w:vAlign w:val="bottom"/>
          </w:tcPr>
          <w:p>
            <w:pPr>
              <w:pStyle w:val="TableContents"/>
              <w:spacing w:before="0" w:after="0"/>
              <w:ind w:left="0" w:right="0" w:hanging="0"/>
              <w:rPr/>
            </w:pPr>
            <w:r>
              <w:rPr/>
              <w:t> </w:t>
            </w:r>
          </w:p>
        </w:tc>
      </w:tr>
      <w:tr>
        <w:trPr/>
        <w:tc>
          <w:tcPr>
            <w:tcW w:w="584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at June 30, 2006</w:t>
            </w:r>
          </w:p>
        </w:tc>
        <w:tc>
          <w:tcPr>
            <w:tcW w:w="200" w:type="dxa"/>
            <w:tcBorders/>
            <w:shd w:fill="CCEEFF" w:val="clear"/>
            <w:vAlign w:val="bottom"/>
          </w:tcPr>
          <w:p>
            <w:pPr>
              <w:pStyle w:val="TableContents"/>
              <w:spacing w:before="0" w:after="0"/>
              <w:ind w:left="0" w:right="0" w:hanging="0"/>
              <w:rPr/>
            </w:pPr>
            <w:r>
              <w:rPr/>
              <w:t> </w:t>
            </w:r>
          </w:p>
        </w:tc>
        <w:tc>
          <w:tcPr>
            <w:tcW w:w="73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77.3</w:t>
            </w:r>
          </w:p>
        </w:tc>
        <w:tc>
          <w:tcPr>
            <w:tcW w:w="200"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b/>
                <w:sz w:val="17"/>
              </w:rPr>
            </w:pPr>
            <w:r>
              <w:rPr>
                <w:rFonts w:ascii="Times New Roman" w:hAnsi="Times New Roman"/>
                <w:b/>
                <w:sz w:val="17"/>
              </w:rPr>
              <w:t>$</w:t>
            </w:r>
          </w:p>
        </w:tc>
        <w:tc>
          <w:tcPr>
            <w:tcW w:w="69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1,485.6</w:t>
            </w:r>
          </w:p>
        </w:tc>
        <w:tc>
          <w:tcPr>
            <w:tcW w:w="205"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b/>
                <w:sz w:val="17"/>
              </w:rPr>
            </w:pPr>
            <w:r>
              <w:rPr>
                <w:rFonts w:ascii="Times New Roman" w:hAnsi="Times New Roman"/>
                <w:b/>
                <w:sz w:val="17"/>
              </w:rPr>
              <w:t>$</w:t>
            </w:r>
          </w:p>
        </w:tc>
        <w:tc>
          <w:tcPr>
            <w:tcW w:w="6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40.5</w:t>
            </w:r>
          </w:p>
        </w:tc>
        <w:tc>
          <w:tcPr>
            <w:tcW w:w="205" w:type="dxa"/>
            <w:tcBorders/>
            <w:shd w:fill="CCEEFF" w:val="clear"/>
            <w:vAlign w:val="bottom"/>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b/>
                <w:sz w:val="17"/>
              </w:rPr>
            </w:pPr>
            <w:r>
              <w:rPr>
                <w:rFonts w:ascii="Times New Roman" w:hAnsi="Times New Roman"/>
                <w:b/>
                <w:sz w:val="17"/>
              </w:rPr>
              <w:t>$</w:t>
            </w:r>
          </w:p>
        </w:tc>
        <w:tc>
          <w:tcPr>
            <w:tcW w:w="69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1,526.1</w:t>
            </w:r>
          </w:p>
        </w:tc>
        <w:tc>
          <w:tcPr>
            <w:tcW w:w="400" w:type="dxa"/>
            <w:tcBorders/>
            <w:shd w:fill="CCEEFF"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notes are an integral part of these consolidated financial statements.</w:t>
      </w:r>
    </w:p>
    <w:p>
      <w:pPr>
        <w:pStyle w:val="TextBody"/>
        <w:spacing w:before="480" w:after="480"/>
        <w:ind w:left="0" w:right="0" w:hanging="0"/>
        <w:rPr>
          <w:rFonts w:ascii="Times New Roman" w:hAnsi="Times New Roman"/>
          <w:sz w:val="17"/>
        </w:rPr>
      </w:pPr>
      <w:r>
        <w:rPr>
          <w:rFonts w:ascii="Times New Roman" w:hAnsi="Times New Roman"/>
          <w:sz w:val="17"/>
        </w:rPr>
        <w:t>6</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CONSOLIDATED STATEMENTS OF COMPREHENSIVE INCOME</w:t>
      </w:r>
      <w:bookmarkStart w:id="9" w:name="ConsolidatedStatementsOfComprehen_113621"/>
      <w:bookmarkEnd w:id="9"/>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(in millions)</w:t>
      </w:r>
    </w:p>
    <w:tbl>
      <w:tblPr>
        <w:tblW w:w="5000" w:type="pct"/>
        <w:jc w:val="left"/>
        <w:tblInd w:w="0" w:type="dxa"/>
        <w:tblCellMar>
          <w:top w:w="0" w:type="dxa"/>
          <w:left w:w="0" w:type="dxa"/>
          <w:bottom w:w="0" w:type="dxa"/>
          <w:right w:w="0" w:type="dxa"/>
        </w:tblCellMar>
      </w:tblPr>
      <w:tblGrid>
        <w:gridCol w:w="5590"/>
        <w:gridCol w:w="198"/>
        <w:gridCol w:w="145"/>
        <w:gridCol w:w="701"/>
        <w:gridCol w:w="205"/>
        <w:gridCol w:w="145"/>
        <w:gridCol w:w="703"/>
        <w:gridCol w:w="206"/>
        <w:gridCol w:w="133"/>
        <w:gridCol w:w="705"/>
        <w:gridCol w:w="199"/>
        <w:gridCol w:w="133"/>
        <w:gridCol w:w="667"/>
        <w:gridCol w:w="475"/>
      </w:tblGrid>
      <w:tr>
        <w:trPr/>
        <w:tc>
          <w:tcPr>
            <w:tcW w:w="5590" w:type="dxa"/>
            <w:tcBorders/>
            <w:shd w:fill="auto" w:val="clear"/>
            <w:vAlign w:val="bottom"/>
          </w:tcPr>
          <w:p>
            <w:pPr>
              <w:pStyle w:val="TableContents"/>
              <w:spacing w:lineRule="atLeast" w:line="160" w:before="0" w:after="0"/>
              <w:ind w:left="0" w:right="0" w:hanging="0"/>
              <w:rPr/>
            </w:pPr>
            <w:r>
              <w:rPr/>
              <w:t> </w:t>
            </w:r>
          </w:p>
        </w:tc>
        <w:tc>
          <w:tcPr>
            <w:tcW w:w="198" w:type="dxa"/>
            <w:tcBorders/>
            <w:shd w:fill="auto" w:val="clear"/>
            <w:vAlign w:val="bottom"/>
          </w:tcPr>
          <w:p>
            <w:pPr>
              <w:pStyle w:val="TableContents"/>
              <w:spacing w:lineRule="atLeast" w:line="160" w:before="0" w:after="0"/>
              <w:ind w:left="0" w:right="0" w:hanging="0"/>
              <w:rPr/>
            </w:pPr>
            <w:r>
              <w:rPr/>
              <w:t> </w:t>
            </w:r>
          </w:p>
        </w:tc>
        <w:tc>
          <w:tcPr>
            <w:tcW w:w="1899"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br/>
              <w:t>June 30,</w:t>
            </w:r>
          </w:p>
        </w:tc>
        <w:tc>
          <w:tcPr>
            <w:tcW w:w="206" w:type="dxa"/>
            <w:tcBorders/>
            <w:shd w:fill="auto" w:val="clear"/>
            <w:vAlign w:val="bottom"/>
          </w:tcPr>
          <w:p>
            <w:pPr>
              <w:pStyle w:val="TableContents"/>
              <w:spacing w:lineRule="atLeast" w:line="160" w:before="0" w:after="0"/>
              <w:ind w:left="0" w:right="0" w:hanging="0"/>
              <w:rPr/>
            </w:pPr>
            <w:r>
              <w:rPr/>
              <w:t> </w:t>
            </w:r>
          </w:p>
        </w:tc>
        <w:tc>
          <w:tcPr>
            <w:tcW w:w="1837"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 Ended</w:t>
              <w:br/>
              <w:t>June 30,</w:t>
            </w:r>
          </w:p>
        </w:tc>
        <w:tc>
          <w:tcPr>
            <w:tcW w:w="475" w:type="dxa"/>
            <w:tcBorders/>
            <w:shd w:fill="auto" w:val="clear"/>
            <w:vAlign w:val="bottom"/>
          </w:tcPr>
          <w:p>
            <w:pPr>
              <w:pStyle w:val="TableContents"/>
              <w:spacing w:lineRule="atLeast" w:line="160" w:before="0" w:after="0"/>
              <w:ind w:left="0" w:right="0" w:hanging="0"/>
              <w:rPr/>
            </w:pPr>
            <w:r>
              <w:rPr/>
              <w:t> </w:t>
            </w:r>
          </w:p>
        </w:tc>
      </w:tr>
      <w:tr>
        <w:trPr/>
        <w:tc>
          <w:tcPr>
            <w:tcW w:w="5590" w:type="dxa"/>
            <w:tcBorders/>
            <w:shd w:fill="auto" w:val="clear"/>
            <w:vAlign w:val="bottom"/>
          </w:tcPr>
          <w:p>
            <w:pPr>
              <w:pStyle w:val="TableContents"/>
              <w:spacing w:lineRule="atLeast" w:line="160" w:before="0" w:after="0"/>
              <w:ind w:left="0" w:right="0" w:hanging="0"/>
              <w:rPr/>
            </w:pPr>
            <w:r>
              <w:rPr/>
              <w:t> </w:t>
            </w:r>
          </w:p>
        </w:tc>
        <w:tc>
          <w:tcPr>
            <w:tcW w:w="198" w:type="dxa"/>
            <w:tcBorders/>
            <w:shd w:fill="auto" w:val="clear"/>
            <w:vAlign w:val="bottom"/>
          </w:tcPr>
          <w:p>
            <w:pPr>
              <w:pStyle w:val="TableContents"/>
              <w:spacing w:lineRule="atLeast" w:line="160" w:before="0" w:after="0"/>
              <w:ind w:left="0" w:right="0" w:hanging="0"/>
              <w:rPr/>
            </w:pPr>
            <w:r>
              <w:rPr/>
              <w:t> </w:t>
            </w:r>
          </w:p>
        </w:tc>
        <w:tc>
          <w:tcPr>
            <w:tcW w:w="846"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205" w:type="dxa"/>
            <w:tcBorders/>
            <w:shd w:fill="auto" w:val="clear"/>
            <w:vAlign w:val="bottom"/>
          </w:tcPr>
          <w:p>
            <w:pPr>
              <w:pStyle w:val="TableContents"/>
              <w:spacing w:lineRule="atLeast" w:line="160" w:before="0" w:after="0"/>
              <w:ind w:left="0" w:right="0" w:hanging="0"/>
              <w:rPr/>
            </w:pPr>
            <w:r>
              <w:rPr/>
              <w:t> </w:t>
            </w:r>
          </w:p>
        </w:tc>
        <w:tc>
          <w:tcPr>
            <w:tcW w:w="848"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06" w:type="dxa"/>
            <w:tcBorders/>
            <w:shd w:fill="auto" w:val="clear"/>
            <w:vAlign w:val="bottom"/>
          </w:tcPr>
          <w:p>
            <w:pPr>
              <w:pStyle w:val="TableContents"/>
              <w:spacing w:lineRule="atLeast" w:line="160" w:before="0" w:after="0"/>
              <w:ind w:left="0" w:right="0" w:hanging="0"/>
              <w:rPr/>
            </w:pPr>
            <w:r>
              <w:rPr/>
              <w:t> </w:t>
            </w:r>
          </w:p>
        </w:tc>
        <w:tc>
          <w:tcPr>
            <w:tcW w:w="838"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199" w:type="dxa"/>
            <w:tcBorders/>
            <w:shd w:fill="auto" w:val="clear"/>
            <w:vAlign w:val="bottom"/>
          </w:tcPr>
          <w:p>
            <w:pPr>
              <w:pStyle w:val="TableContents"/>
              <w:spacing w:lineRule="atLeast" w:line="160" w:before="0" w:after="0"/>
              <w:ind w:left="0" w:right="0" w:hanging="0"/>
              <w:rPr/>
            </w:pPr>
            <w:r>
              <w:rPr/>
              <w:t> </w:t>
            </w:r>
          </w:p>
        </w:tc>
        <w:tc>
          <w:tcPr>
            <w:tcW w:w="80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475" w:type="dxa"/>
            <w:tcBorders/>
            <w:shd w:fill="auto" w:val="clear"/>
            <w:vAlign w:val="bottom"/>
          </w:tcPr>
          <w:p>
            <w:pPr>
              <w:pStyle w:val="TableContents"/>
              <w:spacing w:lineRule="atLeast" w:line="160" w:before="0" w:after="0"/>
              <w:ind w:left="0" w:right="0" w:hanging="0"/>
              <w:rPr/>
            </w:pPr>
            <w:r>
              <w:rPr/>
              <w:t> </w:t>
            </w:r>
          </w:p>
        </w:tc>
      </w:tr>
      <w:tr>
        <w:trPr/>
        <w:tc>
          <w:tcPr>
            <w:tcW w:w="5590" w:type="dxa"/>
            <w:tcBorders/>
            <w:shd w:fill="auto" w:val="clear"/>
            <w:vAlign w:val="bottom"/>
          </w:tcPr>
          <w:p>
            <w:pPr>
              <w:pStyle w:val="TableContents"/>
              <w:spacing w:lineRule="atLeast" w:line="160" w:before="0" w:after="0"/>
              <w:ind w:left="0" w:right="0" w:hanging="0"/>
              <w:rPr/>
            </w:pPr>
            <w:r>
              <w:rPr/>
              <w:t> </w:t>
            </w:r>
          </w:p>
        </w:tc>
        <w:tc>
          <w:tcPr>
            <w:tcW w:w="198" w:type="dxa"/>
            <w:tcBorders/>
            <w:shd w:fill="auto" w:val="clear"/>
            <w:vAlign w:val="bottom"/>
          </w:tcPr>
          <w:p>
            <w:pPr>
              <w:pStyle w:val="TableContents"/>
              <w:spacing w:lineRule="atLeast" w:line="160" w:before="0" w:after="0"/>
              <w:ind w:left="0" w:right="0" w:hanging="0"/>
              <w:rPr/>
            </w:pPr>
            <w:r>
              <w:rPr/>
              <w:t> </w:t>
            </w:r>
          </w:p>
        </w:tc>
        <w:tc>
          <w:tcPr>
            <w:tcW w:w="1899"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(unaudited)</w:t>
            </w:r>
          </w:p>
        </w:tc>
        <w:tc>
          <w:tcPr>
            <w:tcW w:w="206" w:type="dxa"/>
            <w:tcBorders/>
            <w:shd w:fill="auto" w:val="clear"/>
            <w:vAlign w:val="bottom"/>
          </w:tcPr>
          <w:p>
            <w:pPr>
              <w:pStyle w:val="TableContents"/>
              <w:spacing w:lineRule="atLeast" w:line="160" w:before="0" w:after="0"/>
              <w:ind w:left="0" w:right="0" w:hanging="0"/>
              <w:rPr/>
            </w:pPr>
            <w:r>
              <w:rPr/>
              <w:t> </w:t>
            </w:r>
          </w:p>
        </w:tc>
        <w:tc>
          <w:tcPr>
            <w:tcW w:w="1837"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(unaudited)</w:t>
            </w:r>
          </w:p>
        </w:tc>
        <w:tc>
          <w:tcPr>
            <w:tcW w:w="475" w:type="dxa"/>
            <w:tcBorders/>
            <w:shd w:fill="auto" w:val="clear"/>
            <w:vAlign w:val="bottom"/>
          </w:tcPr>
          <w:p>
            <w:pPr>
              <w:pStyle w:val="TableContents"/>
              <w:spacing w:lineRule="atLeast" w:line="160" w:before="0" w:after="0"/>
              <w:ind w:left="0" w:right="0" w:hanging="0"/>
              <w:rPr/>
            </w:pPr>
            <w:r>
              <w:rPr/>
              <w:t> </w:t>
            </w:r>
          </w:p>
        </w:tc>
      </w:tr>
      <w:tr>
        <w:trPr/>
        <w:tc>
          <w:tcPr>
            <w:tcW w:w="559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98"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80.3</w:t>
            </w:r>
          </w:p>
        </w:tc>
        <w:tc>
          <w:tcPr>
            <w:tcW w:w="205" w:type="dxa"/>
            <w:tcBorders/>
            <w:shd w:fill="CCEEFF" w:val="clear"/>
            <w:vAlign w:val="bottom"/>
          </w:tcPr>
          <w:p>
            <w:pPr>
              <w:pStyle w:val="TableContents"/>
              <w:spacing w:before="0" w:after="0"/>
              <w:ind w:left="0" w:right="0" w:hanging="0"/>
              <w:rPr/>
            </w:pPr>
            <w:r>
              <w:rPr/>
              <w:t> </w:t>
            </w:r>
          </w:p>
        </w:tc>
        <w:tc>
          <w:tcPr>
            <w:tcW w:w="145"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62.3</w:t>
            </w:r>
          </w:p>
        </w:tc>
        <w:tc>
          <w:tcPr>
            <w:tcW w:w="206"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143.7</w:t>
            </w:r>
          </w:p>
        </w:tc>
        <w:tc>
          <w:tcPr>
            <w:tcW w:w="199"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95.1</w:t>
            </w:r>
          </w:p>
        </w:tc>
        <w:tc>
          <w:tcPr>
            <w:tcW w:w="475" w:type="dxa"/>
            <w:tcBorders/>
            <w:shd w:fill="CCEEFF" w:val="clear"/>
            <w:vAlign w:val="bottom"/>
          </w:tcPr>
          <w:p>
            <w:pPr>
              <w:pStyle w:val="TableContents"/>
              <w:spacing w:before="0" w:after="0"/>
              <w:ind w:left="0" w:right="0" w:hanging="0"/>
              <w:rPr/>
            </w:pPr>
            <w:r>
              <w:rPr/>
              <w:t> </w:t>
            </w:r>
          </w:p>
        </w:tc>
      </w:tr>
      <w:tr>
        <w:trPr/>
        <w:tc>
          <w:tcPr>
            <w:tcW w:w="55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comprehensive income/(loss)</w:t>
            </w:r>
          </w:p>
        </w:tc>
        <w:tc>
          <w:tcPr>
            <w:tcW w:w="198" w:type="dxa"/>
            <w:tcBorders/>
            <w:shd w:fill="auto" w:val="clear"/>
            <w:vAlign w:val="bottom"/>
          </w:tcPr>
          <w:p>
            <w:pPr>
              <w:pStyle w:val="TableContents"/>
              <w:spacing w:before="0" w:after="0"/>
              <w:ind w:left="0" w:right="0" w:hanging="0"/>
              <w:rPr/>
            </w:pPr>
            <w:r>
              <w:rPr/>
              <w:t> </w:t>
            </w:r>
          </w:p>
        </w:tc>
        <w:tc>
          <w:tcPr>
            <w:tcW w:w="846"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19.2</w:t>
            </w:r>
          </w:p>
        </w:tc>
        <w:tc>
          <w:tcPr>
            <w:tcW w:w="205" w:type="dxa"/>
            <w:tcBorders/>
            <w:shd w:fill="auto" w:val="clear"/>
            <w:vAlign w:val="bottom"/>
          </w:tcPr>
          <w:p>
            <w:pPr>
              <w:pStyle w:val="TableContents"/>
              <w:spacing w:before="0" w:after="0"/>
              <w:ind w:left="0" w:right="0" w:hanging="0"/>
              <w:rPr/>
            </w:pPr>
            <w:r>
              <w:rPr/>
              <w:t> </w:t>
            </w:r>
          </w:p>
        </w:tc>
        <w:tc>
          <w:tcPr>
            <w:tcW w:w="848"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(27.1</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38"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19.7</w:t>
            </w:r>
          </w:p>
        </w:tc>
        <w:tc>
          <w:tcPr>
            <w:tcW w:w="199" w:type="dxa"/>
            <w:tcBorders/>
            <w:shd w:fill="auto" w:val="clear"/>
            <w:vAlign w:val="bottom"/>
          </w:tcPr>
          <w:p>
            <w:pPr>
              <w:pStyle w:val="TableContents"/>
              <w:spacing w:before="0" w:after="0"/>
              <w:ind w:left="0" w:right="0" w:hanging="0"/>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(96.9</w:t>
            </w:r>
          </w:p>
        </w:tc>
        <w:tc>
          <w:tcPr>
            <w:tcW w:w="4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59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Comprehensive income/(loss)</w:t>
            </w:r>
          </w:p>
        </w:tc>
        <w:tc>
          <w:tcPr>
            <w:tcW w:w="198"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99.5</w:t>
            </w:r>
          </w:p>
        </w:tc>
        <w:tc>
          <w:tcPr>
            <w:tcW w:w="205" w:type="dxa"/>
            <w:tcBorders/>
            <w:shd w:fill="CCEEFF" w:val="clear"/>
            <w:vAlign w:val="bottom"/>
          </w:tcPr>
          <w:p>
            <w:pPr>
              <w:pStyle w:val="TableContents"/>
              <w:spacing w:before="0" w:after="0"/>
              <w:ind w:left="0" w:right="0" w:hanging="0"/>
              <w:rPr/>
            </w:pPr>
            <w:r>
              <w:rPr/>
              <w:t> </w:t>
            </w:r>
          </w:p>
        </w:tc>
        <w:tc>
          <w:tcPr>
            <w:tcW w:w="14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35.2</w:t>
            </w:r>
          </w:p>
        </w:tc>
        <w:tc>
          <w:tcPr>
            <w:tcW w:w="206"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0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163.4</w:t>
            </w:r>
          </w:p>
        </w:tc>
        <w:tc>
          <w:tcPr>
            <w:tcW w:w="199"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(1.8</w:t>
            </w:r>
          </w:p>
        </w:tc>
        <w:tc>
          <w:tcPr>
            <w:tcW w:w="4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lineRule="atLeast" w:line="141" w:before="0" w:after="240"/>
        <w:ind w:left="0" w:right="0" w:hanging="0"/>
        <w:rPr/>
      </w:pPr>
      <w:r>
        <w:rPr/>
        <w:t> </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CONSOLIDATED STATEMENT OF</w:t>
      </w:r>
      <w:bookmarkStart w:id="10" w:name="ConsolidatedStatementOf_113624"/>
      <w:bookmarkEnd w:id="10"/>
      <w:r>
        <w:rPr>
          <w:rFonts w:ascii="Times New Roman" w:hAnsi="Times New Roman"/>
          <w:b/>
          <w:sz w:val="17"/>
        </w:rPr>
        <w:br/>
        <w:t>CHANGES IN ACCUMULATED OTHER COMPREHENSIVE INCOME</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(in millions)</w:t>
      </w:r>
    </w:p>
    <w:tbl>
      <w:tblPr>
        <w:tblW w:w="5000" w:type="pct"/>
        <w:jc w:val="left"/>
        <w:tblInd w:w="0" w:type="dxa"/>
        <w:tblCellMar>
          <w:top w:w="0" w:type="dxa"/>
          <w:left w:w="0" w:type="dxa"/>
          <w:bottom w:w="0" w:type="dxa"/>
          <w:right w:w="0" w:type="dxa"/>
        </w:tblCellMar>
      </w:tblPr>
      <w:tblGrid>
        <w:gridCol w:w="5771"/>
        <w:gridCol w:w="201"/>
        <w:gridCol w:w="165"/>
        <w:gridCol w:w="1059"/>
        <w:gridCol w:w="210"/>
        <w:gridCol w:w="160"/>
        <w:gridCol w:w="1063"/>
        <w:gridCol w:w="201"/>
        <w:gridCol w:w="139"/>
        <w:gridCol w:w="934"/>
        <w:gridCol w:w="302"/>
      </w:tblGrid>
      <w:tr>
        <w:trPr/>
        <w:tc>
          <w:tcPr>
            <w:tcW w:w="5771" w:type="dxa"/>
            <w:tcBorders/>
            <w:shd w:fill="auto" w:val="clear"/>
            <w:vAlign w:val="bottom"/>
          </w:tcPr>
          <w:p>
            <w:pPr>
              <w:pStyle w:val="TableContents"/>
              <w:spacing w:lineRule="atLeast" w:line="160" w:before="0" w:after="0"/>
              <w:ind w:left="0" w:right="0" w:hanging="0"/>
              <w:rPr/>
            </w:pPr>
            <w:r>
              <w:rPr/>
              <w:t> </w:t>
            </w:r>
          </w:p>
        </w:tc>
        <w:tc>
          <w:tcPr>
            <w:tcW w:w="201" w:type="dxa"/>
            <w:tcBorders/>
            <w:shd w:fill="auto" w:val="clear"/>
            <w:vAlign w:val="bottom"/>
          </w:tcPr>
          <w:p>
            <w:pPr>
              <w:pStyle w:val="TableContents"/>
              <w:spacing w:lineRule="atLeast" w:line="160" w:before="0" w:after="0"/>
              <w:ind w:left="0" w:right="0" w:hanging="0"/>
              <w:rPr/>
            </w:pPr>
            <w:r>
              <w:rPr/>
              <w:t> </w:t>
            </w:r>
          </w:p>
        </w:tc>
        <w:tc>
          <w:tcPr>
            <w:tcW w:w="1224"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Net Deferred</w:t>
            </w:r>
          </w:p>
        </w:tc>
        <w:tc>
          <w:tcPr>
            <w:tcW w:w="210" w:type="dxa"/>
            <w:tcBorders/>
            <w:shd w:fill="auto" w:val="clear"/>
            <w:vAlign w:val="bottom"/>
          </w:tcPr>
          <w:p>
            <w:pPr>
              <w:pStyle w:val="TableContents"/>
              <w:spacing w:lineRule="atLeast" w:line="160" w:before="0" w:after="0"/>
              <w:ind w:left="0" w:right="0" w:hanging="0"/>
              <w:rPr/>
            </w:pPr>
            <w:r>
              <w:rPr/>
              <w:t> </w:t>
            </w:r>
          </w:p>
        </w:tc>
        <w:tc>
          <w:tcPr>
            <w:tcW w:w="1223" w:type="dxa"/>
            <w:gridSpan w:val="2"/>
            <w:tcBorders/>
            <w:shd w:fill="auto" w:val="clear"/>
            <w:vAlign w:val="bottom"/>
          </w:tcPr>
          <w:p>
            <w:pPr>
              <w:pStyle w:val="TableContents"/>
              <w:spacing w:lineRule="atLeast" w:line="160" w:before="0" w:after="0"/>
              <w:ind w:left="0" w:right="0" w:hanging="0"/>
              <w:rPr/>
            </w:pPr>
            <w:r>
              <w:rPr/>
              <w:t> </w:t>
            </w:r>
          </w:p>
        </w:tc>
        <w:tc>
          <w:tcPr>
            <w:tcW w:w="201" w:type="dxa"/>
            <w:tcBorders/>
            <w:shd w:fill="auto" w:val="clear"/>
            <w:vAlign w:val="bottom"/>
          </w:tcPr>
          <w:p>
            <w:pPr>
              <w:pStyle w:val="TableContents"/>
              <w:spacing w:lineRule="atLeast" w:line="160" w:before="0" w:after="0"/>
              <w:ind w:left="0" w:right="0" w:hanging="0"/>
              <w:rPr/>
            </w:pPr>
            <w:r>
              <w:rPr/>
              <w:t> </w:t>
            </w:r>
          </w:p>
        </w:tc>
        <w:tc>
          <w:tcPr>
            <w:tcW w:w="1073" w:type="dxa"/>
            <w:gridSpan w:val="2"/>
            <w:tcBorders/>
            <w:shd w:fill="auto" w:val="clear"/>
            <w:vAlign w:val="bottom"/>
          </w:tcPr>
          <w:p>
            <w:pPr>
              <w:pStyle w:val="TableContents"/>
              <w:spacing w:lineRule="atLeast" w:line="160" w:before="0" w:after="0"/>
              <w:ind w:left="0" w:right="0" w:hanging="0"/>
              <w:rPr/>
            </w:pPr>
            <w:r>
              <w:rPr/>
              <w:t> </w:t>
            </w:r>
          </w:p>
        </w:tc>
        <w:tc>
          <w:tcPr>
            <w:tcW w:w="302" w:type="dxa"/>
            <w:tcBorders/>
            <w:shd w:fill="auto" w:val="clear"/>
            <w:vAlign w:val="bottom"/>
          </w:tcPr>
          <w:p>
            <w:pPr>
              <w:pStyle w:val="TableContents"/>
              <w:spacing w:lineRule="atLeast" w:line="160" w:before="0" w:after="0"/>
              <w:ind w:left="0" w:right="0" w:hanging="0"/>
              <w:rPr/>
            </w:pPr>
            <w:r>
              <w:rPr/>
              <w:t> </w:t>
            </w:r>
          </w:p>
        </w:tc>
      </w:tr>
      <w:tr>
        <w:trPr/>
        <w:tc>
          <w:tcPr>
            <w:tcW w:w="5771" w:type="dxa"/>
            <w:tcBorders/>
            <w:shd w:fill="auto" w:val="clear"/>
            <w:vAlign w:val="bottom"/>
          </w:tcPr>
          <w:p>
            <w:pPr>
              <w:pStyle w:val="TableContents"/>
              <w:spacing w:lineRule="atLeast" w:line="160" w:before="0" w:after="0"/>
              <w:ind w:left="0" w:right="0" w:hanging="0"/>
              <w:rPr/>
            </w:pPr>
            <w:r>
              <w:rPr/>
              <w:t> </w:t>
            </w:r>
          </w:p>
        </w:tc>
        <w:tc>
          <w:tcPr>
            <w:tcW w:w="201" w:type="dxa"/>
            <w:tcBorders/>
            <w:shd w:fill="auto" w:val="clear"/>
            <w:vAlign w:val="bottom"/>
          </w:tcPr>
          <w:p>
            <w:pPr>
              <w:pStyle w:val="TableContents"/>
              <w:spacing w:lineRule="atLeast" w:line="160" w:before="0" w:after="0"/>
              <w:ind w:left="0" w:right="0" w:hanging="0"/>
              <w:rPr/>
            </w:pPr>
            <w:r>
              <w:rPr/>
              <w:t> </w:t>
            </w:r>
          </w:p>
        </w:tc>
        <w:tc>
          <w:tcPr>
            <w:tcW w:w="1224"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Gain/(Loss) on</w:t>
            </w:r>
          </w:p>
        </w:tc>
        <w:tc>
          <w:tcPr>
            <w:tcW w:w="210" w:type="dxa"/>
            <w:tcBorders/>
            <w:shd w:fill="auto" w:val="clear"/>
            <w:vAlign w:val="bottom"/>
          </w:tcPr>
          <w:p>
            <w:pPr>
              <w:pStyle w:val="TableContents"/>
              <w:spacing w:lineRule="atLeast" w:line="160" w:before="0" w:after="0"/>
              <w:ind w:left="0" w:right="0" w:hanging="0"/>
              <w:rPr/>
            </w:pPr>
            <w:r>
              <w:rPr/>
              <w:t> </w:t>
            </w:r>
          </w:p>
        </w:tc>
        <w:tc>
          <w:tcPr>
            <w:tcW w:w="1223"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Currency</w:t>
            </w:r>
          </w:p>
        </w:tc>
        <w:tc>
          <w:tcPr>
            <w:tcW w:w="201" w:type="dxa"/>
            <w:tcBorders/>
            <w:shd w:fill="auto" w:val="clear"/>
            <w:vAlign w:val="bottom"/>
          </w:tcPr>
          <w:p>
            <w:pPr>
              <w:pStyle w:val="TableContents"/>
              <w:spacing w:lineRule="atLeast" w:line="160" w:before="0" w:after="0"/>
              <w:ind w:left="0" w:right="0" w:hanging="0"/>
              <w:rPr/>
            </w:pPr>
            <w:r>
              <w:rPr/>
              <w:t> </w:t>
            </w:r>
          </w:p>
        </w:tc>
        <w:tc>
          <w:tcPr>
            <w:tcW w:w="1073" w:type="dxa"/>
            <w:gridSpan w:val="2"/>
            <w:tcBorders/>
            <w:shd w:fill="auto" w:val="clear"/>
            <w:vAlign w:val="bottom"/>
          </w:tcPr>
          <w:p>
            <w:pPr>
              <w:pStyle w:val="TableContents"/>
              <w:spacing w:lineRule="atLeast" w:line="160" w:before="0" w:after="0"/>
              <w:ind w:left="0" w:right="0" w:hanging="0"/>
              <w:rPr/>
            </w:pPr>
            <w:r>
              <w:rPr/>
              <w:t> </w:t>
            </w:r>
          </w:p>
        </w:tc>
        <w:tc>
          <w:tcPr>
            <w:tcW w:w="302" w:type="dxa"/>
            <w:tcBorders/>
            <w:shd w:fill="auto" w:val="clear"/>
            <w:vAlign w:val="bottom"/>
          </w:tcPr>
          <w:p>
            <w:pPr>
              <w:pStyle w:val="TableContents"/>
              <w:spacing w:lineRule="atLeast" w:line="160" w:before="0" w:after="0"/>
              <w:ind w:left="0" w:right="0" w:hanging="0"/>
              <w:rPr/>
            </w:pPr>
            <w:r>
              <w:rPr/>
              <w:t> </w:t>
            </w:r>
          </w:p>
        </w:tc>
      </w:tr>
      <w:tr>
        <w:trPr/>
        <w:tc>
          <w:tcPr>
            <w:tcW w:w="5771" w:type="dxa"/>
            <w:tcBorders/>
            <w:shd w:fill="auto" w:val="clear"/>
            <w:vAlign w:val="bottom"/>
          </w:tcPr>
          <w:p>
            <w:pPr>
              <w:pStyle w:val="TableContents"/>
              <w:spacing w:lineRule="atLeast" w:line="160" w:before="0" w:after="0"/>
              <w:ind w:left="0" w:right="0" w:hanging="0"/>
              <w:rPr/>
            </w:pPr>
            <w:r>
              <w:rPr/>
              <w:t> </w:t>
            </w:r>
          </w:p>
        </w:tc>
        <w:tc>
          <w:tcPr>
            <w:tcW w:w="201" w:type="dxa"/>
            <w:tcBorders/>
            <w:shd w:fill="auto" w:val="clear"/>
            <w:vAlign w:val="bottom"/>
          </w:tcPr>
          <w:p>
            <w:pPr>
              <w:pStyle w:val="TableContents"/>
              <w:spacing w:lineRule="atLeast" w:line="160" w:before="0" w:after="0"/>
              <w:ind w:left="0" w:right="0" w:hanging="0"/>
              <w:rPr/>
            </w:pPr>
            <w:r>
              <w:rPr/>
              <w:t> </w:t>
            </w:r>
          </w:p>
        </w:tc>
        <w:tc>
          <w:tcPr>
            <w:tcW w:w="1224"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Derivative</w:t>
            </w:r>
          </w:p>
        </w:tc>
        <w:tc>
          <w:tcPr>
            <w:tcW w:w="210" w:type="dxa"/>
            <w:tcBorders/>
            <w:shd w:fill="auto" w:val="clear"/>
            <w:vAlign w:val="bottom"/>
          </w:tcPr>
          <w:p>
            <w:pPr>
              <w:pStyle w:val="TableContents"/>
              <w:spacing w:lineRule="atLeast" w:line="160" w:before="0" w:after="0"/>
              <w:ind w:left="0" w:right="0" w:hanging="0"/>
              <w:rPr/>
            </w:pPr>
            <w:r>
              <w:rPr/>
              <w:t> </w:t>
            </w:r>
          </w:p>
        </w:tc>
        <w:tc>
          <w:tcPr>
            <w:tcW w:w="1223"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Translation</w:t>
            </w:r>
          </w:p>
        </w:tc>
        <w:tc>
          <w:tcPr>
            <w:tcW w:w="201" w:type="dxa"/>
            <w:tcBorders/>
            <w:shd w:fill="auto" w:val="clear"/>
            <w:vAlign w:val="bottom"/>
          </w:tcPr>
          <w:p>
            <w:pPr>
              <w:pStyle w:val="TableContents"/>
              <w:spacing w:lineRule="atLeast" w:line="160" w:before="0" w:after="0"/>
              <w:ind w:left="0" w:right="0" w:hanging="0"/>
              <w:rPr/>
            </w:pPr>
            <w:r>
              <w:rPr/>
              <w:t> </w:t>
            </w:r>
          </w:p>
        </w:tc>
        <w:tc>
          <w:tcPr>
            <w:tcW w:w="1073" w:type="dxa"/>
            <w:gridSpan w:val="2"/>
            <w:tcBorders/>
            <w:shd w:fill="auto" w:val="clear"/>
            <w:vAlign w:val="bottom"/>
          </w:tcPr>
          <w:p>
            <w:pPr>
              <w:pStyle w:val="TableContents"/>
              <w:spacing w:lineRule="atLeast" w:line="160" w:before="0" w:after="0"/>
              <w:ind w:left="0" w:right="0" w:hanging="0"/>
              <w:rPr/>
            </w:pPr>
            <w:r>
              <w:rPr/>
              <w:t> </w:t>
            </w:r>
          </w:p>
        </w:tc>
        <w:tc>
          <w:tcPr>
            <w:tcW w:w="302" w:type="dxa"/>
            <w:tcBorders/>
            <w:shd w:fill="auto" w:val="clear"/>
            <w:vAlign w:val="bottom"/>
          </w:tcPr>
          <w:p>
            <w:pPr>
              <w:pStyle w:val="TableContents"/>
              <w:spacing w:lineRule="atLeast" w:line="160" w:before="0" w:after="0"/>
              <w:ind w:left="0" w:right="0" w:hanging="0"/>
              <w:rPr/>
            </w:pPr>
            <w:r>
              <w:rPr/>
              <w:t> </w:t>
            </w:r>
          </w:p>
        </w:tc>
      </w:tr>
      <w:tr>
        <w:trPr/>
        <w:tc>
          <w:tcPr>
            <w:tcW w:w="5771" w:type="dxa"/>
            <w:tcBorders/>
            <w:shd w:fill="auto" w:val="clear"/>
            <w:vAlign w:val="bottom"/>
          </w:tcPr>
          <w:p>
            <w:pPr>
              <w:pStyle w:val="TableContents"/>
              <w:spacing w:lineRule="atLeast" w:line="160" w:before="0" w:after="0"/>
              <w:ind w:left="0" w:right="0" w:hanging="0"/>
              <w:rPr/>
            </w:pPr>
            <w:r>
              <w:rPr/>
              <w:t> </w:t>
            </w:r>
          </w:p>
        </w:tc>
        <w:tc>
          <w:tcPr>
            <w:tcW w:w="201" w:type="dxa"/>
            <w:tcBorders/>
            <w:shd w:fill="auto" w:val="clear"/>
            <w:vAlign w:val="bottom"/>
          </w:tcPr>
          <w:p>
            <w:pPr>
              <w:pStyle w:val="TableContents"/>
              <w:spacing w:lineRule="atLeast" w:line="160"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Instruments</w:t>
            </w:r>
          </w:p>
        </w:tc>
        <w:tc>
          <w:tcPr>
            <w:tcW w:w="210" w:type="dxa"/>
            <w:tcBorders/>
            <w:shd w:fill="auto" w:val="clear"/>
            <w:vAlign w:val="bottom"/>
          </w:tcPr>
          <w:p>
            <w:pPr>
              <w:pStyle w:val="TableContents"/>
              <w:spacing w:lineRule="atLeast" w:line="160" w:before="0" w:after="0"/>
              <w:ind w:left="0" w:right="0" w:hanging="0"/>
              <w:rPr/>
            </w:pPr>
            <w:r>
              <w:rPr/>
              <w:t> </w:t>
            </w:r>
          </w:p>
        </w:tc>
        <w:tc>
          <w:tcPr>
            <w:tcW w:w="1223"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Adjustments</w:t>
            </w:r>
          </w:p>
        </w:tc>
        <w:tc>
          <w:tcPr>
            <w:tcW w:w="201" w:type="dxa"/>
            <w:tcBorders/>
            <w:shd w:fill="auto" w:val="clear"/>
            <w:vAlign w:val="bottom"/>
          </w:tcPr>
          <w:p>
            <w:pPr>
              <w:pStyle w:val="TableContents"/>
              <w:spacing w:lineRule="atLeast" w:line="160" w:before="0" w:after="0"/>
              <w:ind w:left="0" w:right="0" w:hanging="0"/>
              <w:rPr/>
            </w:pPr>
            <w:r>
              <w:rPr/>
              <w:t> </w:t>
            </w:r>
          </w:p>
        </w:tc>
        <w:tc>
          <w:tcPr>
            <w:tcW w:w="1073"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Total</w:t>
            </w:r>
          </w:p>
        </w:tc>
        <w:tc>
          <w:tcPr>
            <w:tcW w:w="302" w:type="dxa"/>
            <w:tcBorders/>
            <w:shd w:fill="auto" w:val="clear"/>
            <w:vAlign w:val="bottom"/>
          </w:tcPr>
          <w:p>
            <w:pPr>
              <w:pStyle w:val="TableContents"/>
              <w:spacing w:lineRule="atLeast" w:line="160" w:before="0" w:after="0"/>
              <w:ind w:left="0" w:right="0" w:hanging="0"/>
              <w:rPr/>
            </w:pPr>
            <w:r>
              <w:rPr/>
              <w:t> </w:t>
            </w:r>
          </w:p>
        </w:tc>
      </w:tr>
      <w:tr>
        <w:trPr/>
        <w:tc>
          <w:tcPr>
            <w:tcW w:w="5771" w:type="dxa"/>
            <w:tcBorders/>
            <w:shd w:fill="auto" w:val="clear"/>
            <w:vAlign w:val="bottom"/>
          </w:tcPr>
          <w:p>
            <w:pPr>
              <w:pStyle w:val="TableContents"/>
              <w:spacing w:lineRule="atLeast" w:line="160" w:before="0" w:after="0"/>
              <w:ind w:left="0" w:right="0" w:hanging="0"/>
              <w:rPr/>
            </w:pPr>
            <w:r>
              <w:rPr/>
              <w:t> </w:t>
            </w:r>
          </w:p>
        </w:tc>
        <w:tc>
          <w:tcPr>
            <w:tcW w:w="201" w:type="dxa"/>
            <w:tcBorders/>
            <w:shd w:fill="auto" w:val="clear"/>
            <w:vAlign w:val="bottom"/>
          </w:tcPr>
          <w:p>
            <w:pPr>
              <w:pStyle w:val="TableContents"/>
              <w:spacing w:lineRule="atLeast" w:line="160" w:before="0" w:after="0"/>
              <w:ind w:left="0" w:right="0" w:hanging="0"/>
              <w:rPr/>
            </w:pPr>
            <w:r>
              <w:rPr/>
              <w:t> </w:t>
            </w:r>
          </w:p>
        </w:tc>
        <w:tc>
          <w:tcPr>
            <w:tcW w:w="3931" w:type="dxa"/>
            <w:gridSpan w:val="8"/>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(unaudited)</w:t>
            </w:r>
          </w:p>
        </w:tc>
        <w:tc>
          <w:tcPr>
            <w:tcW w:w="302" w:type="dxa"/>
            <w:tcBorders/>
            <w:shd w:fill="auto" w:val="clear"/>
            <w:vAlign w:val="bottom"/>
          </w:tcPr>
          <w:p>
            <w:pPr>
              <w:pStyle w:val="TableContents"/>
              <w:spacing w:lineRule="atLeast" w:line="160" w:before="0" w:after="0"/>
              <w:ind w:left="0" w:right="0" w:hanging="0"/>
              <w:rPr/>
            </w:pPr>
            <w:r>
              <w:rPr/>
              <w:t> </w:t>
            </w:r>
          </w:p>
        </w:tc>
      </w:tr>
      <w:tr>
        <w:trPr/>
        <w:tc>
          <w:tcPr>
            <w:tcW w:w="57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at December 31, 2005</w:t>
            </w:r>
          </w:p>
        </w:tc>
        <w:tc>
          <w:tcPr>
            <w:tcW w:w="201"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5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(16.6</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87.1</w:t>
            </w:r>
          </w:p>
        </w:tc>
        <w:tc>
          <w:tcPr>
            <w:tcW w:w="20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70.5</w:t>
            </w:r>
          </w:p>
        </w:tc>
        <w:tc>
          <w:tcPr>
            <w:tcW w:w="302" w:type="dxa"/>
            <w:tcBorders/>
            <w:shd w:fill="CCEEFF" w:val="clear"/>
            <w:vAlign w:val="bottom"/>
          </w:tcPr>
          <w:p>
            <w:pPr>
              <w:pStyle w:val="TableContents"/>
              <w:spacing w:before="0" w:after="0"/>
              <w:ind w:left="0" w:right="0" w:hanging="0"/>
              <w:rPr/>
            </w:pPr>
            <w:r>
              <w:rPr/>
              <w:t> </w:t>
            </w:r>
          </w:p>
        </w:tc>
      </w:tr>
      <w:tr>
        <w:trPr/>
        <w:tc>
          <w:tcPr>
            <w:tcW w:w="577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period activity:</w:t>
            </w:r>
          </w:p>
        </w:tc>
        <w:tc>
          <w:tcPr>
            <w:tcW w:w="201"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rPr/>
            </w:pPr>
            <w:r>
              <w:rPr/>
              <w:t> </w:t>
            </w:r>
          </w:p>
        </w:tc>
        <w:tc>
          <w:tcPr>
            <w:tcW w:w="1073" w:type="dxa"/>
            <w:gridSpan w:val="2"/>
            <w:tcBorders/>
            <w:shd w:fill="auto" w:val="clear"/>
            <w:vAlign w:val="bottom"/>
          </w:tcPr>
          <w:p>
            <w:pPr>
              <w:pStyle w:val="TableContents"/>
              <w:spacing w:before="0" w:after="0"/>
              <w:ind w:left="0" w:right="0" w:hanging="0"/>
              <w:rPr/>
            </w:pPr>
            <w:r>
              <w:rPr/>
              <w:t> </w:t>
            </w:r>
          </w:p>
        </w:tc>
        <w:tc>
          <w:tcPr>
            <w:tcW w:w="302" w:type="dxa"/>
            <w:tcBorders/>
            <w:shd w:fill="auto" w:val="clear"/>
            <w:vAlign w:val="bottom"/>
          </w:tcPr>
          <w:p>
            <w:pPr>
              <w:pStyle w:val="TableContents"/>
              <w:spacing w:before="0" w:after="0"/>
              <w:ind w:left="0" w:right="0" w:hanging="0"/>
              <w:rPr/>
            </w:pPr>
            <w:r>
              <w:rPr/>
              <w:t> </w:t>
            </w:r>
          </w:p>
        </w:tc>
      </w:tr>
      <w:tr>
        <w:trPr/>
        <w:tc>
          <w:tcPr>
            <w:tcW w:w="57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Reclassification adjustment for settled contracts</w:t>
            </w:r>
          </w:p>
        </w:tc>
        <w:tc>
          <w:tcPr>
            <w:tcW w:w="201" w:type="dxa"/>
            <w:tcBorders/>
            <w:shd w:fill="CCEEFF" w:val="clear"/>
            <w:vAlign w:val="bottom"/>
          </w:tcPr>
          <w:p>
            <w:pPr>
              <w:pStyle w:val="TableContents"/>
              <w:spacing w:before="0" w:after="0"/>
              <w:ind w:left="0" w:right="0" w:hanging="0"/>
              <w:rPr/>
            </w:pPr>
            <w:r>
              <w:rPr/>
              <w:t> </w:t>
            </w:r>
          </w:p>
        </w:tc>
        <w:tc>
          <w:tcPr>
            <w:tcW w:w="122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(18.9</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3"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1" w:type="dxa"/>
            <w:tcBorders/>
            <w:shd w:fill="CCEEFF" w:val="clear"/>
            <w:vAlign w:val="bottom"/>
          </w:tcPr>
          <w:p>
            <w:pPr>
              <w:pStyle w:val="TableContents"/>
              <w:spacing w:before="0" w:after="0"/>
              <w:ind w:left="0" w:right="0" w:hanging="0"/>
              <w:rPr/>
            </w:pPr>
            <w:r>
              <w:rPr/>
              <w:t> </w:t>
            </w:r>
          </w:p>
        </w:tc>
        <w:tc>
          <w:tcPr>
            <w:tcW w:w="1073"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(18.9</w:t>
            </w:r>
          </w:p>
        </w:tc>
        <w:tc>
          <w:tcPr>
            <w:tcW w:w="3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7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Changes in fair value of outstanding hedge positions</w:t>
            </w:r>
          </w:p>
        </w:tc>
        <w:tc>
          <w:tcPr>
            <w:tcW w:w="201"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25.0</w:t>
            </w:r>
          </w:p>
        </w:tc>
        <w:tc>
          <w:tcPr>
            <w:tcW w:w="210"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1" w:type="dxa"/>
            <w:tcBorders/>
            <w:shd w:fill="auto" w:val="clear"/>
            <w:vAlign w:val="bottom"/>
          </w:tcPr>
          <w:p>
            <w:pPr>
              <w:pStyle w:val="TableContents"/>
              <w:spacing w:before="0" w:after="0"/>
              <w:ind w:left="0" w:right="0" w:hanging="0"/>
              <w:rPr/>
            </w:pPr>
            <w:r>
              <w:rPr/>
              <w:t> </w:t>
            </w:r>
          </w:p>
        </w:tc>
        <w:tc>
          <w:tcPr>
            <w:tcW w:w="1073"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25.0</w:t>
            </w:r>
          </w:p>
        </w:tc>
        <w:tc>
          <w:tcPr>
            <w:tcW w:w="302" w:type="dxa"/>
            <w:tcBorders/>
            <w:shd w:fill="auto" w:val="clear"/>
            <w:vAlign w:val="bottom"/>
          </w:tcPr>
          <w:p>
            <w:pPr>
              <w:pStyle w:val="TableContents"/>
              <w:spacing w:before="0" w:after="0"/>
              <w:ind w:left="0" w:right="0" w:hanging="0"/>
              <w:rPr/>
            </w:pPr>
            <w:r>
              <w:rPr/>
              <w:t> </w:t>
            </w:r>
          </w:p>
        </w:tc>
      </w:tr>
      <w:tr>
        <w:trPr/>
        <w:tc>
          <w:tcPr>
            <w:tcW w:w="57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Currency translation adjustment</w:t>
            </w:r>
          </w:p>
        </w:tc>
        <w:tc>
          <w:tcPr>
            <w:tcW w:w="201" w:type="dxa"/>
            <w:tcBorders/>
            <w:shd w:fill="CCEEFF"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0" w:type="dxa"/>
            <w:tcBorders/>
            <w:shd w:fill="CCEEFF"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13.6</w:t>
            </w:r>
          </w:p>
        </w:tc>
        <w:tc>
          <w:tcPr>
            <w:tcW w:w="201" w:type="dxa"/>
            <w:tcBorders/>
            <w:shd w:fill="CCEEFF" w:val="clear"/>
            <w:vAlign w:val="bottom"/>
          </w:tcPr>
          <w:p>
            <w:pPr>
              <w:pStyle w:val="TableContents"/>
              <w:spacing w:before="0" w:after="0"/>
              <w:ind w:left="0" w:right="0" w:hanging="0"/>
              <w:rPr/>
            </w:pPr>
            <w:r>
              <w:rPr/>
              <w:t> </w:t>
            </w:r>
          </w:p>
        </w:tc>
        <w:tc>
          <w:tcPr>
            <w:tcW w:w="1073"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13.6</w:t>
            </w:r>
          </w:p>
        </w:tc>
        <w:tc>
          <w:tcPr>
            <w:tcW w:w="302" w:type="dxa"/>
            <w:tcBorders/>
            <w:shd w:fill="CCEEFF" w:val="clear"/>
            <w:vAlign w:val="bottom"/>
          </w:tcPr>
          <w:p>
            <w:pPr>
              <w:pStyle w:val="TableContents"/>
              <w:spacing w:before="0" w:after="0"/>
              <w:ind w:left="0" w:right="0" w:hanging="0"/>
              <w:rPr/>
            </w:pPr>
            <w:r>
              <w:rPr/>
              <w:t> </w:t>
            </w:r>
          </w:p>
        </w:tc>
      </w:tr>
      <w:tr>
        <w:trPr/>
        <w:tc>
          <w:tcPr>
            <w:tcW w:w="577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period activity</w:t>
            </w:r>
          </w:p>
        </w:tc>
        <w:tc>
          <w:tcPr>
            <w:tcW w:w="201" w:type="dxa"/>
            <w:tcBorders/>
            <w:shd w:fill="auto" w:val="clear"/>
            <w:vAlign w:val="bottom"/>
          </w:tcPr>
          <w:p>
            <w:pPr>
              <w:pStyle w:val="TableContents"/>
              <w:spacing w:before="0" w:after="0"/>
              <w:ind w:left="0" w:right="0" w:hanging="0"/>
              <w:rPr/>
            </w:pPr>
            <w:r>
              <w:rPr/>
              <w:t> </w:t>
            </w:r>
          </w:p>
        </w:tc>
        <w:tc>
          <w:tcPr>
            <w:tcW w:w="1224"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6.1</w:t>
            </w:r>
          </w:p>
        </w:tc>
        <w:tc>
          <w:tcPr>
            <w:tcW w:w="210" w:type="dxa"/>
            <w:tcBorders/>
            <w:shd w:fill="auto" w:val="clear"/>
            <w:vAlign w:val="bottom"/>
          </w:tcPr>
          <w:p>
            <w:pPr>
              <w:pStyle w:val="TableContents"/>
              <w:spacing w:before="0" w:after="0"/>
              <w:ind w:left="0" w:right="0" w:hanging="0"/>
              <w:rPr/>
            </w:pPr>
            <w:r>
              <w:rPr/>
              <w:t> </w:t>
            </w:r>
          </w:p>
        </w:tc>
        <w:tc>
          <w:tcPr>
            <w:tcW w:w="1223"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13.6</w:t>
            </w:r>
          </w:p>
        </w:tc>
        <w:tc>
          <w:tcPr>
            <w:tcW w:w="201" w:type="dxa"/>
            <w:tcBorders/>
            <w:shd w:fill="auto" w:val="clear"/>
            <w:vAlign w:val="bottom"/>
          </w:tcPr>
          <w:p>
            <w:pPr>
              <w:pStyle w:val="TableContents"/>
              <w:spacing w:before="0" w:after="0"/>
              <w:ind w:left="0" w:right="0" w:hanging="0"/>
              <w:rPr/>
            </w:pPr>
            <w:r>
              <w:rPr/>
              <w:t> </w:t>
            </w:r>
          </w:p>
        </w:tc>
        <w:tc>
          <w:tcPr>
            <w:tcW w:w="1073"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19.7</w:t>
            </w:r>
          </w:p>
        </w:tc>
        <w:tc>
          <w:tcPr>
            <w:tcW w:w="302" w:type="dxa"/>
            <w:tcBorders/>
            <w:shd w:fill="auto" w:val="clear"/>
            <w:vAlign w:val="bottom"/>
          </w:tcPr>
          <w:p>
            <w:pPr>
              <w:pStyle w:val="TableContents"/>
              <w:spacing w:before="0" w:after="0"/>
              <w:ind w:left="0" w:right="0" w:hanging="0"/>
              <w:rPr/>
            </w:pPr>
            <w:r>
              <w:rPr/>
              <w:t> </w:t>
            </w:r>
          </w:p>
        </w:tc>
      </w:tr>
      <w:tr>
        <w:trPr/>
        <w:tc>
          <w:tcPr>
            <w:tcW w:w="5771"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Balance at June 30, 2006</w:t>
            </w:r>
          </w:p>
        </w:tc>
        <w:tc>
          <w:tcPr>
            <w:tcW w:w="201" w:type="dxa"/>
            <w:tcBorders/>
            <w:shd w:fill="CCEEFF" w:val="clear"/>
            <w:vAlign w:val="bottom"/>
          </w:tcPr>
          <w:p>
            <w:pPr>
              <w:pStyle w:val="TableContents"/>
              <w:spacing w:before="0" w:after="0"/>
              <w:ind w:left="0" w:right="0" w:hanging="0"/>
              <w:rPr/>
            </w:pPr>
            <w:r>
              <w:rPr/>
              <w:t> </w:t>
            </w:r>
          </w:p>
        </w:tc>
        <w:tc>
          <w:tcPr>
            <w:tcW w:w="165"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5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(10.5</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100.7</w:t>
            </w:r>
          </w:p>
        </w:tc>
        <w:tc>
          <w:tcPr>
            <w:tcW w:w="20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90.2</w:t>
            </w:r>
          </w:p>
        </w:tc>
        <w:tc>
          <w:tcPr>
            <w:tcW w:w="302" w:type="dxa"/>
            <w:tcBorders/>
            <w:shd w:fill="CCEEFF" w:val="clear"/>
            <w:vAlign w:val="bottom"/>
          </w:tcPr>
          <w:p>
            <w:pPr>
              <w:pStyle w:val="TableContents"/>
              <w:spacing w:before="0" w:after="0"/>
              <w:ind w:left="0" w:right="0" w:hanging="0"/>
              <w:rPr/>
            </w:pPr>
            <w:r>
              <w:rPr/>
              <w:t> </w:t>
            </w:r>
          </w:p>
        </w:tc>
      </w:tr>
      <w:tr>
        <w:trPr/>
        <w:tc>
          <w:tcPr>
            <w:tcW w:w="5771" w:type="dxa"/>
            <w:tcBorders/>
            <w:shd w:fill="auto" w:val="clear"/>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rPr/>
            </w:pPr>
            <w:r>
              <w:rPr/>
              <w:t> </w:t>
            </w:r>
          </w:p>
        </w:tc>
        <w:tc>
          <w:tcPr>
            <w:tcW w:w="1224" w:type="dxa"/>
            <w:gridSpan w:val="2"/>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223" w:type="dxa"/>
            <w:gridSpan w:val="2"/>
            <w:tcBorders/>
            <w:shd w:fill="auto" w:val="clear"/>
            <w:vAlign w:val="bottom"/>
          </w:tcPr>
          <w:p>
            <w:pPr>
              <w:pStyle w:val="TableContents"/>
              <w:spacing w:before="0" w:after="0"/>
              <w:ind w:left="0" w:right="0" w:hanging="0"/>
              <w:rPr/>
            </w:pPr>
            <w:r>
              <w:rPr/>
              <w:t> </w:t>
            </w:r>
          </w:p>
        </w:tc>
        <w:tc>
          <w:tcPr>
            <w:tcW w:w="201" w:type="dxa"/>
            <w:tcBorders/>
            <w:shd w:fill="auto" w:val="clear"/>
            <w:vAlign w:val="bottom"/>
          </w:tcPr>
          <w:p>
            <w:pPr>
              <w:pStyle w:val="TableContents"/>
              <w:spacing w:before="0" w:after="0"/>
              <w:ind w:left="0" w:right="0" w:hanging="0"/>
              <w:rPr/>
            </w:pPr>
            <w:r>
              <w:rPr/>
              <w:t> </w:t>
            </w:r>
          </w:p>
        </w:tc>
        <w:tc>
          <w:tcPr>
            <w:tcW w:w="1073" w:type="dxa"/>
            <w:gridSpan w:val="2"/>
            <w:tcBorders/>
            <w:shd w:fill="auto" w:val="clear"/>
            <w:vAlign w:val="bottom"/>
          </w:tcPr>
          <w:p>
            <w:pPr>
              <w:pStyle w:val="TableContents"/>
              <w:spacing w:before="0" w:after="0"/>
              <w:ind w:left="0" w:right="0" w:hanging="0"/>
              <w:rPr/>
            </w:pPr>
            <w:r>
              <w:rPr/>
              <w:t> </w:t>
            </w:r>
          </w:p>
        </w:tc>
        <w:tc>
          <w:tcPr>
            <w:tcW w:w="302" w:type="dxa"/>
            <w:tcBorders/>
            <w:shd w:fill="auto"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notes are an integral part of these consolidated financial statements.</w:t>
      </w:r>
    </w:p>
    <w:p>
      <w:pPr>
        <w:pStyle w:val="TextBody"/>
        <w:spacing w:before="480" w:after="480"/>
        <w:ind w:left="0" w:right="0" w:hanging="0"/>
        <w:rPr>
          <w:rFonts w:ascii="Times New Roman" w:hAnsi="Times New Roman"/>
          <w:sz w:val="17"/>
        </w:rPr>
      </w:pPr>
      <w:r>
        <w:rPr>
          <w:rFonts w:ascii="Times New Roman" w:hAnsi="Times New Roman"/>
          <w:sz w:val="17"/>
        </w:rPr>
        <w:t>7</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NOTES TO THE CONSOLIDATED FINANCIAL STATEMENTS</w:t>
      </w:r>
      <w:bookmarkStart w:id="11" w:name="NotesToTheConsolidatedFinancialSt_114234"/>
      <w:bookmarkEnd w:id="11"/>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(unaudited)</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Note 1Organization and Accounting Policies</w:t>
      </w:r>
    </w:p>
    <w:p>
      <w:pPr>
        <w:pStyle w:val="TextBody"/>
        <w:spacing w:before="0" w:after="240"/>
        <w:ind w:left="0" w:right="0" w:firstLine="400"/>
        <w:rPr>
          <w:rFonts w:ascii="Times New Roman" w:hAnsi="Times New Roman"/>
          <w:sz w:val="17"/>
        </w:rPr>
      </w:pPr>
      <w:r>
        <w:rPr>
          <w:rFonts w:ascii="Times New Roman" w:hAnsi="Times New Roman"/>
          <w:sz w:val="17"/>
        </w:rPr>
        <w:t xml:space="preserve">Plains All American Pipeline, L.P. (PAA) is a Delaware limited partnership formed in September 1998. Our operations are conducted directly and indirectly through our primary operating subsidiaries, Plains Marketing, L.P., Plains Pipeline, L.P. and Plains Marketing Canada, L.P. We are engaged in interstate and intrastate crude oil transportation, and crude oil gathering, marketing, terminalling and storage, as well as the marketing and storage of liquefied petroleum gas and other natural gas related petroleum products. We refer to liquefied petroleum gas and other natural gas related petroleum products collectively as LPG. We own an extensive network of pipeline transportation, terminalling, storage and gathering assets in key oil producing basins, transportation corridors and at major market hubs in the United States and Canada.  On July 20, 2006, we announced an acquisition that, when completed, will represent our initial entry into the refined products transportation business (See Note 3).  In addition, through our 50% equity ownership in PAA/Vulcan Gas Storage, LLC (PAA/Vulcan), we are engaged in the development and operation of natural gas storage facilities. Investments in 50% or less owned affiliates, over which we have significant influence, are accounted for by the equity method. We evaluate our equity investments for impairment in accordance with APB 18: </w:t>
      </w:r>
      <w:r>
        <w:rPr>
          <w:rFonts w:ascii="Times New Roman" w:hAnsi="Times New Roman"/>
          <w:i/>
          <w:sz w:val="17"/>
        </w:rPr>
        <w:t>The Equity Method of Accounting for Investments in Common Stock</w:t>
      </w:r>
      <w:r>
        <w:rPr>
          <w:rFonts w:ascii="Times New Roman" w:hAnsi="Times New Roman"/>
          <w:sz w:val="17"/>
        </w:rPr>
        <w:t>. An impairment of an equity investment results when factors indicate that the investments fair value is less than its carrying value and the reduction in value is other than temporary in nature.</w:t>
      </w:r>
    </w:p>
    <w:p>
      <w:pPr>
        <w:pStyle w:val="TextBody"/>
        <w:spacing w:before="0" w:after="240"/>
        <w:ind w:left="0" w:right="0" w:firstLine="400"/>
        <w:rPr>
          <w:rFonts w:ascii="Times New Roman" w:hAnsi="Times New Roman"/>
          <w:sz w:val="17"/>
        </w:rPr>
      </w:pPr>
      <w:r>
        <w:rPr>
          <w:rFonts w:ascii="Times New Roman" w:hAnsi="Times New Roman"/>
          <w:sz w:val="17"/>
        </w:rPr>
        <w:t>The accompanying consolidated financial statements and related notes present (i) our consolidated financial position as of June 30, 2006 and December 31, 2005, (ii) the results of our consolidated operations for the three months and six months ended June 30, 2006 and 2005, (iii) our consolidated cash flows for the six months ended June 30, 2006 and 2005, (iv) our consolidated changes in partners capital for the six months ended June 30, 2006, (v) our consolidated comprehensive income for the three months and six months ended June 30, 2006 and 2005, and (vi) our changes in consolidated accumulated other comprehensive income for the six months ended June 30, 2006. The financial statements have been prepared in accordance with the instructions for interim reporting as prescribed by the Securities and Exchange Commission. All adjustments (consisting only of normal recurring adjustments) that in the opinion of management were necessary for a fair statement of the results for the interim periods have been reflected. All significant intercompany transactions have been eliminated. Certain reclassifications are made to prior periods to conform to current period presentation. The results of operations for the six months ended June 30, 2006 should not be taken as indicative of the results to be expected for the full year. The consolidated interim financial statements should be read in conjunction with our consolidated financial statements and notes thereto presented in our 2005 Annual Report on Form 10-K.</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Note 2Trade Accounts Receivable</w:t>
      </w:r>
    </w:p>
    <w:p>
      <w:pPr>
        <w:pStyle w:val="TextBody"/>
        <w:spacing w:before="0" w:after="240"/>
        <w:ind w:left="0" w:right="0" w:firstLine="400"/>
        <w:rPr>
          <w:rFonts w:ascii="Times New Roman" w:hAnsi="Times New Roman"/>
          <w:sz w:val="17"/>
        </w:rPr>
      </w:pPr>
      <w:r>
        <w:rPr>
          <w:rFonts w:ascii="Times New Roman" w:hAnsi="Times New Roman"/>
          <w:sz w:val="17"/>
        </w:rPr>
        <w:t>The majority of our trade accounts receivable relates to our gathering and marketing activities, which can generally be described as high volume and low margin activities. As is customary in the industry, a portion of these receivables is reflected net of payables to the same counterparty based on contractual agreements. We routinely review our trade accounts receivable balances to identify past due amounts and analyze the reasons such amounts have not been collected. In many instances, such uncollected amounts involve billing delays and discrepancies or disputes as to the appropriate price, volume or quality of crude oil delivered, received or exchanged. We also attempt to monitor changes in the creditworthiness of our customers as a result of developments related to each customer, the industry as a whole and the general economy. Based on these analyses, as well as our historical experience and the facts and circumstances surrounding certain aged balances, we have established an allowance for doubtful trade accounts receivable as shown below. At June 30, 2006, substantially all of our net trade accounts receivable were less than 60 days past the scheduled invoice date.</w:t>
      </w:r>
    </w:p>
    <w:p>
      <w:pPr>
        <w:pStyle w:val="TextBody"/>
        <w:spacing w:before="480" w:after="480"/>
        <w:ind w:left="0" w:right="0" w:hanging="0"/>
        <w:rPr>
          <w:rFonts w:ascii="Times New Roman" w:hAnsi="Times New Roman"/>
          <w:sz w:val="17"/>
        </w:rPr>
      </w:pPr>
      <w:r>
        <w:rPr>
          <w:rFonts w:ascii="Times New Roman" w:hAnsi="Times New Roman"/>
          <w:sz w:val="17"/>
        </w:rPr>
        <w:t>8</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rFonts w:ascii="Times New Roman" w:hAnsi="Times New Roman"/>
          <w:sz w:val="17"/>
        </w:rPr>
      </w:pPr>
      <w:r>
        <w:rPr>
          <w:rFonts w:ascii="Times New Roman" w:hAnsi="Times New Roman"/>
          <w:sz w:val="17"/>
        </w:rPr>
        <w:t>The following is a summary of the changes in our allowance for doubtful trade accounts receivable balance (in millions):</w:t>
      </w:r>
    </w:p>
    <w:p>
      <w:pPr>
        <w:pStyle w:val="TextBody"/>
        <w:spacing w:before="0" w:after="0"/>
        <w:ind w:left="0" w:right="0" w:hanging="0"/>
        <w:rPr/>
      </w:pPr>
      <w:r>
        <w:rPr/>
        <w:t> </w:t>
      </w:r>
    </w:p>
    <w:tbl>
      <w:tblPr>
        <w:tblW w:w="6110" w:type="dxa"/>
        <w:jc w:val="center"/>
        <w:tblInd w:w="0" w:type="dxa"/>
        <w:tblCellMar>
          <w:top w:w="0" w:type="dxa"/>
          <w:left w:w="0" w:type="dxa"/>
          <w:bottom w:w="0" w:type="dxa"/>
          <w:right w:w="0" w:type="dxa"/>
        </w:tblCellMar>
      </w:tblPr>
      <w:tblGrid>
        <w:gridCol w:w="5265"/>
        <w:gridCol w:w="240"/>
        <w:gridCol w:w="110"/>
        <w:gridCol w:w="405"/>
        <w:gridCol w:w="90"/>
      </w:tblGrid>
      <w:tr>
        <w:trPr/>
        <w:tc>
          <w:tcPr>
            <w:tcW w:w="5265" w:type="dxa"/>
            <w:tcBorders/>
            <w:shd w:fill="CCEEFF" w:val="clear"/>
          </w:tcPr>
          <w:p>
            <w:pPr>
              <w:pStyle w:val="TableContents"/>
              <w:spacing w:before="0" w:after="0"/>
              <w:ind w:left="0" w:right="0" w:hanging="0"/>
              <w:rPr>
                <w:sz w:val="17"/>
              </w:rPr>
            </w:pPr>
            <w:r>
              <w:rPr>
                <w:sz w:val="17"/>
              </w:rPr>
              <w:t>Balance at December 31, 2005</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0.8</w:t>
            </w:r>
          </w:p>
        </w:tc>
        <w:tc>
          <w:tcPr>
            <w:tcW w:w="90" w:type="dxa"/>
            <w:tcBorders/>
            <w:shd w:fill="CCEEFF" w:val="clear"/>
            <w:vAlign w:val="bottom"/>
          </w:tcPr>
          <w:p>
            <w:pPr>
              <w:pStyle w:val="TableContents"/>
              <w:spacing w:before="0" w:after="0"/>
              <w:ind w:left="0" w:right="0" w:hanging="0"/>
              <w:rPr/>
            </w:pPr>
            <w:r>
              <w:rPr/>
              <w:t> </w:t>
            </w:r>
          </w:p>
        </w:tc>
      </w:tr>
      <w:tr>
        <w:trPr/>
        <w:tc>
          <w:tcPr>
            <w:tcW w:w="5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Applied to accounts receivable balances</w:t>
            </w:r>
          </w:p>
        </w:tc>
        <w:tc>
          <w:tcPr>
            <w:tcW w:w="240" w:type="dxa"/>
            <w:tcBorders/>
            <w:shd w:fill="auto" w:val="clear"/>
            <w:vAlign w:val="bottom"/>
          </w:tcPr>
          <w:p>
            <w:pPr>
              <w:pStyle w:val="TableContents"/>
              <w:spacing w:before="0" w:after="0"/>
              <w:ind w:left="0" w:right="0" w:hanging="0"/>
              <w:rPr/>
            </w:pPr>
            <w:r>
              <w:rPr/>
              <w:t> </w:t>
            </w:r>
          </w:p>
        </w:tc>
        <w:tc>
          <w:tcPr>
            <w:tcW w:w="51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(0.3</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6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Charged to expense</w:t>
            </w:r>
          </w:p>
        </w:tc>
        <w:tc>
          <w:tcPr>
            <w:tcW w:w="240" w:type="dxa"/>
            <w:tcBorders/>
            <w:shd w:fill="CCEEFF" w:val="clear"/>
            <w:vAlign w:val="bottom"/>
          </w:tcPr>
          <w:p>
            <w:pPr>
              <w:pStyle w:val="TableContents"/>
              <w:spacing w:before="0" w:after="0"/>
              <w:ind w:left="0" w:right="0" w:hanging="0"/>
              <w:rPr/>
            </w:pPr>
            <w:r>
              <w:rPr/>
              <w:t> </w:t>
            </w:r>
          </w:p>
        </w:tc>
        <w:tc>
          <w:tcPr>
            <w:tcW w:w="51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0.1</w:t>
            </w:r>
          </w:p>
        </w:tc>
        <w:tc>
          <w:tcPr>
            <w:tcW w:w="90" w:type="dxa"/>
            <w:tcBorders/>
            <w:shd w:fill="CCEEFF" w:val="clear"/>
            <w:vAlign w:val="bottom"/>
          </w:tcPr>
          <w:p>
            <w:pPr>
              <w:pStyle w:val="TableContents"/>
              <w:spacing w:before="0" w:after="0"/>
              <w:ind w:left="0" w:right="0" w:hanging="0"/>
              <w:rPr/>
            </w:pPr>
            <w:r>
              <w:rPr/>
              <w:t> </w:t>
            </w:r>
          </w:p>
        </w:tc>
      </w:tr>
      <w:tr>
        <w:trPr/>
        <w:tc>
          <w:tcPr>
            <w:tcW w:w="5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Balance at June 30, 2006</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4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0.6</w:t>
            </w:r>
          </w:p>
        </w:tc>
        <w:tc>
          <w:tcPr>
            <w:tcW w:w="90" w:type="dxa"/>
            <w:tcBorders/>
            <w:shd w:fill="auto"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spacing w:before="0" w:after="240"/>
        <w:ind w:left="0" w:right="0" w:firstLine="400"/>
        <w:rPr>
          <w:rFonts w:ascii="Times New Roman" w:hAnsi="Times New Roman"/>
          <w:sz w:val="17"/>
        </w:rPr>
      </w:pPr>
      <w:r>
        <w:rPr>
          <w:rFonts w:ascii="Times New Roman" w:hAnsi="Times New Roman"/>
          <w:sz w:val="17"/>
        </w:rPr>
        <w:t>We consider this reserve adequate; however, actual amounts may vary significantly from estimated amounts. The discovery of previously unknown facts or adverse developments affecting one of our counterparties or the industry as a whole could adversely impact our results of operations.</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Note 3Acquisitions</w:t>
      </w:r>
    </w:p>
    <w:p>
      <w:pPr>
        <w:pStyle w:val="TextBody"/>
        <w:spacing w:before="0" w:after="240"/>
        <w:ind w:left="0" w:right="0" w:firstLine="400"/>
        <w:rPr>
          <w:rFonts w:ascii="Times New Roman" w:hAnsi="Times New Roman"/>
          <w:sz w:val="17"/>
        </w:rPr>
      </w:pPr>
      <w:r>
        <w:rPr>
          <w:rFonts w:ascii="Times New Roman" w:hAnsi="Times New Roman"/>
          <w:sz w:val="17"/>
        </w:rPr>
        <w:t>We completed five acquisitions during the first half of 2006 for aggregate consideration of approximately $443 million.  The aggregate consideration includes cash paid, estimated transaction costs and assumed liabilities and net working capital items.  The aggregate purchase price is preliminary pending the resolution of working capital adjustments and the finalization of certain estimated transaction related costs.  These acquisitions include (i) 100% of the equity interests of Andrews Petroleum and Lone Star Trucking, which provide isomerization, fractionation, marketing and transportation services to producers and customers of natural gas liquids (collectively, the Andrews Acquisition), (ii) crude oil gathering and transportation assets and related contracts in South Louisiana and (iii) interests in various crude oil pipeline systems in Canada and the U.S. including a 100% interest in the Bay Marchand-to-Ostrica-to-Alliance Pipeline and various interests in the High Island Pipeline System (payment of approximately $68 million was made on July 3, 2006).</w:t>
      </w:r>
    </w:p>
    <w:p>
      <w:pPr>
        <w:pStyle w:val="TextBody"/>
        <w:spacing w:before="0" w:after="240"/>
        <w:ind w:left="0" w:right="0" w:firstLine="400"/>
        <w:rPr>
          <w:rFonts w:ascii="Times New Roman" w:hAnsi="Times New Roman"/>
          <w:sz w:val="17"/>
        </w:rPr>
      </w:pPr>
      <w:r>
        <w:rPr>
          <w:rFonts w:ascii="Times New Roman" w:hAnsi="Times New Roman"/>
          <w:sz w:val="17"/>
        </w:rPr>
        <w:t>The allocation of the purchase price for these acquisitions is preliminary pending the confirmation of the final purchase price and the completion of valuations for certain of the acquisitions.  The preliminary purchase price allocation is as follows (in millions):</w:t>
      </w:r>
    </w:p>
    <w:tbl>
      <w:tblPr>
        <w:tblW w:w="6130" w:type="dxa"/>
        <w:jc w:val="center"/>
        <w:tblInd w:w="0" w:type="dxa"/>
        <w:tblCellMar>
          <w:top w:w="0" w:type="dxa"/>
          <w:left w:w="0" w:type="dxa"/>
          <w:bottom w:w="0" w:type="dxa"/>
          <w:right w:w="0" w:type="dxa"/>
        </w:tblCellMar>
      </w:tblPr>
      <w:tblGrid>
        <w:gridCol w:w="5100"/>
        <w:gridCol w:w="240"/>
        <w:gridCol w:w="110"/>
        <w:gridCol w:w="600"/>
        <w:gridCol w:w="80"/>
      </w:tblGrid>
      <w:tr>
        <w:trPr/>
        <w:tc>
          <w:tcPr>
            <w:tcW w:w="5100" w:type="dxa"/>
            <w:tcBorders/>
            <w:shd w:fill="CCEEFF" w:val="clear"/>
          </w:tcPr>
          <w:p>
            <w:pPr>
              <w:pStyle w:val="TableContents"/>
              <w:spacing w:before="0" w:after="0"/>
              <w:ind w:left="0" w:right="0" w:hanging="0"/>
              <w:rPr>
                <w:sz w:val="17"/>
              </w:rPr>
            </w:pPr>
            <w:r>
              <w:rPr>
                <w:sz w:val="17"/>
              </w:rPr>
              <w:t>Inventory</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34.3</w:t>
            </w:r>
          </w:p>
        </w:tc>
        <w:tc>
          <w:tcPr>
            <w:tcW w:w="80" w:type="dxa"/>
            <w:tcBorders/>
            <w:shd w:fill="CCEEFF" w:val="clear"/>
            <w:vAlign w:val="bottom"/>
          </w:tcPr>
          <w:p>
            <w:pPr>
              <w:pStyle w:val="TableContents"/>
              <w:spacing w:before="0" w:after="0"/>
              <w:ind w:left="0" w:right="0" w:hanging="0"/>
              <w:rPr/>
            </w:pPr>
            <w:r>
              <w:rPr/>
              <w:t> </w:t>
            </w:r>
          </w:p>
        </w:tc>
      </w:tr>
      <w:tr>
        <w:trPr/>
        <w:tc>
          <w:tcPr>
            <w:tcW w:w="51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Linefill</w:t>
            </w:r>
          </w:p>
        </w:tc>
        <w:tc>
          <w:tcPr>
            <w:tcW w:w="240" w:type="dxa"/>
            <w:tcBorders/>
            <w:shd w:fill="auto" w:val="clear"/>
            <w:vAlign w:val="bottom"/>
          </w:tcPr>
          <w:p>
            <w:pPr>
              <w:pStyle w:val="TableContents"/>
              <w:spacing w:before="0" w:after="0"/>
              <w:ind w:left="0" w:right="0" w:hanging="0"/>
              <w:rPr/>
            </w:pPr>
            <w:r>
              <w:rPr/>
              <w:t> </w:t>
            </w:r>
          </w:p>
        </w:tc>
        <w:tc>
          <w:tcPr>
            <w:tcW w:w="71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19.0</w:t>
            </w:r>
          </w:p>
        </w:tc>
        <w:tc>
          <w:tcPr>
            <w:tcW w:w="80" w:type="dxa"/>
            <w:tcBorders/>
            <w:shd w:fill="auto" w:val="clear"/>
            <w:vAlign w:val="bottom"/>
          </w:tcPr>
          <w:p>
            <w:pPr>
              <w:pStyle w:val="TableContents"/>
              <w:spacing w:before="0" w:after="0"/>
              <w:ind w:left="0" w:right="0" w:hanging="0"/>
              <w:rPr/>
            </w:pPr>
            <w:r>
              <w:rPr/>
              <w:t> </w:t>
            </w:r>
          </w:p>
        </w:tc>
      </w:tr>
      <w:tr>
        <w:trPr/>
        <w:tc>
          <w:tcPr>
            <w:tcW w:w="51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Inventory in third party assets</w:t>
            </w:r>
          </w:p>
        </w:tc>
        <w:tc>
          <w:tcPr>
            <w:tcW w:w="240" w:type="dxa"/>
            <w:tcBorders/>
            <w:shd w:fill="CCEEFF" w:val="clear"/>
            <w:vAlign w:val="bottom"/>
          </w:tcPr>
          <w:p>
            <w:pPr>
              <w:pStyle w:val="TableContents"/>
              <w:spacing w:before="0" w:after="0"/>
              <w:ind w:left="0" w:right="0" w:hanging="0"/>
              <w:rPr/>
            </w:pPr>
            <w:r>
              <w:rPr/>
              <w:t> </w:t>
            </w:r>
          </w:p>
        </w:tc>
        <w:tc>
          <w:tcPr>
            <w:tcW w:w="71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2.3</w:t>
            </w:r>
          </w:p>
        </w:tc>
        <w:tc>
          <w:tcPr>
            <w:tcW w:w="80" w:type="dxa"/>
            <w:tcBorders/>
            <w:shd w:fill="CCEEFF" w:val="clear"/>
            <w:vAlign w:val="bottom"/>
          </w:tcPr>
          <w:p>
            <w:pPr>
              <w:pStyle w:val="TableContents"/>
              <w:spacing w:before="0" w:after="0"/>
              <w:ind w:left="0" w:right="0" w:hanging="0"/>
              <w:rPr/>
            </w:pPr>
            <w:r>
              <w:rPr/>
              <w:t> </w:t>
            </w:r>
          </w:p>
        </w:tc>
      </w:tr>
      <w:tr>
        <w:trPr/>
        <w:tc>
          <w:tcPr>
            <w:tcW w:w="51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Property and equipment</w:t>
            </w:r>
          </w:p>
        </w:tc>
        <w:tc>
          <w:tcPr>
            <w:tcW w:w="240" w:type="dxa"/>
            <w:tcBorders/>
            <w:shd w:fill="auto" w:val="clear"/>
            <w:vAlign w:val="bottom"/>
          </w:tcPr>
          <w:p>
            <w:pPr>
              <w:pStyle w:val="TableContents"/>
              <w:spacing w:before="0" w:after="0"/>
              <w:ind w:left="0" w:right="0" w:hanging="0"/>
              <w:rPr/>
            </w:pPr>
            <w:r>
              <w:rPr/>
              <w:t> </w:t>
            </w:r>
          </w:p>
        </w:tc>
        <w:tc>
          <w:tcPr>
            <w:tcW w:w="71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207.2</w:t>
            </w:r>
          </w:p>
        </w:tc>
        <w:tc>
          <w:tcPr>
            <w:tcW w:w="80" w:type="dxa"/>
            <w:tcBorders/>
            <w:shd w:fill="auto" w:val="clear"/>
            <w:vAlign w:val="bottom"/>
          </w:tcPr>
          <w:p>
            <w:pPr>
              <w:pStyle w:val="TableContents"/>
              <w:spacing w:before="0" w:after="0"/>
              <w:ind w:left="0" w:right="0" w:hanging="0"/>
              <w:rPr/>
            </w:pPr>
            <w:r>
              <w:rPr/>
              <w:t> </w:t>
            </w:r>
          </w:p>
        </w:tc>
      </w:tr>
      <w:tr>
        <w:trPr/>
        <w:tc>
          <w:tcPr>
            <w:tcW w:w="51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Goodwill (1)</w:t>
            </w:r>
          </w:p>
        </w:tc>
        <w:tc>
          <w:tcPr>
            <w:tcW w:w="240" w:type="dxa"/>
            <w:tcBorders/>
            <w:shd w:fill="CCEEFF" w:val="clear"/>
            <w:vAlign w:val="bottom"/>
          </w:tcPr>
          <w:p>
            <w:pPr>
              <w:pStyle w:val="TableContents"/>
              <w:spacing w:before="0" w:after="0"/>
              <w:ind w:left="0" w:right="0" w:hanging="0"/>
              <w:rPr/>
            </w:pPr>
            <w:r>
              <w:rPr/>
              <w:t> </w:t>
            </w:r>
          </w:p>
        </w:tc>
        <w:tc>
          <w:tcPr>
            <w:tcW w:w="71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132.2</w:t>
            </w:r>
          </w:p>
        </w:tc>
        <w:tc>
          <w:tcPr>
            <w:tcW w:w="80" w:type="dxa"/>
            <w:tcBorders/>
            <w:shd w:fill="CCEEFF" w:val="clear"/>
            <w:vAlign w:val="bottom"/>
          </w:tcPr>
          <w:p>
            <w:pPr>
              <w:pStyle w:val="TableContents"/>
              <w:spacing w:before="0" w:after="0"/>
              <w:ind w:left="0" w:right="0" w:hanging="0"/>
              <w:rPr/>
            </w:pPr>
            <w:r>
              <w:rPr/>
              <w:t> </w:t>
            </w:r>
          </w:p>
        </w:tc>
      </w:tr>
      <w:tr>
        <w:trPr/>
        <w:tc>
          <w:tcPr>
            <w:tcW w:w="51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Intangibles</w:t>
            </w:r>
          </w:p>
        </w:tc>
        <w:tc>
          <w:tcPr>
            <w:tcW w:w="240" w:type="dxa"/>
            <w:tcBorders/>
            <w:shd w:fill="auto" w:val="clear"/>
            <w:vAlign w:val="bottom"/>
          </w:tcPr>
          <w:p>
            <w:pPr>
              <w:pStyle w:val="TableContents"/>
              <w:spacing w:before="0" w:after="0"/>
              <w:ind w:left="0" w:right="0" w:hanging="0"/>
              <w:rPr/>
            </w:pPr>
            <w:r>
              <w:rPr/>
              <w:t> </w:t>
            </w:r>
          </w:p>
        </w:tc>
        <w:tc>
          <w:tcPr>
            <w:tcW w:w="71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48.7</w:t>
            </w:r>
          </w:p>
        </w:tc>
        <w:tc>
          <w:tcPr>
            <w:tcW w:w="80" w:type="dxa"/>
            <w:tcBorders/>
            <w:shd w:fill="auto" w:val="clear"/>
            <w:vAlign w:val="bottom"/>
          </w:tcPr>
          <w:p>
            <w:pPr>
              <w:pStyle w:val="TableContents"/>
              <w:spacing w:before="0" w:after="0"/>
              <w:ind w:left="0" w:right="0" w:hanging="0"/>
              <w:rPr/>
            </w:pPr>
            <w:r>
              <w:rPr/>
              <w:t> </w:t>
            </w:r>
          </w:p>
        </w:tc>
      </w:tr>
      <w:tr>
        <w:trPr/>
        <w:tc>
          <w:tcPr>
            <w:tcW w:w="51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other assets and liabilities</w:t>
            </w:r>
          </w:p>
        </w:tc>
        <w:tc>
          <w:tcPr>
            <w:tcW w:w="240" w:type="dxa"/>
            <w:tcBorders/>
            <w:shd w:fill="CCEEFF" w:val="clear"/>
            <w:vAlign w:val="bottom"/>
          </w:tcPr>
          <w:p>
            <w:pPr>
              <w:pStyle w:val="TableContents"/>
              <w:spacing w:before="0" w:after="0"/>
              <w:ind w:left="0" w:right="0" w:hanging="0"/>
              <w:rPr/>
            </w:pPr>
            <w:r>
              <w:rPr/>
              <w:t> </w:t>
            </w:r>
          </w:p>
        </w:tc>
        <w:tc>
          <w:tcPr>
            <w:tcW w:w="71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(0.6</w:t>
            </w:r>
          </w:p>
        </w:tc>
        <w:tc>
          <w:tcPr>
            <w:tcW w:w="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00" w:type="dxa"/>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443.1</w:t>
            </w:r>
          </w:p>
        </w:tc>
        <w:tc>
          <w:tcPr>
            <w:tcW w:w="80" w:type="dxa"/>
            <w:tcBorders/>
            <w:shd w:fill="auto"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HorizontalLine"/>
        <w:pBdr>
          <w:bottom w:val="single" w:sz="6" w:space="0" w:color="000000"/>
        </w:pBdr>
        <w:spacing w:before="0" w:after="0"/>
        <w:rPr/>
      </w:pPr>
      <w:r>
        <w:rPr/>
      </w:r>
    </w:p>
    <w:p>
      <w:pPr>
        <w:pStyle w:val="TextBody"/>
        <w:spacing w:before="0" w:after="240"/>
        <w:ind w:left="0" w:right="0" w:hanging="0"/>
        <w:rPr>
          <w:rFonts w:ascii="Times New Roman" w:hAnsi="Times New Roman"/>
          <w:sz w:val="17"/>
        </w:rPr>
      </w:pPr>
      <w:r>
        <w:rPr>
          <w:rFonts w:ascii="Times New Roman" w:hAnsi="Times New Roman"/>
          <w:sz w:val="17"/>
        </w:rPr>
        <w:t>(1)           Represents the preliminary amount in excess of the fair value of the net assets acquired and is associated with our view of the future results of operations of the businesses acquired based on the strategic location of the assets and the growth opportunities that we expect to realize as we integrate these assets with our existing business strategy.</w:t>
      </w:r>
    </w:p>
    <w:p>
      <w:pPr>
        <w:pStyle w:val="TextBody"/>
        <w:spacing w:before="0" w:after="240"/>
        <w:ind w:left="0" w:right="0" w:firstLine="400"/>
        <w:rPr>
          <w:rFonts w:ascii="Times New Roman" w:hAnsi="Times New Roman"/>
          <w:i/>
          <w:sz w:val="17"/>
        </w:rPr>
      </w:pPr>
      <w:r>
        <w:rPr>
          <w:rFonts w:ascii="Times New Roman" w:hAnsi="Times New Roman"/>
          <w:i/>
          <w:sz w:val="17"/>
        </w:rPr>
        <w:t>Pro Forma Data</w:t>
      </w:r>
    </w:p>
    <w:p>
      <w:pPr>
        <w:pStyle w:val="TextBody"/>
        <w:spacing w:before="0" w:after="240"/>
        <w:ind w:left="0" w:right="0" w:firstLine="400"/>
        <w:rPr>
          <w:rFonts w:ascii="Times New Roman" w:hAnsi="Times New Roman"/>
          <w:sz w:val="17"/>
        </w:rPr>
      </w:pPr>
      <w:r>
        <w:rPr>
          <w:rFonts w:ascii="Times New Roman" w:hAnsi="Times New Roman"/>
          <w:sz w:val="17"/>
        </w:rPr>
        <w:t>The following unaudited pro forma data is presented as if the acquisitions, in the aggregate, had occurred as of the beginning of the periods reported (in millions, except per unit amounts):</w:t>
      </w:r>
    </w:p>
    <w:tbl>
      <w:tblPr>
        <w:tblW w:w="5000" w:type="pct"/>
        <w:jc w:val="left"/>
        <w:tblInd w:w="0" w:type="dxa"/>
        <w:tblCellMar>
          <w:top w:w="0" w:type="dxa"/>
          <w:left w:w="0" w:type="dxa"/>
          <w:bottom w:w="0" w:type="dxa"/>
          <w:right w:w="0" w:type="dxa"/>
        </w:tblCellMar>
      </w:tblPr>
      <w:tblGrid>
        <w:gridCol w:w="3946"/>
        <w:gridCol w:w="187"/>
        <w:gridCol w:w="153"/>
        <w:gridCol w:w="1169"/>
        <w:gridCol w:w="198"/>
        <w:gridCol w:w="153"/>
        <w:gridCol w:w="1170"/>
        <w:gridCol w:w="187"/>
        <w:gridCol w:w="139"/>
        <w:gridCol w:w="1150"/>
        <w:gridCol w:w="191"/>
        <w:gridCol w:w="139"/>
        <w:gridCol w:w="1150"/>
        <w:gridCol w:w="273"/>
      </w:tblGrid>
      <w:tr>
        <w:trPr/>
        <w:tc>
          <w:tcPr>
            <w:tcW w:w="3946" w:type="dxa"/>
            <w:tcBorders/>
            <w:shd w:fill="auto" w:val="clear"/>
            <w:vAlign w:val="bottom"/>
          </w:tcPr>
          <w:p>
            <w:pPr>
              <w:pStyle w:val="TableContents"/>
              <w:spacing w:lineRule="atLeast" w:line="160" w:before="0" w:after="0"/>
              <w:ind w:left="0" w:right="0" w:hanging="0"/>
              <w:rPr/>
            </w:pPr>
            <w:r>
              <w:rPr/>
              <w:t> </w:t>
            </w:r>
          </w:p>
        </w:tc>
        <w:tc>
          <w:tcPr>
            <w:tcW w:w="187" w:type="dxa"/>
            <w:tcBorders/>
            <w:shd w:fill="auto" w:val="clear"/>
            <w:vAlign w:val="bottom"/>
          </w:tcPr>
          <w:p>
            <w:pPr>
              <w:pStyle w:val="TableContents"/>
              <w:spacing w:lineRule="atLeast" w:line="160" w:before="0" w:after="0"/>
              <w:ind w:left="0" w:right="0" w:hanging="0"/>
              <w:rPr/>
            </w:pPr>
            <w:r>
              <w:rPr/>
              <w:t> </w:t>
            </w:r>
          </w:p>
        </w:tc>
        <w:tc>
          <w:tcPr>
            <w:tcW w:w="2843"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 June 30, (1)</w:t>
            </w:r>
          </w:p>
        </w:tc>
        <w:tc>
          <w:tcPr>
            <w:tcW w:w="187" w:type="dxa"/>
            <w:tcBorders/>
            <w:shd w:fill="auto" w:val="clear"/>
            <w:vAlign w:val="bottom"/>
          </w:tcPr>
          <w:p>
            <w:pPr>
              <w:pStyle w:val="TableContents"/>
              <w:spacing w:lineRule="atLeast" w:line="160" w:before="0" w:after="0"/>
              <w:ind w:left="0" w:right="0" w:hanging="0"/>
              <w:rPr/>
            </w:pPr>
            <w:r>
              <w:rPr/>
              <w:t> </w:t>
            </w:r>
          </w:p>
        </w:tc>
        <w:tc>
          <w:tcPr>
            <w:tcW w:w="2769"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 Ended June 30, (1)</w:t>
            </w:r>
          </w:p>
        </w:tc>
        <w:tc>
          <w:tcPr>
            <w:tcW w:w="273" w:type="dxa"/>
            <w:tcBorders/>
            <w:shd w:fill="auto" w:val="clear"/>
            <w:vAlign w:val="bottom"/>
          </w:tcPr>
          <w:p>
            <w:pPr>
              <w:pStyle w:val="TableContents"/>
              <w:spacing w:lineRule="atLeast" w:line="160" w:before="0" w:after="0"/>
              <w:ind w:left="0" w:right="0" w:hanging="0"/>
              <w:rPr/>
            </w:pPr>
            <w:r>
              <w:rPr/>
              <w:t> </w:t>
            </w:r>
          </w:p>
        </w:tc>
      </w:tr>
      <w:tr>
        <w:trPr/>
        <w:tc>
          <w:tcPr>
            <w:tcW w:w="3946" w:type="dxa"/>
            <w:tcBorders/>
            <w:shd w:fill="auto" w:val="clear"/>
            <w:vAlign w:val="bottom"/>
          </w:tcPr>
          <w:p>
            <w:pPr>
              <w:pStyle w:val="TableContents"/>
              <w:spacing w:lineRule="atLeast" w:line="160" w:before="0" w:after="0"/>
              <w:ind w:left="0" w:right="0" w:hanging="0"/>
              <w:rPr/>
            </w:pPr>
            <w:r>
              <w:rPr/>
              <w:t> </w:t>
            </w:r>
          </w:p>
        </w:tc>
        <w:tc>
          <w:tcPr>
            <w:tcW w:w="187" w:type="dxa"/>
            <w:tcBorders/>
            <w:shd w:fill="auto" w:val="clear"/>
            <w:vAlign w:val="bottom"/>
          </w:tcPr>
          <w:p>
            <w:pPr>
              <w:pStyle w:val="TableContents"/>
              <w:spacing w:lineRule="atLeast" w:line="160" w:before="0" w:after="0"/>
              <w:ind w:left="0" w:right="0" w:hanging="0"/>
              <w:rPr/>
            </w:pPr>
            <w:r>
              <w:rPr/>
              <w:t> </w:t>
            </w:r>
          </w:p>
        </w:tc>
        <w:tc>
          <w:tcPr>
            <w:tcW w:w="1322"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198" w:type="dxa"/>
            <w:tcBorders/>
            <w:shd w:fill="auto" w:val="clear"/>
            <w:vAlign w:val="bottom"/>
          </w:tcPr>
          <w:p>
            <w:pPr>
              <w:pStyle w:val="TableContents"/>
              <w:spacing w:lineRule="atLeast" w:line="160" w:before="0" w:after="0"/>
              <w:ind w:left="0" w:right="0" w:hanging="0"/>
              <w:rPr/>
            </w:pPr>
            <w:r>
              <w:rPr/>
              <w:t> </w:t>
            </w:r>
          </w:p>
        </w:tc>
        <w:tc>
          <w:tcPr>
            <w:tcW w:w="1323"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187" w:type="dxa"/>
            <w:tcBorders/>
            <w:shd w:fill="auto" w:val="clear"/>
            <w:vAlign w:val="bottom"/>
          </w:tcPr>
          <w:p>
            <w:pPr>
              <w:pStyle w:val="TableContents"/>
              <w:spacing w:lineRule="atLeast" w:line="160" w:before="0" w:after="0"/>
              <w:ind w:left="0" w:right="0" w:hanging="0"/>
              <w:rPr/>
            </w:pPr>
            <w:r>
              <w:rPr/>
              <w:t> </w:t>
            </w:r>
          </w:p>
        </w:tc>
        <w:tc>
          <w:tcPr>
            <w:tcW w:w="1289"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191" w:type="dxa"/>
            <w:tcBorders/>
            <w:shd w:fill="auto" w:val="clear"/>
            <w:vAlign w:val="bottom"/>
          </w:tcPr>
          <w:p>
            <w:pPr>
              <w:pStyle w:val="TableContents"/>
              <w:spacing w:lineRule="atLeast" w:line="160" w:before="0" w:after="0"/>
              <w:ind w:left="0" w:right="0" w:hanging="0"/>
              <w:rPr/>
            </w:pPr>
            <w:r>
              <w:rPr/>
              <w:t> </w:t>
            </w:r>
          </w:p>
        </w:tc>
        <w:tc>
          <w:tcPr>
            <w:tcW w:w="1289"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73" w:type="dxa"/>
            <w:tcBorders/>
            <w:shd w:fill="auto" w:val="clear"/>
            <w:vAlign w:val="bottom"/>
          </w:tcPr>
          <w:p>
            <w:pPr>
              <w:pStyle w:val="TableContents"/>
              <w:spacing w:lineRule="atLeast" w:line="160" w:before="0" w:after="0"/>
              <w:ind w:left="0" w:right="0" w:hanging="0"/>
              <w:rPr/>
            </w:pPr>
            <w:r>
              <w:rPr/>
              <w:t> </w:t>
            </w:r>
          </w:p>
        </w:tc>
      </w:tr>
      <w:tr>
        <w:trPr/>
        <w:tc>
          <w:tcPr>
            <w:tcW w:w="3946" w:type="dxa"/>
            <w:tcBorders/>
            <w:shd w:fill="auto" w:val="clear"/>
            <w:vAlign w:val="bottom"/>
          </w:tcPr>
          <w:p>
            <w:pPr>
              <w:pStyle w:val="TableContents"/>
              <w:spacing w:lineRule="atLeast" w:line="160" w:before="0" w:after="0"/>
              <w:ind w:left="0" w:right="0" w:hanging="0"/>
              <w:rPr/>
            </w:pPr>
            <w:r>
              <w:rPr/>
              <w:t> </w:t>
            </w:r>
          </w:p>
        </w:tc>
        <w:tc>
          <w:tcPr>
            <w:tcW w:w="187" w:type="dxa"/>
            <w:tcBorders/>
            <w:shd w:fill="auto" w:val="clear"/>
            <w:vAlign w:val="bottom"/>
          </w:tcPr>
          <w:p>
            <w:pPr>
              <w:pStyle w:val="TableContents"/>
              <w:spacing w:lineRule="atLeast" w:line="160" w:before="0" w:after="0"/>
              <w:ind w:left="0" w:right="0" w:hanging="0"/>
              <w:rPr/>
            </w:pPr>
            <w:r>
              <w:rPr/>
              <w:t> </w:t>
            </w:r>
          </w:p>
        </w:tc>
        <w:tc>
          <w:tcPr>
            <w:tcW w:w="5799" w:type="dxa"/>
            <w:gridSpan w:val="11"/>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(unaudited)</w:t>
            </w:r>
          </w:p>
        </w:tc>
        <w:tc>
          <w:tcPr>
            <w:tcW w:w="273" w:type="dxa"/>
            <w:tcBorders/>
            <w:shd w:fill="auto" w:val="clear"/>
            <w:vAlign w:val="bottom"/>
          </w:tcPr>
          <w:p>
            <w:pPr>
              <w:pStyle w:val="TableContents"/>
              <w:spacing w:lineRule="atLeast" w:line="160" w:before="0" w:after="0"/>
              <w:ind w:left="0" w:right="0" w:hanging="0"/>
              <w:rPr/>
            </w:pPr>
            <w:r>
              <w:rPr/>
              <w:t> </w:t>
            </w:r>
          </w:p>
        </w:tc>
      </w:tr>
      <w:tr>
        <w:trPr/>
        <w:tc>
          <w:tcPr>
            <w:tcW w:w="394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187"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5,176.3</w:t>
            </w:r>
          </w:p>
        </w:tc>
        <w:tc>
          <w:tcPr>
            <w:tcW w:w="198"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7,444.6</w:t>
            </w:r>
          </w:p>
        </w:tc>
        <w:tc>
          <w:tcPr>
            <w:tcW w:w="187"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14,095.6</w:t>
            </w:r>
          </w:p>
        </w:tc>
        <w:tc>
          <w:tcPr>
            <w:tcW w:w="19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14,367.0</w:t>
            </w:r>
          </w:p>
        </w:tc>
        <w:tc>
          <w:tcPr>
            <w:tcW w:w="273" w:type="dxa"/>
            <w:tcBorders/>
            <w:shd w:fill="CCEEFF" w:val="clear"/>
            <w:vAlign w:val="bottom"/>
          </w:tcPr>
          <w:p>
            <w:pPr>
              <w:pStyle w:val="TableContents"/>
              <w:spacing w:before="0" w:after="0"/>
              <w:ind w:left="0" w:right="0" w:hanging="0"/>
              <w:rPr/>
            </w:pPr>
            <w:r>
              <w:rPr/>
              <w:t> </w:t>
            </w:r>
          </w:p>
        </w:tc>
      </w:tr>
      <w:tr>
        <w:trPr/>
        <w:tc>
          <w:tcPr>
            <w:tcW w:w="394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Income before cumulative effect of change in accounting principle</w:t>
            </w:r>
          </w:p>
        </w:tc>
        <w:tc>
          <w:tcPr>
            <w:tcW w:w="187"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88.8</w:t>
            </w:r>
          </w:p>
        </w:tc>
        <w:tc>
          <w:tcPr>
            <w:tcW w:w="198"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70.8</w:t>
            </w:r>
          </w:p>
        </w:tc>
        <w:tc>
          <w:tcPr>
            <w:tcW w:w="187"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154.4</w:t>
            </w:r>
          </w:p>
        </w:tc>
        <w:tc>
          <w:tcPr>
            <w:tcW w:w="191"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112.1</w:t>
            </w:r>
          </w:p>
        </w:tc>
        <w:tc>
          <w:tcPr>
            <w:tcW w:w="273" w:type="dxa"/>
            <w:tcBorders/>
            <w:shd w:fill="auto" w:val="clear"/>
            <w:vAlign w:val="bottom"/>
          </w:tcPr>
          <w:p>
            <w:pPr>
              <w:pStyle w:val="TableContents"/>
              <w:spacing w:before="0" w:after="0"/>
              <w:ind w:left="0" w:right="0" w:hanging="0"/>
              <w:rPr/>
            </w:pPr>
            <w:r>
              <w:rPr/>
              <w:t> </w:t>
            </w:r>
          </w:p>
        </w:tc>
      </w:tr>
      <w:tr>
        <w:trPr/>
        <w:tc>
          <w:tcPr>
            <w:tcW w:w="394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87"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88.8</w:t>
            </w:r>
          </w:p>
        </w:tc>
        <w:tc>
          <w:tcPr>
            <w:tcW w:w="198"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70.8</w:t>
            </w:r>
          </w:p>
        </w:tc>
        <w:tc>
          <w:tcPr>
            <w:tcW w:w="187"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160.7</w:t>
            </w:r>
          </w:p>
        </w:tc>
        <w:tc>
          <w:tcPr>
            <w:tcW w:w="19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112.1</w:t>
            </w:r>
          </w:p>
        </w:tc>
        <w:tc>
          <w:tcPr>
            <w:tcW w:w="273" w:type="dxa"/>
            <w:tcBorders/>
            <w:shd w:fill="CCEEFF" w:val="clear"/>
            <w:vAlign w:val="bottom"/>
          </w:tcPr>
          <w:p>
            <w:pPr>
              <w:pStyle w:val="TableContents"/>
              <w:spacing w:before="0" w:after="0"/>
              <w:ind w:left="0" w:right="0" w:hanging="0"/>
              <w:rPr/>
            </w:pPr>
            <w:r>
              <w:rPr/>
              <w:t> </w:t>
            </w:r>
          </w:p>
        </w:tc>
      </w:tr>
      <w:tr>
        <w:trPr/>
        <w:tc>
          <w:tcPr>
            <w:tcW w:w="394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Basic income before cumulative effect of change in accounting principle per limited partner unit</w:t>
            </w:r>
          </w:p>
        </w:tc>
        <w:tc>
          <w:tcPr>
            <w:tcW w:w="187"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0.93</w:t>
            </w:r>
          </w:p>
        </w:tc>
        <w:tc>
          <w:tcPr>
            <w:tcW w:w="198"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0.88</w:t>
            </w:r>
          </w:p>
        </w:tc>
        <w:tc>
          <w:tcPr>
            <w:tcW w:w="187"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1.69</w:t>
            </w:r>
          </w:p>
        </w:tc>
        <w:tc>
          <w:tcPr>
            <w:tcW w:w="191"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1.52</w:t>
            </w:r>
          </w:p>
        </w:tc>
        <w:tc>
          <w:tcPr>
            <w:tcW w:w="273" w:type="dxa"/>
            <w:tcBorders/>
            <w:shd w:fill="auto" w:val="clear"/>
            <w:vAlign w:val="bottom"/>
          </w:tcPr>
          <w:p>
            <w:pPr>
              <w:pStyle w:val="TableContents"/>
              <w:spacing w:before="0" w:after="0"/>
              <w:ind w:left="0" w:right="0" w:hanging="0"/>
              <w:rPr/>
            </w:pPr>
            <w:r>
              <w:rPr/>
              <w:t> </w:t>
            </w:r>
          </w:p>
        </w:tc>
      </w:tr>
      <w:tr>
        <w:trPr/>
        <w:tc>
          <w:tcPr>
            <w:tcW w:w="394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income before cumulative effect of change in accounting principle per limited partner unit</w:t>
            </w:r>
          </w:p>
        </w:tc>
        <w:tc>
          <w:tcPr>
            <w:tcW w:w="187"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0.92</w:t>
            </w:r>
          </w:p>
        </w:tc>
        <w:tc>
          <w:tcPr>
            <w:tcW w:w="198"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0.86</w:t>
            </w:r>
          </w:p>
        </w:tc>
        <w:tc>
          <w:tcPr>
            <w:tcW w:w="187"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1.67</w:t>
            </w:r>
          </w:p>
        </w:tc>
        <w:tc>
          <w:tcPr>
            <w:tcW w:w="19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1.50</w:t>
            </w:r>
          </w:p>
        </w:tc>
        <w:tc>
          <w:tcPr>
            <w:tcW w:w="273" w:type="dxa"/>
            <w:tcBorders/>
            <w:shd w:fill="CCEEFF" w:val="clear"/>
            <w:vAlign w:val="bottom"/>
          </w:tcPr>
          <w:p>
            <w:pPr>
              <w:pStyle w:val="TableContents"/>
              <w:spacing w:before="0" w:after="0"/>
              <w:ind w:left="0" w:right="0" w:hanging="0"/>
              <w:rPr/>
            </w:pPr>
            <w:r>
              <w:rPr/>
              <w:t> </w:t>
            </w:r>
          </w:p>
        </w:tc>
      </w:tr>
      <w:tr>
        <w:trPr/>
        <w:tc>
          <w:tcPr>
            <w:tcW w:w="394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187"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0.93</w:t>
            </w:r>
          </w:p>
        </w:tc>
        <w:tc>
          <w:tcPr>
            <w:tcW w:w="198"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0.88</w:t>
            </w:r>
          </w:p>
        </w:tc>
        <w:tc>
          <w:tcPr>
            <w:tcW w:w="187"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1.77</w:t>
            </w:r>
          </w:p>
        </w:tc>
        <w:tc>
          <w:tcPr>
            <w:tcW w:w="191"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1.52</w:t>
            </w:r>
          </w:p>
        </w:tc>
        <w:tc>
          <w:tcPr>
            <w:tcW w:w="273" w:type="dxa"/>
            <w:tcBorders/>
            <w:shd w:fill="auto" w:val="clear"/>
            <w:vAlign w:val="bottom"/>
          </w:tcPr>
          <w:p>
            <w:pPr>
              <w:pStyle w:val="TableContents"/>
              <w:spacing w:before="0" w:after="0"/>
              <w:ind w:left="0" w:right="0" w:hanging="0"/>
              <w:rPr/>
            </w:pPr>
            <w:r>
              <w:rPr/>
              <w:t> </w:t>
            </w:r>
          </w:p>
        </w:tc>
      </w:tr>
      <w:tr>
        <w:trPr/>
        <w:tc>
          <w:tcPr>
            <w:tcW w:w="394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187"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0.92</w:t>
            </w:r>
          </w:p>
        </w:tc>
        <w:tc>
          <w:tcPr>
            <w:tcW w:w="198"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0.86</w:t>
            </w:r>
          </w:p>
        </w:tc>
        <w:tc>
          <w:tcPr>
            <w:tcW w:w="187"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1.75</w:t>
            </w:r>
          </w:p>
        </w:tc>
        <w:tc>
          <w:tcPr>
            <w:tcW w:w="19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1.50</w:t>
            </w:r>
          </w:p>
        </w:tc>
        <w:tc>
          <w:tcPr>
            <w:tcW w:w="273" w:type="dxa"/>
            <w:tcBorders/>
            <w:shd w:fill="CCEEFF"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0"/>
        <w:ind w:left="0" w:right="0" w:hanging="0"/>
        <w:rPr>
          <w:color w:val="000000"/>
        </w:rPr>
      </w:pPr>
      <w:r>
        <w:rPr>
          <w:color w:val="000000"/>
        </w:rPr>
        <w:t> </w:t>
      </w:r>
    </w:p>
    <w:p>
      <w:pPr>
        <w:pStyle w:val="TextBody"/>
        <w:spacing w:before="0" w:after="0"/>
        <w:ind w:left="0" w:right="0" w:hanging="0"/>
        <w:rPr>
          <w:rFonts w:ascii="Times New Roman" w:hAnsi="Times New Roman"/>
          <w:color w:val="000000"/>
          <w:sz w:val="15"/>
        </w:rPr>
      </w:pPr>
      <w:r>
        <w:rPr>
          <w:rFonts w:ascii="Times New Roman" w:hAnsi="Times New Roman"/>
          <w:color w:val="000000"/>
          <w:sz w:val="15"/>
        </w:rPr>
        <w:t>(1)           The pro forma financial information was prepared based on historical financial information, where available, and in other cases, internally  prepared estimates based on reasonable assumptions concerning historical data.</w:t>
      </w:r>
    </w:p>
    <w:p>
      <w:pPr>
        <w:pStyle w:val="TextBody"/>
        <w:spacing w:before="0" w:after="0"/>
        <w:ind w:left="0" w:right="0" w:hanging="0"/>
        <w:rPr/>
      </w:pPr>
      <w:r>
        <w:rPr/>
        <w:t> </w:t>
      </w:r>
    </w:p>
    <w:p>
      <w:pPr>
        <w:pStyle w:val="TextBody"/>
        <w:spacing w:before="0" w:after="240"/>
        <w:ind w:left="0" w:right="0" w:firstLine="400"/>
        <w:rPr>
          <w:rFonts w:ascii="Times New Roman" w:hAnsi="Times New Roman"/>
          <w:sz w:val="17"/>
        </w:rPr>
      </w:pPr>
      <w:r>
        <w:rPr>
          <w:rFonts w:ascii="Times New Roman" w:hAnsi="Times New Roman"/>
          <w:sz w:val="17"/>
        </w:rPr>
        <w:t>In June 2006, we announced that we had entered into a definitive agreement to acquire Pacific Energy Partners, L.P. (Pacific Energy). The total value of the transaction is approximately $2.4 billion, including the assumption of debt and estimated transaction costs, and is expected to close near the end of 2006.  Under the terms of the agreements, we will acquire from LB Pacific, LP and its affiliates the general partner interest and incentive distribution rights of Pacific Energy as well as 2.6 million common units and 7.8 million subordinated units for a total of $700 million in cash.  In addition, we will acquire the balance of Pacific Energys equity through a unit-for-unit merger in which each remaining unitholder of Pacific Energy will receive 0.77 newly issued PAA common units for each Pacific Energy common unit. The completion of the transaction remains subject to the approval of the unitholders of PAA and Pacific Energy as well as approvals of certain state utility commissions and the Investment Review Division of Industry Canada.</w:t>
      </w:r>
    </w:p>
    <w:p>
      <w:pPr>
        <w:pStyle w:val="TextBody"/>
        <w:spacing w:before="0" w:after="240"/>
        <w:ind w:left="0" w:right="0" w:firstLine="400"/>
        <w:rPr>
          <w:rFonts w:ascii="Times New Roman" w:hAnsi="Times New Roman"/>
          <w:sz w:val="17"/>
        </w:rPr>
      </w:pPr>
      <w:r>
        <w:rPr>
          <w:rFonts w:ascii="Times New Roman" w:hAnsi="Times New Roman"/>
          <w:sz w:val="17"/>
        </w:rPr>
        <w:t>In July 2006, we completed the acquisition of a 64.35% interest in the Clovelly-to-Meraux (CAM) Pipeline system for a total purchase price of approximately $54 million and we announced that we had entered into a definitive agreement to acquire three refined products pipeline systems from Chevron Pipe Line Company for approximately $65 million. The transaction is expected to close in August 2006, subject to customary closing conditions.</w:t>
      </w:r>
    </w:p>
    <w:p>
      <w:pPr>
        <w:pStyle w:val="TextBody"/>
        <w:spacing w:before="480" w:after="480"/>
        <w:ind w:left="0" w:right="0" w:hanging="0"/>
        <w:rPr>
          <w:rFonts w:ascii="Times New Roman" w:hAnsi="Times New Roman"/>
          <w:sz w:val="17"/>
        </w:rPr>
      </w:pPr>
      <w:r>
        <w:rPr>
          <w:rFonts w:ascii="Times New Roman" w:hAnsi="Times New Roman"/>
          <w:sz w:val="17"/>
        </w:rPr>
        <w:t>9</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Note 4Inventory and Linefill</w:t>
      </w:r>
    </w:p>
    <w:p>
      <w:pPr>
        <w:pStyle w:val="TextBody"/>
        <w:spacing w:before="0" w:after="240"/>
        <w:ind w:left="0" w:right="0" w:firstLine="400"/>
        <w:rPr>
          <w:rFonts w:ascii="Times New Roman" w:hAnsi="Times New Roman"/>
          <w:sz w:val="17"/>
        </w:rPr>
      </w:pPr>
      <w:r>
        <w:rPr>
          <w:rFonts w:ascii="Times New Roman" w:hAnsi="Times New Roman"/>
          <w:sz w:val="17"/>
        </w:rPr>
        <w:t>Inventory primarily consists of crude oil and LPG in pipelines, storage tanks and rail cars that is valued at the lower of cost or market, with cost determined using an average cost method. Linefill and minimum working inventory requirements are recorded at historical cost and consist of crude oil and LPG used to fill our pipelines such that when an incremental barrel enters a pipeline it forces a barrel out at another location, as well as the minimum amount of crude oil necessary to operate our storage and terminalling facilities.</w:t>
      </w:r>
    </w:p>
    <w:p>
      <w:pPr>
        <w:pStyle w:val="TextBody"/>
        <w:spacing w:before="0" w:after="240"/>
        <w:ind w:left="0" w:right="0" w:firstLine="400"/>
        <w:rPr>
          <w:rFonts w:ascii="Times New Roman" w:hAnsi="Times New Roman"/>
          <w:sz w:val="17"/>
        </w:rPr>
      </w:pPr>
      <w:r>
        <w:rPr>
          <w:rFonts w:ascii="Times New Roman" w:hAnsi="Times New Roman"/>
          <w:sz w:val="17"/>
        </w:rPr>
        <w:t>Linefill and minimum working inventory requirements in third party assets are included in Inventory (a current asset) in determining the average cost of operating inventory and applying the lower of cost or market analysis. At the end of each period, we reclassify the linefill in third party assets not expected to be liquidated within the succeeding twelve months out of Inventory, at average cost, and into Inventory in Third Party Assets (a long-term asset), which is reflected as a separate line item within other assets on the consolidated balance sheet.</w:t>
      </w:r>
    </w:p>
    <w:p>
      <w:pPr>
        <w:pStyle w:val="TextBody"/>
        <w:spacing w:before="0" w:after="240"/>
        <w:ind w:left="0" w:right="0" w:firstLine="400"/>
        <w:rPr>
          <w:rFonts w:ascii="Times New Roman" w:hAnsi="Times New Roman"/>
          <w:sz w:val="17"/>
        </w:rPr>
      </w:pPr>
      <w:r>
        <w:rPr>
          <w:rFonts w:ascii="Times New Roman" w:hAnsi="Times New Roman"/>
          <w:sz w:val="17"/>
        </w:rPr>
        <w:t>At June 30, 2006 and December 31, 2005, inventory and linefill consisted of :</w:t>
      </w:r>
    </w:p>
    <w:tbl>
      <w:tblPr>
        <w:tblW w:w="5000" w:type="pct"/>
        <w:jc w:val="left"/>
        <w:tblInd w:w="0" w:type="dxa"/>
        <w:tblCellMar>
          <w:top w:w="0" w:type="dxa"/>
          <w:left w:w="0" w:type="dxa"/>
          <w:bottom w:w="0" w:type="dxa"/>
          <w:right w:w="0" w:type="dxa"/>
        </w:tblCellMar>
      </w:tblPr>
      <w:tblGrid>
        <w:gridCol w:w="4112"/>
        <w:gridCol w:w="198"/>
        <w:gridCol w:w="742"/>
        <w:gridCol w:w="198"/>
        <w:gridCol w:w="111"/>
        <w:gridCol w:w="654"/>
        <w:gridCol w:w="198"/>
        <w:gridCol w:w="111"/>
        <w:gridCol w:w="634"/>
        <w:gridCol w:w="198"/>
        <w:gridCol w:w="742"/>
        <w:gridCol w:w="198"/>
        <w:gridCol w:w="110"/>
        <w:gridCol w:w="654"/>
        <w:gridCol w:w="198"/>
        <w:gridCol w:w="111"/>
        <w:gridCol w:w="634"/>
        <w:gridCol w:w="402"/>
      </w:tblGrid>
      <w:tr>
        <w:trPr/>
        <w:tc>
          <w:tcPr>
            <w:tcW w:w="4112" w:type="dxa"/>
            <w:tcBorders/>
            <w:shd w:fill="auto" w:val="clear"/>
            <w:vAlign w:val="bottom"/>
          </w:tcPr>
          <w:p>
            <w:pPr>
              <w:pStyle w:val="TableContents"/>
              <w:spacing w:lineRule="atLeast" w:line="160" w:before="0" w:after="0"/>
              <w:ind w:left="0" w:right="0" w:hanging="0"/>
              <w:rPr/>
            </w:pPr>
            <w:r>
              <w:rPr/>
              <w:t> </w:t>
            </w:r>
          </w:p>
        </w:tc>
        <w:tc>
          <w:tcPr>
            <w:tcW w:w="198" w:type="dxa"/>
            <w:tcBorders/>
            <w:shd w:fill="auto" w:val="clear"/>
            <w:vAlign w:val="bottom"/>
          </w:tcPr>
          <w:p>
            <w:pPr>
              <w:pStyle w:val="TableContents"/>
              <w:spacing w:lineRule="atLeast" w:line="160" w:before="0" w:after="0"/>
              <w:ind w:left="0" w:right="0" w:hanging="0"/>
              <w:rPr/>
            </w:pPr>
            <w:r>
              <w:rPr/>
              <w:t> </w:t>
            </w:r>
          </w:p>
        </w:tc>
        <w:tc>
          <w:tcPr>
            <w:tcW w:w="2648" w:type="dxa"/>
            <w:gridSpan w:val="7"/>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 2006</w:t>
            </w:r>
          </w:p>
        </w:tc>
        <w:tc>
          <w:tcPr>
            <w:tcW w:w="198" w:type="dxa"/>
            <w:tcBorders/>
            <w:shd w:fill="auto" w:val="clear"/>
            <w:vAlign w:val="bottom"/>
          </w:tcPr>
          <w:p>
            <w:pPr>
              <w:pStyle w:val="TableContents"/>
              <w:spacing w:lineRule="atLeast" w:line="160" w:before="0" w:after="0"/>
              <w:ind w:left="0" w:right="0" w:hanging="0"/>
              <w:rPr/>
            </w:pPr>
            <w:r>
              <w:rPr/>
              <w:t> </w:t>
            </w:r>
          </w:p>
        </w:tc>
        <w:tc>
          <w:tcPr>
            <w:tcW w:w="2647" w:type="dxa"/>
            <w:gridSpan w:val="7"/>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 2005</w:t>
            </w:r>
          </w:p>
        </w:tc>
        <w:tc>
          <w:tcPr>
            <w:tcW w:w="402" w:type="dxa"/>
            <w:tcBorders/>
            <w:shd w:fill="auto" w:val="clear"/>
            <w:vAlign w:val="bottom"/>
          </w:tcPr>
          <w:p>
            <w:pPr>
              <w:pStyle w:val="TableContents"/>
              <w:spacing w:lineRule="atLeast" w:line="160" w:before="0" w:after="0"/>
              <w:ind w:left="0" w:right="0" w:hanging="0"/>
              <w:rPr/>
            </w:pPr>
            <w:r>
              <w:rPr/>
              <w:t> </w:t>
            </w:r>
          </w:p>
        </w:tc>
      </w:tr>
      <w:tr>
        <w:trPr/>
        <w:tc>
          <w:tcPr>
            <w:tcW w:w="4112" w:type="dxa"/>
            <w:tcBorders/>
            <w:shd w:fill="auto" w:val="clear"/>
            <w:vAlign w:val="bottom"/>
          </w:tcPr>
          <w:p>
            <w:pPr>
              <w:pStyle w:val="TableContents"/>
              <w:spacing w:lineRule="atLeast" w:line="160" w:before="0" w:after="0"/>
              <w:ind w:left="0" w:right="0" w:hanging="0"/>
              <w:rPr/>
            </w:pPr>
            <w:r>
              <w:rPr/>
              <w:t> </w:t>
            </w:r>
          </w:p>
        </w:tc>
        <w:tc>
          <w:tcPr>
            <w:tcW w:w="198" w:type="dxa"/>
            <w:tcBorders/>
            <w:shd w:fill="auto" w:val="clear"/>
            <w:vAlign w:val="bottom"/>
          </w:tcPr>
          <w:p>
            <w:pPr>
              <w:pStyle w:val="TableContents"/>
              <w:spacing w:lineRule="atLeast" w:line="160" w:before="0" w:after="0"/>
              <w:ind w:left="0" w:right="0" w:hanging="0"/>
              <w:rPr/>
            </w:pPr>
            <w:r>
              <w:rPr/>
              <w:t> </w:t>
            </w:r>
          </w:p>
        </w:tc>
        <w:tc>
          <w:tcPr>
            <w:tcW w:w="742" w:type="dxa"/>
            <w:tcBorders/>
            <w:shd w:fill="auto" w:val="clear"/>
            <w:vAlign w:val="bottom"/>
          </w:tcPr>
          <w:p>
            <w:pPr>
              <w:pStyle w:val="TableContents"/>
              <w:spacing w:lineRule="atLeast" w:line="160" w:before="0" w:after="0"/>
              <w:ind w:left="0" w:right="0" w:hanging="0"/>
              <w:rPr/>
            </w:pPr>
            <w:r>
              <w:rPr/>
              <w:t> </w:t>
            </w:r>
          </w:p>
        </w:tc>
        <w:tc>
          <w:tcPr>
            <w:tcW w:w="198" w:type="dxa"/>
            <w:tcBorders/>
            <w:shd w:fill="auto" w:val="clear"/>
            <w:vAlign w:val="bottom"/>
          </w:tcPr>
          <w:p>
            <w:pPr>
              <w:pStyle w:val="TableContents"/>
              <w:spacing w:lineRule="atLeast" w:line="160" w:before="0" w:after="0"/>
              <w:ind w:left="0" w:right="0" w:hanging="0"/>
              <w:rPr/>
            </w:pPr>
            <w:r>
              <w:rPr/>
              <w:t> </w:t>
            </w:r>
          </w:p>
        </w:tc>
        <w:tc>
          <w:tcPr>
            <w:tcW w:w="765" w:type="dxa"/>
            <w:gridSpan w:val="2"/>
            <w:tcBorders/>
            <w:shd w:fill="auto" w:val="clear"/>
            <w:vAlign w:val="bottom"/>
          </w:tcPr>
          <w:p>
            <w:pPr>
              <w:pStyle w:val="TableContents"/>
              <w:spacing w:lineRule="atLeast" w:line="160" w:before="0" w:after="0"/>
              <w:ind w:left="0" w:right="0" w:hanging="0"/>
              <w:rPr/>
            </w:pPr>
            <w:r>
              <w:rPr/>
              <w:t> </w:t>
            </w:r>
          </w:p>
        </w:tc>
        <w:tc>
          <w:tcPr>
            <w:tcW w:w="198" w:type="dxa"/>
            <w:tcBorders/>
            <w:shd w:fill="auto" w:val="clear"/>
            <w:vAlign w:val="bottom"/>
          </w:tcPr>
          <w:p>
            <w:pPr>
              <w:pStyle w:val="TableContents"/>
              <w:spacing w:lineRule="atLeast" w:line="160" w:before="0" w:after="0"/>
              <w:ind w:left="0" w:right="0" w:hanging="0"/>
              <w:rPr/>
            </w:pPr>
            <w:r>
              <w:rPr/>
              <w:t> </w:t>
            </w:r>
          </w:p>
        </w:tc>
        <w:tc>
          <w:tcPr>
            <w:tcW w:w="745"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Dollar/</w:t>
            </w:r>
          </w:p>
        </w:tc>
        <w:tc>
          <w:tcPr>
            <w:tcW w:w="198" w:type="dxa"/>
            <w:tcBorders/>
            <w:shd w:fill="auto" w:val="clear"/>
            <w:vAlign w:val="bottom"/>
          </w:tcPr>
          <w:p>
            <w:pPr>
              <w:pStyle w:val="TableContents"/>
              <w:spacing w:lineRule="atLeast" w:line="160" w:before="0" w:after="0"/>
              <w:ind w:left="0" w:right="0" w:hanging="0"/>
              <w:rPr/>
            </w:pPr>
            <w:r>
              <w:rPr/>
              <w:t> </w:t>
            </w:r>
          </w:p>
        </w:tc>
        <w:tc>
          <w:tcPr>
            <w:tcW w:w="742" w:type="dxa"/>
            <w:tcBorders/>
            <w:shd w:fill="auto" w:val="clear"/>
            <w:vAlign w:val="bottom"/>
          </w:tcPr>
          <w:p>
            <w:pPr>
              <w:pStyle w:val="TableContents"/>
              <w:spacing w:lineRule="atLeast" w:line="160" w:before="0" w:after="0"/>
              <w:ind w:left="0" w:right="0" w:hanging="0"/>
              <w:rPr/>
            </w:pPr>
            <w:r>
              <w:rPr/>
              <w:t> </w:t>
            </w:r>
          </w:p>
        </w:tc>
        <w:tc>
          <w:tcPr>
            <w:tcW w:w="198" w:type="dxa"/>
            <w:tcBorders/>
            <w:shd w:fill="auto" w:val="clear"/>
            <w:vAlign w:val="bottom"/>
          </w:tcPr>
          <w:p>
            <w:pPr>
              <w:pStyle w:val="TableContents"/>
              <w:spacing w:lineRule="atLeast" w:line="160" w:before="0" w:after="0"/>
              <w:ind w:left="0" w:right="0" w:hanging="0"/>
              <w:rPr/>
            </w:pPr>
            <w:r>
              <w:rPr/>
              <w:t> </w:t>
            </w:r>
          </w:p>
        </w:tc>
        <w:tc>
          <w:tcPr>
            <w:tcW w:w="764" w:type="dxa"/>
            <w:gridSpan w:val="2"/>
            <w:tcBorders/>
            <w:shd w:fill="auto" w:val="clear"/>
            <w:vAlign w:val="bottom"/>
          </w:tcPr>
          <w:p>
            <w:pPr>
              <w:pStyle w:val="TableContents"/>
              <w:spacing w:lineRule="atLeast" w:line="160" w:before="0" w:after="0"/>
              <w:ind w:left="0" w:right="0" w:hanging="0"/>
              <w:rPr/>
            </w:pPr>
            <w:r>
              <w:rPr/>
              <w:t> </w:t>
            </w:r>
          </w:p>
        </w:tc>
        <w:tc>
          <w:tcPr>
            <w:tcW w:w="198" w:type="dxa"/>
            <w:tcBorders/>
            <w:shd w:fill="auto" w:val="clear"/>
            <w:vAlign w:val="bottom"/>
          </w:tcPr>
          <w:p>
            <w:pPr>
              <w:pStyle w:val="TableContents"/>
              <w:spacing w:lineRule="atLeast" w:line="160" w:before="0" w:after="0"/>
              <w:ind w:left="0" w:right="0" w:hanging="0"/>
              <w:rPr/>
            </w:pPr>
            <w:r>
              <w:rPr/>
              <w:t> </w:t>
            </w:r>
          </w:p>
        </w:tc>
        <w:tc>
          <w:tcPr>
            <w:tcW w:w="745"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Dollar/</w:t>
            </w:r>
          </w:p>
        </w:tc>
        <w:tc>
          <w:tcPr>
            <w:tcW w:w="402" w:type="dxa"/>
            <w:tcBorders/>
            <w:shd w:fill="auto" w:val="clear"/>
            <w:vAlign w:val="bottom"/>
          </w:tcPr>
          <w:p>
            <w:pPr>
              <w:pStyle w:val="TableContents"/>
              <w:spacing w:lineRule="atLeast" w:line="160" w:before="0" w:after="0"/>
              <w:ind w:left="0" w:right="0" w:hanging="0"/>
              <w:rPr/>
            </w:pPr>
            <w:r>
              <w:rPr/>
              <w:t> </w:t>
            </w:r>
          </w:p>
        </w:tc>
      </w:tr>
      <w:tr>
        <w:trPr/>
        <w:tc>
          <w:tcPr>
            <w:tcW w:w="4112" w:type="dxa"/>
            <w:tcBorders/>
            <w:shd w:fill="auto" w:val="clear"/>
            <w:vAlign w:val="bottom"/>
          </w:tcPr>
          <w:p>
            <w:pPr>
              <w:pStyle w:val="TableContents"/>
              <w:spacing w:lineRule="atLeast" w:line="160" w:before="0" w:after="0"/>
              <w:ind w:left="0" w:right="0" w:hanging="0"/>
              <w:rPr/>
            </w:pPr>
            <w:r>
              <w:rPr/>
              <w:t> </w:t>
            </w:r>
          </w:p>
        </w:tc>
        <w:tc>
          <w:tcPr>
            <w:tcW w:w="198" w:type="dxa"/>
            <w:tcBorders/>
            <w:shd w:fill="auto" w:val="clear"/>
            <w:vAlign w:val="bottom"/>
          </w:tcPr>
          <w:p>
            <w:pPr>
              <w:pStyle w:val="TableContents"/>
              <w:spacing w:lineRule="atLeast" w:line="160" w:before="0" w:after="0"/>
              <w:ind w:left="0" w:right="0" w:hanging="0"/>
              <w:rPr/>
            </w:pPr>
            <w:r>
              <w:rPr/>
              <w:t> </w:t>
            </w:r>
          </w:p>
        </w:tc>
        <w:tc>
          <w:tcPr>
            <w:tcW w:w="742"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Barrels</w:t>
            </w:r>
          </w:p>
        </w:tc>
        <w:tc>
          <w:tcPr>
            <w:tcW w:w="198" w:type="dxa"/>
            <w:tcBorders/>
            <w:shd w:fill="auto" w:val="clear"/>
            <w:vAlign w:val="bottom"/>
          </w:tcPr>
          <w:p>
            <w:pPr>
              <w:pStyle w:val="TableContents"/>
              <w:spacing w:lineRule="atLeast" w:line="160"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Dollars</w:t>
            </w:r>
          </w:p>
        </w:tc>
        <w:tc>
          <w:tcPr>
            <w:tcW w:w="198" w:type="dxa"/>
            <w:tcBorders/>
            <w:shd w:fill="auto" w:val="clear"/>
            <w:vAlign w:val="bottom"/>
          </w:tcPr>
          <w:p>
            <w:pPr>
              <w:pStyle w:val="TableContents"/>
              <w:spacing w:lineRule="atLeast" w:line="160" w:before="0" w:after="0"/>
              <w:ind w:left="0" w:right="0" w:hanging="0"/>
              <w:rPr/>
            </w:pPr>
            <w:r>
              <w:rPr/>
              <w:t> </w:t>
            </w:r>
          </w:p>
        </w:tc>
        <w:tc>
          <w:tcPr>
            <w:tcW w:w="74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barrel</w:t>
            </w:r>
          </w:p>
        </w:tc>
        <w:tc>
          <w:tcPr>
            <w:tcW w:w="198" w:type="dxa"/>
            <w:tcBorders/>
            <w:shd w:fill="auto" w:val="clear"/>
            <w:vAlign w:val="bottom"/>
          </w:tcPr>
          <w:p>
            <w:pPr>
              <w:pStyle w:val="TableContents"/>
              <w:spacing w:lineRule="atLeast" w:line="160" w:before="0" w:after="0"/>
              <w:ind w:left="0" w:right="0" w:hanging="0"/>
              <w:rPr/>
            </w:pPr>
            <w:r>
              <w:rPr/>
              <w:t> </w:t>
            </w:r>
          </w:p>
        </w:tc>
        <w:tc>
          <w:tcPr>
            <w:tcW w:w="742"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Barrels</w:t>
            </w:r>
          </w:p>
        </w:tc>
        <w:tc>
          <w:tcPr>
            <w:tcW w:w="198" w:type="dxa"/>
            <w:tcBorders/>
            <w:shd w:fill="auto" w:val="clear"/>
            <w:vAlign w:val="bottom"/>
          </w:tcPr>
          <w:p>
            <w:pPr>
              <w:pStyle w:val="TableContents"/>
              <w:spacing w:lineRule="atLeast" w:line="160" w:before="0" w:after="0"/>
              <w:ind w:left="0" w:right="0" w:hanging="0"/>
              <w:rPr/>
            </w:pPr>
            <w:r>
              <w:rPr/>
              <w:t> </w:t>
            </w:r>
          </w:p>
        </w:tc>
        <w:tc>
          <w:tcPr>
            <w:tcW w:w="764"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Dollars</w:t>
            </w:r>
          </w:p>
        </w:tc>
        <w:tc>
          <w:tcPr>
            <w:tcW w:w="198" w:type="dxa"/>
            <w:tcBorders/>
            <w:shd w:fill="auto" w:val="clear"/>
            <w:vAlign w:val="bottom"/>
          </w:tcPr>
          <w:p>
            <w:pPr>
              <w:pStyle w:val="TableContents"/>
              <w:spacing w:lineRule="atLeast" w:line="160" w:before="0" w:after="0"/>
              <w:ind w:left="0" w:right="0" w:hanging="0"/>
              <w:rPr/>
            </w:pPr>
            <w:r>
              <w:rPr/>
              <w:t> </w:t>
            </w:r>
          </w:p>
        </w:tc>
        <w:tc>
          <w:tcPr>
            <w:tcW w:w="74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barrel</w:t>
            </w:r>
          </w:p>
        </w:tc>
        <w:tc>
          <w:tcPr>
            <w:tcW w:w="402" w:type="dxa"/>
            <w:tcBorders/>
            <w:shd w:fill="auto" w:val="clear"/>
            <w:vAlign w:val="bottom"/>
          </w:tcPr>
          <w:p>
            <w:pPr>
              <w:pStyle w:val="TableContents"/>
              <w:spacing w:lineRule="atLeast" w:line="160" w:before="0" w:after="0"/>
              <w:ind w:left="0" w:right="0" w:hanging="0"/>
              <w:rPr/>
            </w:pPr>
            <w:r>
              <w:rPr/>
              <w:t> </w:t>
            </w:r>
          </w:p>
        </w:tc>
      </w:tr>
      <w:tr>
        <w:trPr/>
        <w:tc>
          <w:tcPr>
            <w:tcW w:w="4112" w:type="dxa"/>
            <w:tcBorders/>
            <w:shd w:fill="auto" w:val="clear"/>
            <w:vAlign w:val="bottom"/>
          </w:tcPr>
          <w:p>
            <w:pPr>
              <w:pStyle w:val="TableContents"/>
              <w:spacing w:lineRule="atLeast" w:line="160" w:before="0" w:after="0"/>
              <w:ind w:left="0" w:right="0" w:hanging="0"/>
              <w:rPr/>
            </w:pPr>
            <w:r>
              <w:rPr/>
              <w:t> </w:t>
            </w:r>
          </w:p>
        </w:tc>
        <w:tc>
          <w:tcPr>
            <w:tcW w:w="198" w:type="dxa"/>
            <w:tcBorders/>
            <w:shd w:fill="auto" w:val="clear"/>
            <w:vAlign w:val="bottom"/>
          </w:tcPr>
          <w:p>
            <w:pPr>
              <w:pStyle w:val="TableContents"/>
              <w:spacing w:lineRule="atLeast" w:line="160" w:before="0" w:after="0"/>
              <w:ind w:left="0" w:right="0" w:hanging="0"/>
              <w:rPr/>
            </w:pPr>
            <w:r>
              <w:rPr/>
              <w:t> </w:t>
            </w:r>
          </w:p>
        </w:tc>
        <w:tc>
          <w:tcPr>
            <w:tcW w:w="5493" w:type="dxa"/>
            <w:gridSpan w:val="1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(Barrels in thousands and dollars in millions, except dollars per barrel)</w:t>
            </w:r>
          </w:p>
        </w:tc>
        <w:tc>
          <w:tcPr>
            <w:tcW w:w="402" w:type="dxa"/>
            <w:tcBorders/>
            <w:shd w:fill="auto" w:val="clear"/>
            <w:vAlign w:val="bottom"/>
          </w:tcPr>
          <w:p>
            <w:pPr>
              <w:pStyle w:val="TableContents"/>
              <w:spacing w:lineRule="atLeast" w:line="160" w:before="0" w:after="0"/>
              <w:ind w:left="0" w:right="0" w:hanging="0"/>
              <w:rPr/>
            </w:pPr>
            <w:r>
              <w:rPr/>
              <w:t> </w:t>
            </w:r>
          </w:p>
        </w:tc>
      </w:tr>
      <w:tr>
        <w:trPr/>
        <w:tc>
          <w:tcPr>
            <w:tcW w:w="411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Inventory</w:t>
            </w:r>
          </w:p>
        </w:tc>
        <w:tc>
          <w:tcPr>
            <w:tcW w:w="198" w:type="dxa"/>
            <w:tcBorders/>
            <w:shd w:fill="CCEEFF" w:val="clear"/>
            <w:vAlign w:val="bottom"/>
          </w:tcPr>
          <w:p>
            <w:pPr>
              <w:pStyle w:val="TableContents"/>
              <w:spacing w:before="0" w:after="0"/>
              <w:ind w:left="0" w:right="0" w:hanging="0"/>
              <w:rPr/>
            </w:pPr>
            <w:r>
              <w:rPr/>
              <w:t> </w:t>
            </w:r>
          </w:p>
        </w:tc>
        <w:tc>
          <w:tcPr>
            <w:tcW w:w="742"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45" w:type="dxa"/>
            <w:gridSpan w:val="2"/>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42"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45" w:type="dxa"/>
            <w:gridSpan w:val="2"/>
            <w:tcBorders/>
            <w:shd w:fill="CCEEFF" w:val="clear"/>
            <w:vAlign w:val="bottom"/>
          </w:tcPr>
          <w:p>
            <w:pPr>
              <w:pStyle w:val="TableContents"/>
              <w:spacing w:before="0" w:after="0"/>
              <w:ind w:left="0" w:right="0" w:hanging="0"/>
              <w:rPr/>
            </w:pPr>
            <w:r>
              <w:rPr/>
              <w:t> </w:t>
            </w:r>
          </w:p>
        </w:tc>
        <w:tc>
          <w:tcPr>
            <w:tcW w:w="402" w:type="dxa"/>
            <w:tcBorders/>
            <w:shd w:fill="CCEEFF" w:val="clear"/>
            <w:vAlign w:val="bottom"/>
          </w:tcPr>
          <w:p>
            <w:pPr>
              <w:pStyle w:val="TableContents"/>
              <w:spacing w:before="0" w:after="0"/>
              <w:ind w:left="0" w:right="0" w:hanging="0"/>
              <w:rPr/>
            </w:pPr>
            <w:r>
              <w:rPr/>
              <w:t> </w:t>
            </w:r>
          </w:p>
        </w:tc>
      </w:tr>
      <w:tr>
        <w:trPr/>
        <w:tc>
          <w:tcPr>
            <w:tcW w:w="41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198" w:type="dxa"/>
            <w:tcBorders/>
            <w:shd w:fill="auto" w:val="clear"/>
            <w:vAlign w:val="bottom"/>
          </w:tcPr>
          <w:p>
            <w:pPr>
              <w:pStyle w:val="TableContents"/>
              <w:spacing w:before="0" w:after="0"/>
              <w:ind w:left="0" w:right="0" w:hanging="0"/>
              <w:rPr/>
            </w:pPr>
            <w:r>
              <w:rPr/>
              <w:t> </w:t>
            </w:r>
          </w:p>
        </w:tc>
        <w:tc>
          <w:tcPr>
            <w:tcW w:w="7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14,277</w:t>
            </w:r>
          </w:p>
        </w:tc>
        <w:tc>
          <w:tcPr>
            <w:tcW w:w="198"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931.0</w:t>
            </w:r>
          </w:p>
        </w:tc>
        <w:tc>
          <w:tcPr>
            <w:tcW w:w="198"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65.21</w:t>
            </w:r>
          </w:p>
        </w:tc>
        <w:tc>
          <w:tcPr>
            <w:tcW w:w="198" w:type="dxa"/>
            <w:tcBorders/>
            <w:shd w:fill="auto" w:val="clear"/>
            <w:vAlign w:val="bottom"/>
          </w:tcPr>
          <w:p>
            <w:pPr>
              <w:pStyle w:val="TableContents"/>
              <w:spacing w:before="0" w:after="0"/>
              <w:ind w:left="0" w:right="0" w:hanging="0"/>
              <w:rPr/>
            </w:pPr>
            <w:r>
              <w:rPr/>
              <w:t> </w:t>
            </w:r>
          </w:p>
        </w:tc>
        <w:tc>
          <w:tcPr>
            <w:tcW w:w="7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13,887</w:t>
            </w:r>
          </w:p>
        </w:tc>
        <w:tc>
          <w:tcPr>
            <w:tcW w:w="19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755.7</w:t>
            </w:r>
          </w:p>
        </w:tc>
        <w:tc>
          <w:tcPr>
            <w:tcW w:w="198"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54.42</w:t>
            </w:r>
          </w:p>
        </w:tc>
        <w:tc>
          <w:tcPr>
            <w:tcW w:w="402" w:type="dxa"/>
            <w:tcBorders/>
            <w:shd w:fill="auto" w:val="clear"/>
            <w:vAlign w:val="bottom"/>
          </w:tcPr>
          <w:p>
            <w:pPr>
              <w:pStyle w:val="TableContents"/>
              <w:spacing w:before="0" w:after="0"/>
              <w:ind w:left="0" w:right="0" w:hanging="0"/>
              <w:rPr/>
            </w:pPr>
            <w:r>
              <w:rPr/>
              <w:t> </w:t>
            </w:r>
          </w:p>
        </w:tc>
      </w:tr>
      <w:tr>
        <w:trPr/>
        <w:tc>
          <w:tcPr>
            <w:tcW w:w="41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198" w:type="dxa"/>
            <w:tcBorders/>
            <w:shd w:fill="CCEEFF" w:val="clear"/>
            <w:vAlign w:val="bottom"/>
          </w:tcPr>
          <w:p>
            <w:pPr>
              <w:pStyle w:val="TableContents"/>
              <w:spacing w:before="0" w:after="0"/>
              <w:ind w:left="0" w:right="0" w:hanging="0"/>
              <w:rPr/>
            </w:pPr>
            <w:r>
              <w:rPr/>
              <w:t> </w:t>
            </w:r>
          </w:p>
        </w:tc>
        <w:tc>
          <w:tcPr>
            <w:tcW w:w="7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5,068</w:t>
            </w:r>
          </w:p>
        </w:tc>
        <w:tc>
          <w:tcPr>
            <w:tcW w:w="198"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219.1</w:t>
            </w:r>
          </w:p>
        </w:tc>
        <w:tc>
          <w:tcPr>
            <w:tcW w:w="198"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43.23</w:t>
            </w:r>
          </w:p>
        </w:tc>
        <w:tc>
          <w:tcPr>
            <w:tcW w:w="198" w:type="dxa"/>
            <w:tcBorders/>
            <w:shd w:fill="CCEEFF" w:val="clear"/>
            <w:vAlign w:val="bottom"/>
          </w:tcPr>
          <w:p>
            <w:pPr>
              <w:pStyle w:val="TableContents"/>
              <w:spacing w:before="0" w:after="0"/>
              <w:ind w:left="0" w:right="0" w:hanging="0"/>
              <w:rPr/>
            </w:pPr>
            <w:r>
              <w:rPr/>
              <w:t> </w:t>
            </w:r>
          </w:p>
        </w:tc>
        <w:tc>
          <w:tcPr>
            <w:tcW w:w="7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3,649</w:t>
            </w:r>
          </w:p>
        </w:tc>
        <w:tc>
          <w:tcPr>
            <w:tcW w:w="198"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149.0</w:t>
            </w:r>
          </w:p>
        </w:tc>
        <w:tc>
          <w:tcPr>
            <w:tcW w:w="198"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40.83</w:t>
            </w:r>
          </w:p>
        </w:tc>
        <w:tc>
          <w:tcPr>
            <w:tcW w:w="402" w:type="dxa"/>
            <w:tcBorders/>
            <w:shd w:fill="CCEEFF" w:val="clear"/>
            <w:vAlign w:val="bottom"/>
          </w:tcPr>
          <w:p>
            <w:pPr>
              <w:pStyle w:val="TableContents"/>
              <w:spacing w:before="0" w:after="0"/>
              <w:ind w:left="0" w:right="0" w:hanging="0"/>
              <w:rPr/>
            </w:pPr>
            <w:r>
              <w:rPr/>
              <w:t> </w:t>
            </w:r>
          </w:p>
        </w:tc>
      </w:tr>
      <w:tr>
        <w:trPr/>
        <w:tc>
          <w:tcPr>
            <w:tcW w:w="41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Parts and supplies</w:t>
            </w:r>
          </w:p>
        </w:tc>
        <w:tc>
          <w:tcPr>
            <w:tcW w:w="198" w:type="dxa"/>
            <w:tcBorders/>
            <w:shd w:fill="auto" w:val="clear"/>
            <w:vAlign w:val="bottom"/>
          </w:tcPr>
          <w:p>
            <w:pPr>
              <w:pStyle w:val="TableContents"/>
              <w:spacing w:before="0" w:after="0"/>
              <w:ind w:left="0" w:right="0" w:hanging="0"/>
              <w:rPr/>
            </w:pPr>
            <w:r>
              <w:rPr/>
              <w:t> </w:t>
            </w:r>
          </w:p>
        </w:tc>
        <w:tc>
          <w:tcPr>
            <w:tcW w:w="74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N/A</w:t>
            </w:r>
          </w:p>
        </w:tc>
        <w:tc>
          <w:tcPr>
            <w:tcW w:w="198" w:type="dxa"/>
            <w:tcBorders/>
            <w:shd w:fill="auto"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5.8</w:t>
            </w:r>
          </w:p>
        </w:tc>
        <w:tc>
          <w:tcPr>
            <w:tcW w:w="198" w:type="dxa"/>
            <w:tcBorders/>
            <w:shd w:fill="auto" w:val="clear"/>
            <w:vAlign w:val="bottom"/>
          </w:tcPr>
          <w:p>
            <w:pPr>
              <w:pStyle w:val="TableContents"/>
              <w:spacing w:before="0" w:after="0"/>
              <w:ind w:left="0" w:right="0" w:hanging="0"/>
              <w:rPr/>
            </w:pPr>
            <w:r>
              <w:rPr/>
              <w:t> </w:t>
            </w:r>
          </w:p>
        </w:tc>
        <w:tc>
          <w:tcPr>
            <w:tcW w:w="74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w:t>
            </w:r>
          </w:p>
        </w:tc>
        <w:tc>
          <w:tcPr>
            <w:tcW w:w="198" w:type="dxa"/>
            <w:tcBorders/>
            <w:shd w:fill="auto" w:val="clear"/>
            <w:vAlign w:val="bottom"/>
          </w:tcPr>
          <w:p>
            <w:pPr>
              <w:pStyle w:val="TableContents"/>
              <w:spacing w:before="0" w:after="0"/>
              <w:ind w:left="0" w:right="0" w:hanging="0"/>
              <w:rPr/>
            </w:pPr>
            <w:r>
              <w:rPr/>
              <w:t> </w:t>
            </w:r>
          </w:p>
        </w:tc>
        <w:tc>
          <w:tcPr>
            <w:tcW w:w="74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N/A</w:t>
            </w:r>
          </w:p>
        </w:tc>
        <w:tc>
          <w:tcPr>
            <w:tcW w:w="198" w:type="dxa"/>
            <w:tcBorders/>
            <w:shd w:fill="auto" w:val="clear"/>
            <w:vAlign w:val="bottom"/>
          </w:tcPr>
          <w:p>
            <w:pPr>
              <w:pStyle w:val="TableContents"/>
              <w:spacing w:before="0" w:after="0"/>
              <w:ind w:left="0" w:right="0" w:hanging="0"/>
              <w:rPr/>
            </w:pPr>
            <w:r>
              <w:rPr/>
              <w:t> </w:t>
            </w:r>
          </w:p>
        </w:tc>
        <w:tc>
          <w:tcPr>
            <w:tcW w:w="764"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5.6</w:t>
            </w:r>
          </w:p>
        </w:tc>
        <w:tc>
          <w:tcPr>
            <w:tcW w:w="198" w:type="dxa"/>
            <w:tcBorders/>
            <w:shd w:fill="auto" w:val="clear"/>
            <w:vAlign w:val="bottom"/>
          </w:tcPr>
          <w:p>
            <w:pPr>
              <w:pStyle w:val="TableContents"/>
              <w:spacing w:before="0" w:after="0"/>
              <w:ind w:left="0" w:right="0" w:hanging="0"/>
              <w:rPr/>
            </w:pPr>
            <w:r>
              <w:rPr/>
              <w:t> </w:t>
            </w:r>
          </w:p>
        </w:tc>
        <w:tc>
          <w:tcPr>
            <w:tcW w:w="74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w:t>
            </w:r>
          </w:p>
        </w:tc>
        <w:tc>
          <w:tcPr>
            <w:tcW w:w="402" w:type="dxa"/>
            <w:tcBorders/>
            <w:shd w:fill="auto" w:val="clear"/>
            <w:vAlign w:val="bottom"/>
          </w:tcPr>
          <w:p>
            <w:pPr>
              <w:pStyle w:val="TableContents"/>
              <w:spacing w:before="0" w:after="0"/>
              <w:ind w:left="0" w:right="0" w:hanging="0"/>
              <w:rPr/>
            </w:pPr>
            <w:r>
              <w:rPr/>
              <w:t> </w:t>
            </w:r>
          </w:p>
        </w:tc>
      </w:tr>
      <w:tr>
        <w:trPr/>
        <w:tc>
          <w:tcPr>
            <w:tcW w:w="41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Inventory subtotal</w:t>
            </w:r>
          </w:p>
        </w:tc>
        <w:tc>
          <w:tcPr>
            <w:tcW w:w="198" w:type="dxa"/>
            <w:tcBorders/>
            <w:shd w:fill="CCEEFF" w:val="clear"/>
            <w:vAlign w:val="bottom"/>
          </w:tcPr>
          <w:p>
            <w:pPr>
              <w:pStyle w:val="TableContents"/>
              <w:spacing w:before="0" w:after="0"/>
              <w:ind w:left="0" w:right="0" w:hanging="0"/>
              <w:rPr/>
            </w:pPr>
            <w:r>
              <w:rPr/>
              <w:t> </w:t>
            </w:r>
          </w:p>
        </w:tc>
        <w:tc>
          <w:tcPr>
            <w:tcW w:w="742"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19,345</w:t>
            </w:r>
          </w:p>
        </w:tc>
        <w:tc>
          <w:tcPr>
            <w:tcW w:w="198"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1,155.9</w:t>
            </w:r>
          </w:p>
        </w:tc>
        <w:tc>
          <w:tcPr>
            <w:tcW w:w="198" w:type="dxa"/>
            <w:tcBorders/>
            <w:shd w:fill="CCEEFF" w:val="clear"/>
            <w:vAlign w:val="bottom"/>
          </w:tcPr>
          <w:p>
            <w:pPr>
              <w:pStyle w:val="TableContents"/>
              <w:spacing w:before="0" w:after="0"/>
              <w:ind w:left="0" w:right="0" w:hanging="0"/>
              <w:rPr/>
            </w:pPr>
            <w:r>
              <w:rPr/>
              <w:t> </w:t>
            </w:r>
          </w:p>
        </w:tc>
        <w:tc>
          <w:tcPr>
            <w:tcW w:w="745" w:type="dxa"/>
            <w:gridSpan w:val="2"/>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42"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17,536</w:t>
            </w:r>
          </w:p>
        </w:tc>
        <w:tc>
          <w:tcPr>
            <w:tcW w:w="198" w:type="dxa"/>
            <w:tcBorders/>
            <w:shd w:fill="CCEEFF" w:val="clear"/>
            <w:vAlign w:val="bottom"/>
          </w:tcPr>
          <w:p>
            <w:pPr>
              <w:pStyle w:val="TableContents"/>
              <w:spacing w:before="0" w:after="0"/>
              <w:ind w:left="0" w:right="0" w:hanging="0"/>
              <w:rPr/>
            </w:pPr>
            <w:r>
              <w:rPr/>
              <w:t> </w:t>
            </w:r>
          </w:p>
        </w:tc>
        <w:tc>
          <w:tcPr>
            <w:tcW w:w="764"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910.3</w:t>
            </w:r>
          </w:p>
        </w:tc>
        <w:tc>
          <w:tcPr>
            <w:tcW w:w="198" w:type="dxa"/>
            <w:tcBorders/>
            <w:shd w:fill="CCEEFF" w:val="clear"/>
            <w:vAlign w:val="bottom"/>
          </w:tcPr>
          <w:p>
            <w:pPr>
              <w:pStyle w:val="TableContents"/>
              <w:spacing w:before="0" w:after="0"/>
              <w:ind w:left="0" w:right="0" w:hanging="0"/>
              <w:rPr/>
            </w:pPr>
            <w:r>
              <w:rPr/>
              <w:t> </w:t>
            </w:r>
          </w:p>
        </w:tc>
        <w:tc>
          <w:tcPr>
            <w:tcW w:w="745" w:type="dxa"/>
            <w:gridSpan w:val="2"/>
            <w:tcBorders/>
            <w:shd w:fill="CCEEFF" w:val="clear"/>
            <w:vAlign w:val="bottom"/>
          </w:tcPr>
          <w:p>
            <w:pPr>
              <w:pStyle w:val="TableContents"/>
              <w:spacing w:before="0" w:after="0"/>
              <w:ind w:left="0" w:right="0" w:hanging="0"/>
              <w:rPr/>
            </w:pPr>
            <w:r>
              <w:rPr/>
              <w:t> </w:t>
            </w:r>
          </w:p>
        </w:tc>
        <w:tc>
          <w:tcPr>
            <w:tcW w:w="402" w:type="dxa"/>
            <w:tcBorders/>
            <w:shd w:fill="CCEEFF" w:val="clear"/>
            <w:vAlign w:val="bottom"/>
          </w:tcPr>
          <w:p>
            <w:pPr>
              <w:pStyle w:val="TableContents"/>
              <w:spacing w:before="0" w:after="0"/>
              <w:ind w:left="0" w:right="0" w:hanging="0"/>
              <w:rPr/>
            </w:pPr>
            <w:r>
              <w:rPr/>
              <w:t> </w:t>
            </w:r>
          </w:p>
        </w:tc>
      </w:tr>
      <w:tr>
        <w:trPr/>
        <w:tc>
          <w:tcPr>
            <w:tcW w:w="4112" w:type="dxa"/>
            <w:tcBorders/>
            <w:shd w:fill="auto" w:val="clear"/>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42"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45" w:type="dxa"/>
            <w:gridSpan w:val="2"/>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42"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45" w:type="dxa"/>
            <w:gridSpan w:val="2"/>
            <w:tcBorders/>
            <w:shd w:fill="auto" w:val="clear"/>
            <w:vAlign w:val="bottom"/>
          </w:tcPr>
          <w:p>
            <w:pPr>
              <w:pStyle w:val="TableContents"/>
              <w:spacing w:before="0" w:after="0"/>
              <w:ind w:left="0" w:right="0" w:hanging="0"/>
              <w:rPr/>
            </w:pPr>
            <w:r>
              <w:rPr/>
              <w:t> </w:t>
            </w:r>
          </w:p>
        </w:tc>
        <w:tc>
          <w:tcPr>
            <w:tcW w:w="402" w:type="dxa"/>
            <w:tcBorders/>
            <w:shd w:fill="auto" w:val="clear"/>
            <w:vAlign w:val="bottom"/>
          </w:tcPr>
          <w:p>
            <w:pPr>
              <w:pStyle w:val="TableContents"/>
              <w:spacing w:before="0" w:after="0"/>
              <w:ind w:left="0" w:right="0" w:hanging="0"/>
              <w:rPr/>
            </w:pPr>
            <w:r>
              <w:rPr/>
              <w:t> </w:t>
            </w:r>
          </w:p>
        </w:tc>
      </w:tr>
      <w:tr>
        <w:trPr/>
        <w:tc>
          <w:tcPr>
            <w:tcW w:w="411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Inventory in third-party assets</w:t>
            </w:r>
          </w:p>
        </w:tc>
        <w:tc>
          <w:tcPr>
            <w:tcW w:w="198" w:type="dxa"/>
            <w:tcBorders/>
            <w:shd w:fill="CCEEFF" w:val="clear"/>
            <w:vAlign w:val="bottom"/>
          </w:tcPr>
          <w:p>
            <w:pPr>
              <w:pStyle w:val="TableContents"/>
              <w:spacing w:before="0" w:after="0"/>
              <w:ind w:left="0" w:right="0" w:hanging="0"/>
              <w:rPr/>
            </w:pPr>
            <w:r>
              <w:rPr/>
              <w:t> </w:t>
            </w:r>
          </w:p>
        </w:tc>
        <w:tc>
          <w:tcPr>
            <w:tcW w:w="742"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45" w:type="dxa"/>
            <w:gridSpan w:val="2"/>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42"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45" w:type="dxa"/>
            <w:gridSpan w:val="2"/>
            <w:tcBorders/>
            <w:shd w:fill="CCEEFF" w:val="clear"/>
            <w:vAlign w:val="bottom"/>
          </w:tcPr>
          <w:p>
            <w:pPr>
              <w:pStyle w:val="TableContents"/>
              <w:spacing w:before="0" w:after="0"/>
              <w:ind w:left="0" w:right="0" w:hanging="0"/>
              <w:rPr/>
            </w:pPr>
            <w:r>
              <w:rPr/>
              <w:t> </w:t>
            </w:r>
          </w:p>
        </w:tc>
        <w:tc>
          <w:tcPr>
            <w:tcW w:w="402" w:type="dxa"/>
            <w:tcBorders/>
            <w:shd w:fill="CCEEFF" w:val="clear"/>
            <w:vAlign w:val="bottom"/>
          </w:tcPr>
          <w:p>
            <w:pPr>
              <w:pStyle w:val="TableContents"/>
              <w:spacing w:before="0" w:after="0"/>
              <w:ind w:left="0" w:right="0" w:hanging="0"/>
              <w:rPr/>
            </w:pPr>
            <w:r>
              <w:rPr/>
              <w:t> </w:t>
            </w:r>
          </w:p>
        </w:tc>
      </w:tr>
      <w:tr>
        <w:trPr/>
        <w:tc>
          <w:tcPr>
            <w:tcW w:w="41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198" w:type="dxa"/>
            <w:tcBorders/>
            <w:shd w:fill="auto" w:val="clear"/>
            <w:vAlign w:val="bottom"/>
          </w:tcPr>
          <w:p>
            <w:pPr>
              <w:pStyle w:val="TableContents"/>
              <w:spacing w:before="0" w:after="0"/>
              <w:ind w:left="0" w:right="0" w:hanging="0"/>
              <w:rPr/>
            </w:pPr>
            <w:r>
              <w:rPr/>
              <w:t> </w:t>
            </w:r>
          </w:p>
        </w:tc>
        <w:tc>
          <w:tcPr>
            <w:tcW w:w="7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1,275</w:t>
            </w:r>
          </w:p>
        </w:tc>
        <w:tc>
          <w:tcPr>
            <w:tcW w:w="198"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67.1</w:t>
            </w:r>
          </w:p>
        </w:tc>
        <w:tc>
          <w:tcPr>
            <w:tcW w:w="198"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52.63</w:t>
            </w:r>
          </w:p>
        </w:tc>
        <w:tc>
          <w:tcPr>
            <w:tcW w:w="198" w:type="dxa"/>
            <w:tcBorders/>
            <w:shd w:fill="auto" w:val="clear"/>
            <w:vAlign w:val="bottom"/>
          </w:tcPr>
          <w:p>
            <w:pPr>
              <w:pStyle w:val="TableContents"/>
              <w:spacing w:before="0" w:after="0"/>
              <w:ind w:left="0" w:right="0" w:hanging="0"/>
              <w:rPr/>
            </w:pPr>
            <w:r>
              <w:rPr/>
              <w:t> </w:t>
            </w:r>
          </w:p>
        </w:tc>
        <w:tc>
          <w:tcPr>
            <w:tcW w:w="7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1,248</w:t>
            </w:r>
          </w:p>
        </w:tc>
        <w:tc>
          <w:tcPr>
            <w:tcW w:w="198"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58.6</w:t>
            </w:r>
          </w:p>
        </w:tc>
        <w:tc>
          <w:tcPr>
            <w:tcW w:w="198"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46.96</w:t>
            </w:r>
          </w:p>
        </w:tc>
        <w:tc>
          <w:tcPr>
            <w:tcW w:w="402" w:type="dxa"/>
            <w:tcBorders/>
            <w:shd w:fill="auto" w:val="clear"/>
            <w:vAlign w:val="bottom"/>
          </w:tcPr>
          <w:p>
            <w:pPr>
              <w:pStyle w:val="TableContents"/>
              <w:spacing w:before="0" w:after="0"/>
              <w:ind w:left="0" w:right="0" w:hanging="0"/>
              <w:rPr/>
            </w:pPr>
            <w:r>
              <w:rPr/>
              <w:t> </w:t>
            </w:r>
          </w:p>
        </w:tc>
      </w:tr>
      <w:tr>
        <w:trPr/>
        <w:tc>
          <w:tcPr>
            <w:tcW w:w="41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198" w:type="dxa"/>
            <w:tcBorders/>
            <w:shd w:fill="CCEEFF" w:val="clear"/>
            <w:vAlign w:val="bottom"/>
          </w:tcPr>
          <w:p>
            <w:pPr>
              <w:pStyle w:val="TableContents"/>
              <w:spacing w:before="0" w:after="0"/>
              <w:ind w:left="0" w:right="0" w:hanging="0"/>
              <w:rPr/>
            </w:pPr>
            <w:r>
              <w:rPr/>
              <w:t> </w:t>
            </w:r>
          </w:p>
        </w:tc>
        <w:tc>
          <w:tcPr>
            <w:tcW w:w="742"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318</w:t>
            </w:r>
          </w:p>
        </w:tc>
        <w:tc>
          <w:tcPr>
            <w:tcW w:w="198"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13.3</w:t>
            </w:r>
          </w:p>
        </w:tc>
        <w:tc>
          <w:tcPr>
            <w:tcW w:w="198"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41.82</w:t>
            </w:r>
          </w:p>
        </w:tc>
        <w:tc>
          <w:tcPr>
            <w:tcW w:w="198" w:type="dxa"/>
            <w:tcBorders/>
            <w:shd w:fill="CCEEFF" w:val="clear"/>
            <w:vAlign w:val="bottom"/>
          </w:tcPr>
          <w:p>
            <w:pPr>
              <w:pStyle w:val="TableContents"/>
              <w:spacing w:before="0" w:after="0"/>
              <w:ind w:left="0" w:right="0" w:hanging="0"/>
              <w:rPr/>
            </w:pPr>
            <w:r>
              <w:rPr/>
              <w:t> </w:t>
            </w:r>
          </w:p>
        </w:tc>
        <w:tc>
          <w:tcPr>
            <w:tcW w:w="742"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318</w:t>
            </w:r>
          </w:p>
        </w:tc>
        <w:tc>
          <w:tcPr>
            <w:tcW w:w="198" w:type="dxa"/>
            <w:tcBorders/>
            <w:shd w:fill="CCEEFF" w:val="clear"/>
            <w:vAlign w:val="bottom"/>
          </w:tcPr>
          <w:p>
            <w:pPr>
              <w:pStyle w:val="TableContents"/>
              <w:spacing w:before="0" w:after="0"/>
              <w:ind w:left="0" w:right="0" w:hanging="0"/>
              <w:rPr/>
            </w:pPr>
            <w:r>
              <w:rPr/>
              <w:t> </w:t>
            </w:r>
          </w:p>
        </w:tc>
        <w:tc>
          <w:tcPr>
            <w:tcW w:w="764"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12.9</w:t>
            </w:r>
          </w:p>
        </w:tc>
        <w:tc>
          <w:tcPr>
            <w:tcW w:w="198"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40.57</w:t>
            </w:r>
          </w:p>
        </w:tc>
        <w:tc>
          <w:tcPr>
            <w:tcW w:w="402" w:type="dxa"/>
            <w:tcBorders/>
            <w:shd w:fill="CCEEFF" w:val="clear"/>
            <w:vAlign w:val="bottom"/>
          </w:tcPr>
          <w:p>
            <w:pPr>
              <w:pStyle w:val="TableContents"/>
              <w:spacing w:before="0" w:after="0"/>
              <w:ind w:left="0" w:right="0" w:hanging="0"/>
              <w:rPr/>
            </w:pPr>
            <w:r>
              <w:rPr/>
              <w:t> </w:t>
            </w:r>
          </w:p>
        </w:tc>
      </w:tr>
      <w:tr>
        <w:trPr/>
        <w:tc>
          <w:tcPr>
            <w:tcW w:w="41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Inventory in third-party assets subtotal</w:t>
            </w:r>
          </w:p>
        </w:tc>
        <w:tc>
          <w:tcPr>
            <w:tcW w:w="198" w:type="dxa"/>
            <w:tcBorders/>
            <w:shd w:fill="auto" w:val="clear"/>
            <w:vAlign w:val="bottom"/>
          </w:tcPr>
          <w:p>
            <w:pPr>
              <w:pStyle w:val="TableContents"/>
              <w:spacing w:before="0" w:after="0"/>
              <w:ind w:left="0" w:right="0" w:hanging="0"/>
              <w:rPr/>
            </w:pPr>
            <w:r>
              <w:rPr/>
              <w:t> </w:t>
            </w:r>
          </w:p>
        </w:tc>
        <w:tc>
          <w:tcPr>
            <w:tcW w:w="74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1,593</w:t>
            </w:r>
          </w:p>
        </w:tc>
        <w:tc>
          <w:tcPr>
            <w:tcW w:w="198" w:type="dxa"/>
            <w:tcBorders/>
            <w:shd w:fill="auto"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80.4</w:t>
            </w:r>
          </w:p>
        </w:tc>
        <w:tc>
          <w:tcPr>
            <w:tcW w:w="198" w:type="dxa"/>
            <w:tcBorders/>
            <w:shd w:fill="auto" w:val="clear"/>
            <w:vAlign w:val="bottom"/>
          </w:tcPr>
          <w:p>
            <w:pPr>
              <w:pStyle w:val="TableContents"/>
              <w:spacing w:before="0" w:after="0"/>
              <w:ind w:left="0" w:right="0" w:hanging="0"/>
              <w:rPr/>
            </w:pPr>
            <w:r>
              <w:rPr/>
              <w:t> </w:t>
            </w:r>
          </w:p>
        </w:tc>
        <w:tc>
          <w:tcPr>
            <w:tcW w:w="745" w:type="dxa"/>
            <w:gridSpan w:val="2"/>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4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1,566</w:t>
            </w:r>
          </w:p>
        </w:tc>
        <w:tc>
          <w:tcPr>
            <w:tcW w:w="198" w:type="dxa"/>
            <w:tcBorders/>
            <w:shd w:fill="auto" w:val="clear"/>
            <w:vAlign w:val="bottom"/>
          </w:tcPr>
          <w:p>
            <w:pPr>
              <w:pStyle w:val="TableContents"/>
              <w:spacing w:before="0" w:after="0"/>
              <w:ind w:left="0" w:right="0" w:hanging="0"/>
              <w:rPr/>
            </w:pPr>
            <w:r>
              <w:rPr/>
              <w:t> </w:t>
            </w:r>
          </w:p>
        </w:tc>
        <w:tc>
          <w:tcPr>
            <w:tcW w:w="764"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71.5</w:t>
            </w:r>
          </w:p>
        </w:tc>
        <w:tc>
          <w:tcPr>
            <w:tcW w:w="198" w:type="dxa"/>
            <w:tcBorders/>
            <w:shd w:fill="auto" w:val="clear"/>
            <w:vAlign w:val="bottom"/>
          </w:tcPr>
          <w:p>
            <w:pPr>
              <w:pStyle w:val="TableContents"/>
              <w:spacing w:before="0" w:after="0"/>
              <w:ind w:left="0" w:right="0" w:hanging="0"/>
              <w:rPr/>
            </w:pPr>
            <w:r>
              <w:rPr/>
              <w:t> </w:t>
            </w:r>
          </w:p>
        </w:tc>
        <w:tc>
          <w:tcPr>
            <w:tcW w:w="745" w:type="dxa"/>
            <w:gridSpan w:val="2"/>
            <w:tcBorders/>
            <w:shd w:fill="auto" w:val="clear"/>
            <w:vAlign w:val="bottom"/>
          </w:tcPr>
          <w:p>
            <w:pPr>
              <w:pStyle w:val="TableContents"/>
              <w:spacing w:before="0" w:after="0"/>
              <w:ind w:left="0" w:right="0" w:hanging="0"/>
              <w:rPr/>
            </w:pPr>
            <w:r>
              <w:rPr/>
              <w:t> </w:t>
            </w:r>
          </w:p>
        </w:tc>
        <w:tc>
          <w:tcPr>
            <w:tcW w:w="402" w:type="dxa"/>
            <w:tcBorders/>
            <w:shd w:fill="auto" w:val="clear"/>
            <w:vAlign w:val="bottom"/>
          </w:tcPr>
          <w:p>
            <w:pPr>
              <w:pStyle w:val="TableContents"/>
              <w:spacing w:before="0" w:after="0"/>
              <w:ind w:left="0" w:right="0" w:hanging="0"/>
              <w:rPr/>
            </w:pPr>
            <w:r>
              <w:rPr/>
              <w:t> </w:t>
            </w:r>
          </w:p>
        </w:tc>
      </w:tr>
      <w:tr>
        <w:trPr/>
        <w:tc>
          <w:tcPr>
            <w:tcW w:w="4112" w:type="dxa"/>
            <w:tcBorders/>
            <w:shd w:fill="CCEEFF" w:val="clear"/>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42"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45" w:type="dxa"/>
            <w:gridSpan w:val="2"/>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42" w:type="dxa"/>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45" w:type="dxa"/>
            <w:gridSpan w:val="2"/>
            <w:tcBorders/>
            <w:shd w:fill="CCEEFF" w:val="clear"/>
            <w:vAlign w:val="bottom"/>
          </w:tcPr>
          <w:p>
            <w:pPr>
              <w:pStyle w:val="TableContents"/>
              <w:spacing w:before="0" w:after="0"/>
              <w:ind w:left="0" w:right="0" w:hanging="0"/>
              <w:rPr/>
            </w:pPr>
            <w:r>
              <w:rPr/>
              <w:t> </w:t>
            </w:r>
          </w:p>
        </w:tc>
        <w:tc>
          <w:tcPr>
            <w:tcW w:w="402" w:type="dxa"/>
            <w:tcBorders/>
            <w:shd w:fill="CCEEFF" w:val="clear"/>
            <w:vAlign w:val="bottom"/>
          </w:tcPr>
          <w:p>
            <w:pPr>
              <w:pStyle w:val="TableContents"/>
              <w:spacing w:before="0" w:after="0"/>
              <w:ind w:left="0" w:right="0" w:hanging="0"/>
              <w:rPr/>
            </w:pPr>
            <w:r>
              <w:rPr/>
              <w:t> </w:t>
            </w:r>
          </w:p>
        </w:tc>
      </w:tr>
      <w:tr>
        <w:trPr/>
        <w:tc>
          <w:tcPr>
            <w:tcW w:w="4112"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Linefill</w:t>
            </w:r>
          </w:p>
        </w:tc>
        <w:tc>
          <w:tcPr>
            <w:tcW w:w="198" w:type="dxa"/>
            <w:tcBorders/>
            <w:shd w:fill="auto" w:val="clear"/>
            <w:vAlign w:val="bottom"/>
          </w:tcPr>
          <w:p>
            <w:pPr>
              <w:pStyle w:val="TableContents"/>
              <w:spacing w:before="0" w:after="0"/>
              <w:ind w:left="0" w:right="0" w:hanging="0"/>
              <w:rPr/>
            </w:pPr>
            <w:r>
              <w:rPr/>
              <w:t> </w:t>
            </w:r>
          </w:p>
        </w:tc>
        <w:tc>
          <w:tcPr>
            <w:tcW w:w="742"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45" w:type="dxa"/>
            <w:gridSpan w:val="2"/>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42"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45" w:type="dxa"/>
            <w:gridSpan w:val="2"/>
            <w:tcBorders/>
            <w:shd w:fill="auto" w:val="clear"/>
            <w:vAlign w:val="bottom"/>
          </w:tcPr>
          <w:p>
            <w:pPr>
              <w:pStyle w:val="TableContents"/>
              <w:spacing w:before="0" w:after="0"/>
              <w:ind w:left="0" w:right="0" w:hanging="0"/>
              <w:rPr/>
            </w:pPr>
            <w:r>
              <w:rPr/>
              <w:t> </w:t>
            </w:r>
          </w:p>
        </w:tc>
        <w:tc>
          <w:tcPr>
            <w:tcW w:w="402" w:type="dxa"/>
            <w:tcBorders/>
            <w:shd w:fill="auto" w:val="clear"/>
            <w:vAlign w:val="bottom"/>
          </w:tcPr>
          <w:p>
            <w:pPr>
              <w:pStyle w:val="TableContents"/>
              <w:spacing w:before="0" w:after="0"/>
              <w:ind w:left="0" w:right="0" w:hanging="0"/>
              <w:rPr/>
            </w:pPr>
            <w:r>
              <w:rPr/>
              <w:t> </w:t>
            </w:r>
          </w:p>
        </w:tc>
      </w:tr>
      <w:tr>
        <w:trPr/>
        <w:tc>
          <w:tcPr>
            <w:tcW w:w="41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198" w:type="dxa"/>
            <w:tcBorders/>
            <w:shd w:fill="CCEEFF" w:val="clear"/>
            <w:vAlign w:val="bottom"/>
          </w:tcPr>
          <w:p>
            <w:pPr>
              <w:pStyle w:val="TableContents"/>
              <w:spacing w:before="0" w:after="0"/>
              <w:ind w:left="0" w:right="0" w:hanging="0"/>
              <w:rPr/>
            </w:pPr>
            <w:r>
              <w:rPr/>
              <w:t> </w:t>
            </w:r>
          </w:p>
        </w:tc>
        <w:tc>
          <w:tcPr>
            <w:tcW w:w="7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6,516</w:t>
            </w:r>
          </w:p>
        </w:tc>
        <w:tc>
          <w:tcPr>
            <w:tcW w:w="198" w:type="dxa"/>
            <w:tcBorders/>
            <w:shd w:fill="CCEEFF" w:val="clear"/>
            <w:vAlign w:val="bottom"/>
          </w:tcPr>
          <w:p>
            <w:pPr>
              <w:pStyle w:val="TableContents"/>
              <w:spacing w:before="0" w:after="0"/>
              <w:ind w:left="0" w:right="0" w:hanging="0"/>
              <w:rPr/>
            </w:pPr>
            <w:r>
              <w:rPr/>
              <w:t> </w:t>
            </w:r>
          </w:p>
        </w:tc>
        <w:tc>
          <w:tcPr>
            <w:tcW w:w="76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199.5</w:t>
            </w:r>
          </w:p>
        </w:tc>
        <w:tc>
          <w:tcPr>
            <w:tcW w:w="198"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30.62</w:t>
            </w:r>
          </w:p>
        </w:tc>
        <w:tc>
          <w:tcPr>
            <w:tcW w:w="198" w:type="dxa"/>
            <w:tcBorders/>
            <w:shd w:fill="CCEEFF" w:val="clear"/>
            <w:vAlign w:val="bottom"/>
          </w:tcPr>
          <w:p>
            <w:pPr>
              <w:pStyle w:val="TableContents"/>
              <w:spacing w:before="0" w:after="0"/>
              <w:ind w:left="0" w:right="0" w:hanging="0"/>
              <w:rPr/>
            </w:pPr>
            <w:r>
              <w:rPr/>
              <w:t> </w:t>
            </w:r>
          </w:p>
        </w:tc>
        <w:tc>
          <w:tcPr>
            <w:tcW w:w="7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6,207</w:t>
            </w:r>
          </w:p>
        </w:tc>
        <w:tc>
          <w:tcPr>
            <w:tcW w:w="198" w:type="dxa"/>
            <w:tcBorders/>
            <w:shd w:fill="CCEEFF" w:val="clear"/>
            <w:vAlign w:val="bottom"/>
          </w:tcPr>
          <w:p>
            <w:pPr>
              <w:pStyle w:val="TableContents"/>
              <w:spacing w:before="0" w:after="0"/>
              <w:ind w:left="0" w:right="0" w:hanging="0"/>
              <w:rPr/>
            </w:pPr>
            <w:r>
              <w:rPr/>
              <w:t> </w:t>
            </w:r>
          </w:p>
        </w:tc>
        <w:tc>
          <w:tcPr>
            <w:tcW w:w="764"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179.3</w:t>
            </w:r>
          </w:p>
        </w:tc>
        <w:tc>
          <w:tcPr>
            <w:tcW w:w="198"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28.89</w:t>
            </w:r>
          </w:p>
        </w:tc>
        <w:tc>
          <w:tcPr>
            <w:tcW w:w="402" w:type="dxa"/>
            <w:tcBorders/>
            <w:shd w:fill="CCEEFF" w:val="clear"/>
            <w:vAlign w:val="bottom"/>
          </w:tcPr>
          <w:p>
            <w:pPr>
              <w:pStyle w:val="TableContents"/>
              <w:spacing w:before="0" w:after="0"/>
              <w:ind w:left="0" w:right="0" w:hanging="0"/>
              <w:rPr/>
            </w:pPr>
            <w:r>
              <w:rPr/>
              <w:t> </w:t>
            </w:r>
          </w:p>
        </w:tc>
      </w:tr>
      <w:tr>
        <w:trPr/>
        <w:tc>
          <w:tcPr>
            <w:tcW w:w="41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198" w:type="dxa"/>
            <w:tcBorders/>
            <w:shd w:fill="auto" w:val="clear"/>
            <w:vAlign w:val="bottom"/>
          </w:tcPr>
          <w:p>
            <w:pPr>
              <w:pStyle w:val="TableContents"/>
              <w:spacing w:before="0" w:after="0"/>
              <w:ind w:left="0" w:right="0" w:hanging="0"/>
              <w:rPr/>
            </w:pPr>
            <w:r>
              <w:rPr/>
              <w:t> </w:t>
            </w:r>
          </w:p>
        </w:tc>
        <w:tc>
          <w:tcPr>
            <w:tcW w:w="74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27</w:t>
            </w:r>
          </w:p>
        </w:tc>
        <w:tc>
          <w:tcPr>
            <w:tcW w:w="198" w:type="dxa"/>
            <w:tcBorders/>
            <w:shd w:fill="auto"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0.9</w:t>
            </w:r>
          </w:p>
        </w:tc>
        <w:tc>
          <w:tcPr>
            <w:tcW w:w="198"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33.33</w:t>
            </w:r>
          </w:p>
        </w:tc>
        <w:tc>
          <w:tcPr>
            <w:tcW w:w="198" w:type="dxa"/>
            <w:tcBorders/>
            <w:shd w:fill="auto" w:val="clear"/>
            <w:vAlign w:val="bottom"/>
          </w:tcPr>
          <w:p>
            <w:pPr>
              <w:pStyle w:val="TableContents"/>
              <w:spacing w:before="0" w:after="0"/>
              <w:ind w:left="0" w:right="0" w:hanging="0"/>
              <w:rPr/>
            </w:pPr>
            <w:r>
              <w:rPr/>
              <w:t> </w:t>
            </w:r>
          </w:p>
        </w:tc>
        <w:tc>
          <w:tcPr>
            <w:tcW w:w="74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27</w:t>
            </w:r>
          </w:p>
        </w:tc>
        <w:tc>
          <w:tcPr>
            <w:tcW w:w="198" w:type="dxa"/>
            <w:tcBorders/>
            <w:shd w:fill="auto" w:val="clear"/>
            <w:vAlign w:val="bottom"/>
          </w:tcPr>
          <w:p>
            <w:pPr>
              <w:pStyle w:val="TableContents"/>
              <w:spacing w:before="0" w:after="0"/>
              <w:ind w:left="0" w:right="0" w:hanging="0"/>
              <w:rPr/>
            </w:pPr>
            <w:r>
              <w:rPr/>
              <w:t> </w:t>
            </w:r>
          </w:p>
        </w:tc>
        <w:tc>
          <w:tcPr>
            <w:tcW w:w="764"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0.9</w:t>
            </w:r>
          </w:p>
        </w:tc>
        <w:tc>
          <w:tcPr>
            <w:tcW w:w="198"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33.33</w:t>
            </w:r>
          </w:p>
        </w:tc>
        <w:tc>
          <w:tcPr>
            <w:tcW w:w="402" w:type="dxa"/>
            <w:tcBorders/>
            <w:shd w:fill="auto" w:val="clear"/>
            <w:vAlign w:val="bottom"/>
          </w:tcPr>
          <w:p>
            <w:pPr>
              <w:pStyle w:val="TableContents"/>
              <w:spacing w:before="0" w:after="0"/>
              <w:ind w:left="0" w:right="0" w:hanging="0"/>
              <w:rPr/>
            </w:pPr>
            <w:r>
              <w:rPr/>
              <w:t> </w:t>
            </w:r>
          </w:p>
        </w:tc>
      </w:tr>
      <w:tr>
        <w:trPr/>
        <w:tc>
          <w:tcPr>
            <w:tcW w:w="41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Linefill subtotal</w:t>
            </w:r>
          </w:p>
        </w:tc>
        <w:tc>
          <w:tcPr>
            <w:tcW w:w="198" w:type="dxa"/>
            <w:tcBorders/>
            <w:shd w:fill="CCEEFF" w:val="clear"/>
            <w:vAlign w:val="bottom"/>
          </w:tcPr>
          <w:p>
            <w:pPr>
              <w:pStyle w:val="TableContents"/>
              <w:spacing w:before="0" w:after="0"/>
              <w:ind w:left="0" w:right="0" w:hanging="0"/>
              <w:rPr/>
            </w:pPr>
            <w:r>
              <w:rPr/>
              <w:t> </w:t>
            </w:r>
          </w:p>
        </w:tc>
        <w:tc>
          <w:tcPr>
            <w:tcW w:w="742"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6,543</w:t>
            </w:r>
          </w:p>
        </w:tc>
        <w:tc>
          <w:tcPr>
            <w:tcW w:w="198" w:type="dxa"/>
            <w:tcBorders/>
            <w:shd w:fill="CCEEFF" w:val="clear"/>
            <w:vAlign w:val="bottom"/>
          </w:tcPr>
          <w:p>
            <w:pPr>
              <w:pStyle w:val="TableContents"/>
              <w:spacing w:before="0" w:after="0"/>
              <w:ind w:left="0" w:right="0" w:hanging="0"/>
              <w:rPr/>
            </w:pPr>
            <w:r>
              <w:rPr/>
              <w:t> </w:t>
            </w:r>
          </w:p>
        </w:tc>
        <w:tc>
          <w:tcPr>
            <w:tcW w:w="76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200.4</w:t>
            </w:r>
          </w:p>
        </w:tc>
        <w:tc>
          <w:tcPr>
            <w:tcW w:w="198" w:type="dxa"/>
            <w:tcBorders/>
            <w:shd w:fill="CCEEFF" w:val="clear"/>
            <w:vAlign w:val="bottom"/>
          </w:tcPr>
          <w:p>
            <w:pPr>
              <w:pStyle w:val="TableContents"/>
              <w:spacing w:before="0" w:after="0"/>
              <w:ind w:left="0" w:right="0" w:hanging="0"/>
              <w:rPr/>
            </w:pPr>
            <w:r>
              <w:rPr/>
              <w:t> </w:t>
            </w:r>
          </w:p>
        </w:tc>
        <w:tc>
          <w:tcPr>
            <w:tcW w:w="745" w:type="dxa"/>
            <w:gridSpan w:val="2"/>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42" w:type="dxa"/>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6,234</w:t>
            </w:r>
          </w:p>
        </w:tc>
        <w:tc>
          <w:tcPr>
            <w:tcW w:w="198" w:type="dxa"/>
            <w:tcBorders/>
            <w:shd w:fill="CCEEFF" w:val="clear"/>
            <w:vAlign w:val="bottom"/>
          </w:tcPr>
          <w:p>
            <w:pPr>
              <w:pStyle w:val="TableContents"/>
              <w:spacing w:before="0" w:after="0"/>
              <w:ind w:left="0" w:right="0" w:hanging="0"/>
              <w:rPr/>
            </w:pPr>
            <w:r>
              <w:rPr/>
              <w:t> </w:t>
            </w:r>
          </w:p>
        </w:tc>
        <w:tc>
          <w:tcPr>
            <w:tcW w:w="764"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180.2</w:t>
            </w:r>
          </w:p>
        </w:tc>
        <w:tc>
          <w:tcPr>
            <w:tcW w:w="198" w:type="dxa"/>
            <w:tcBorders/>
            <w:shd w:fill="CCEEFF" w:val="clear"/>
            <w:vAlign w:val="bottom"/>
          </w:tcPr>
          <w:p>
            <w:pPr>
              <w:pStyle w:val="TableContents"/>
              <w:spacing w:before="0" w:after="0"/>
              <w:ind w:left="0" w:right="0" w:hanging="0"/>
              <w:rPr/>
            </w:pPr>
            <w:r>
              <w:rPr/>
              <w:t> </w:t>
            </w:r>
          </w:p>
        </w:tc>
        <w:tc>
          <w:tcPr>
            <w:tcW w:w="745" w:type="dxa"/>
            <w:gridSpan w:val="2"/>
            <w:tcBorders/>
            <w:shd w:fill="CCEEFF" w:val="clear"/>
            <w:vAlign w:val="bottom"/>
          </w:tcPr>
          <w:p>
            <w:pPr>
              <w:pStyle w:val="TableContents"/>
              <w:spacing w:before="0" w:after="0"/>
              <w:ind w:left="0" w:right="0" w:hanging="0"/>
              <w:rPr/>
            </w:pPr>
            <w:r>
              <w:rPr/>
              <w:t> </w:t>
            </w:r>
          </w:p>
        </w:tc>
        <w:tc>
          <w:tcPr>
            <w:tcW w:w="402" w:type="dxa"/>
            <w:tcBorders/>
            <w:shd w:fill="CCEEFF" w:val="clear"/>
            <w:vAlign w:val="bottom"/>
          </w:tcPr>
          <w:p>
            <w:pPr>
              <w:pStyle w:val="TableContents"/>
              <w:spacing w:before="0" w:after="0"/>
              <w:ind w:left="0" w:right="0" w:hanging="0"/>
              <w:rPr/>
            </w:pPr>
            <w:r>
              <w:rPr/>
              <w:t> </w:t>
            </w:r>
          </w:p>
        </w:tc>
      </w:tr>
      <w:tr>
        <w:trPr/>
        <w:tc>
          <w:tcPr>
            <w:tcW w:w="4112" w:type="dxa"/>
            <w:tcBorders/>
            <w:shd w:fill="auto" w:val="clear"/>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42"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65" w:type="dxa"/>
            <w:gridSpan w:val="2"/>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45" w:type="dxa"/>
            <w:gridSpan w:val="2"/>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42" w:type="dxa"/>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64" w:type="dxa"/>
            <w:gridSpan w:val="2"/>
            <w:tcBorders/>
            <w:shd w:fill="auto" w:val="clear"/>
            <w:vAlign w:val="bottom"/>
          </w:tcPr>
          <w:p>
            <w:pPr>
              <w:pStyle w:val="TableContents"/>
              <w:spacing w:before="0" w:after="0"/>
              <w:ind w:left="0" w:right="0" w:hanging="0"/>
              <w:rPr/>
            </w:pPr>
            <w:r>
              <w:rPr/>
              <w:t> </w:t>
            </w:r>
          </w:p>
        </w:tc>
        <w:tc>
          <w:tcPr>
            <w:tcW w:w="198" w:type="dxa"/>
            <w:tcBorders/>
            <w:shd w:fill="auto" w:val="clear"/>
            <w:vAlign w:val="bottom"/>
          </w:tcPr>
          <w:p>
            <w:pPr>
              <w:pStyle w:val="TableContents"/>
              <w:spacing w:before="0" w:after="0"/>
              <w:ind w:left="0" w:right="0" w:hanging="0"/>
              <w:rPr/>
            </w:pPr>
            <w:r>
              <w:rPr/>
              <w:t> </w:t>
            </w:r>
          </w:p>
        </w:tc>
        <w:tc>
          <w:tcPr>
            <w:tcW w:w="745" w:type="dxa"/>
            <w:gridSpan w:val="2"/>
            <w:tcBorders/>
            <w:shd w:fill="auto" w:val="clear"/>
            <w:vAlign w:val="bottom"/>
          </w:tcPr>
          <w:p>
            <w:pPr>
              <w:pStyle w:val="TableContents"/>
              <w:spacing w:before="0" w:after="0"/>
              <w:ind w:left="0" w:right="0" w:hanging="0"/>
              <w:rPr/>
            </w:pPr>
            <w:r>
              <w:rPr/>
              <w:t> </w:t>
            </w:r>
          </w:p>
        </w:tc>
        <w:tc>
          <w:tcPr>
            <w:tcW w:w="402" w:type="dxa"/>
            <w:tcBorders/>
            <w:shd w:fill="auto" w:val="clear"/>
            <w:vAlign w:val="bottom"/>
          </w:tcPr>
          <w:p>
            <w:pPr>
              <w:pStyle w:val="TableContents"/>
              <w:spacing w:before="0" w:after="0"/>
              <w:ind w:left="0" w:right="0" w:hanging="0"/>
              <w:rPr/>
            </w:pPr>
            <w:r>
              <w:rPr/>
              <w:t> </w:t>
            </w:r>
          </w:p>
        </w:tc>
      </w:tr>
      <w:tr>
        <w:trPr/>
        <w:tc>
          <w:tcPr>
            <w:tcW w:w="4112"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Total</w:t>
            </w:r>
          </w:p>
        </w:tc>
        <w:tc>
          <w:tcPr>
            <w:tcW w:w="198" w:type="dxa"/>
            <w:tcBorders/>
            <w:shd w:fill="CCEEFF" w:val="clear"/>
            <w:vAlign w:val="bottom"/>
          </w:tcPr>
          <w:p>
            <w:pPr>
              <w:pStyle w:val="TableContents"/>
              <w:spacing w:before="0" w:after="0"/>
              <w:ind w:left="0" w:right="0" w:hanging="0"/>
              <w:rPr/>
            </w:pPr>
            <w:r>
              <w:rPr/>
              <w:t> </w:t>
            </w:r>
          </w:p>
        </w:tc>
        <w:tc>
          <w:tcPr>
            <w:tcW w:w="7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27,481</w:t>
            </w:r>
          </w:p>
        </w:tc>
        <w:tc>
          <w:tcPr>
            <w:tcW w:w="198"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1,436.7</w:t>
            </w:r>
          </w:p>
        </w:tc>
        <w:tc>
          <w:tcPr>
            <w:tcW w:w="198" w:type="dxa"/>
            <w:tcBorders/>
            <w:shd w:fill="CCEEFF" w:val="clear"/>
            <w:vAlign w:val="bottom"/>
          </w:tcPr>
          <w:p>
            <w:pPr>
              <w:pStyle w:val="TableContents"/>
              <w:spacing w:before="0" w:after="0"/>
              <w:ind w:left="0" w:right="0" w:hanging="0"/>
              <w:rPr/>
            </w:pPr>
            <w:r>
              <w:rPr/>
              <w:t> </w:t>
            </w:r>
          </w:p>
        </w:tc>
        <w:tc>
          <w:tcPr>
            <w:tcW w:w="745" w:type="dxa"/>
            <w:gridSpan w:val="2"/>
            <w:tcBorders/>
            <w:shd w:fill="CCEEFF" w:val="clear"/>
            <w:vAlign w:val="bottom"/>
          </w:tcPr>
          <w:p>
            <w:pPr>
              <w:pStyle w:val="TableContents"/>
              <w:spacing w:before="0" w:after="0"/>
              <w:ind w:left="0" w:right="0" w:hanging="0"/>
              <w:rPr/>
            </w:pPr>
            <w:r>
              <w:rPr/>
              <w:t> </w:t>
            </w:r>
          </w:p>
        </w:tc>
        <w:tc>
          <w:tcPr>
            <w:tcW w:w="198" w:type="dxa"/>
            <w:tcBorders/>
            <w:shd w:fill="CCEEFF" w:val="clear"/>
            <w:vAlign w:val="bottom"/>
          </w:tcPr>
          <w:p>
            <w:pPr>
              <w:pStyle w:val="TableContents"/>
              <w:spacing w:before="0" w:after="0"/>
              <w:ind w:left="0" w:right="0" w:hanging="0"/>
              <w:rPr/>
            </w:pPr>
            <w:r>
              <w:rPr/>
              <w:t> </w:t>
            </w:r>
          </w:p>
        </w:tc>
        <w:tc>
          <w:tcPr>
            <w:tcW w:w="7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25,336</w:t>
            </w:r>
          </w:p>
        </w:tc>
        <w:tc>
          <w:tcPr>
            <w:tcW w:w="198"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5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1,162.0</w:t>
            </w:r>
          </w:p>
        </w:tc>
        <w:tc>
          <w:tcPr>
            <w:tcW w:w="198" w:type="dxa"/>
            <w:tcBorders/>
            <w:shd w:fill="CCEEFF" w:val="clear"/>
            <w:vAlign w:val="bottom"/>
          </w:tcPr>
          <w:p>
            <w:pPr>
              <w:pStyle w:val="TableContents"/>
              <w:spacing w:before="0" w:after="0"/>
              <w:ind w:left="0" w:right="0" w:hanging="0"/>
              <w:rPr/>
            </w:pPr>
            <w:r>
              <w:rPr/>
              <w:t> </w:t>
            </w:r>
          </w:p>
        </w:tc>
        <w:tc>
          <w:tcPr>
            <w:tcW w:w="745" w:type="dxa"/>
            <w:gridSpan w:val="2"/>
            <w:tcBorders/>
            <w:shd w:fill="CCEEFF" w:val="clear"/>
            <w:vAlign w:val="bottom"/>
          </w:tcPr>
          <w:p>
            <w:pPr>
              <w:pStyle w:val="TableContents"/>
              <w:spacing w:before="0" w:after="0"/>
              <w:ind w:left="0" w:right="0" w:hanging="0"/>
              <w:rPr/>
            </w:pPr>
            <w:r>
              <w:rPr/>
              <w:t> </w:t>
            </w:r>
          </w:p>
        </w:tc>
        <w:tc>
          <w:tcPr>
            <w:tcW w:w="402" w:type="dxa"/>
            <w:tcBorders/>
            <w:shd w:fill="CCEEFF" w:val="clear"/>
            <w:vAlign w:val="bottom"/>
          </w:tcPr>
          <w:p>
            <w:pPr>
              <w:pStyle w:val="TableContents"/>
              <w:spacing w:before="0" w:after="0"/>
              <w:ind w:left="0" w:right="0" w:hanging="0"/>
              <w:rPr/>
            </w:pPr>
            <w:r>
              <w:rPr/>
              <w:t> </w:t>
            </w:r>
          </w:p>
        </w:tc>
      </w:tr>
    </w:tbl>
    <w:p>
      <w:pPr>
        <w:pStyle w:val="TextBody"/>
        <w:spacing w:before="0" w:after="240"/>
        <w:ind w:left="0" w:right="0" w:firstLine="400"/>
        <w:rPr/>
      </w:pPr>
      <w:r>
        <w:rPr/>
        <w:t> </w:t>
      </w:r>
    </w:p>
    <w:p>
      <w:pPr>
        <w:pStyle w:val="TextBody"/>
        <w:spacing w:lineRule="atLeast" w:line="141"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10</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Note 5Debt</w:t>
      </w:r>
    </w:p>
    <w:p>
      <w:pPr>
        <w:pStyle w:val="TextBody"/>
        <w:keepNext w:val="true"/>
        <w:spacing w:before="0" w:after="240"/>
        <w:ind w:left="0" w:right="0" w:firstLine="400"/>
        <w:rPr>
          <w:rFonts w:ascii="Times New Roman" w:hAnsi="Times New Roman"/>
          <w:sz w:val="17"/>
        </w:rPr>
      </w:pPr>
      <w:r>
        <w:rPr>
          <w:rFonts w:ascii="Times New Roman" w:hAnsi="Times New Roman"/>
          <w:sz w:val="17"/>
        </w:rPr>
        <w:t>During May 2006, we completed the sale of $250 million aggregate principal amount of 6.70% Senior Notes due 2036. The notes were sold at 99.82% of face value. Interest payments are due on May 15 and November 15 of each year. The notes are fully and unconditionally guaranteed, jointly and severally, by all of our existing 100% owned subsidiaries, except for subsidiaries which are not significant. We used the proceeds to repay amounts outstanding under our credit facilities and for general partnership purposes.</w:t>
      </w:r>
    </w:p>
    <w:p>
      <w:pPr>
        <w:pStyle w:val="TextBody"/>
        <w:keepNext w:val="true"/>
        <w:spacing w:before="0" w:after="240"/>
        <w:ind w:left="0" w:right="0" w:firstLine="400"/>
        <w:rPr>
          <w:rFonts w:ascii="Times New Roman" w:hAnsi="Times New Roman"/>
          <w:sz w:val="17"/>
        </w:rPr>
      </w:pPr>
      <w:r>
        <w:rPr>
          <w:rFonts w:ascii="Times New Roman" w:hAnsi="Times New Roman"/>
          <w:sz w:val="17"/>
        </w:rPr>
        <w:t>Below is a description of our debt:</w:t>
      </w:r>
    </w:p>
    <w:tbl>
      <w:tblPr>
        <w:tblW w:w="5000" w:type="pct"/>
        <w:jc w:val="left"/>
        <w:tblInd w:w="0" w:type="dxa"/>
        <w:tblCellMar>
          <w:top w:w="0" w:type="dxa"/>
          <w:left w:w="0" w:type="dxa"/>
          <w:bottom w:w="0" w:type="dxa"/>
          <w:right w:w="0" w:type="dxa"/>
        </w:tblCellMar>
      </w:tblPr>
      <w:tblGrid>
        <w:gridCol w:w="7262"/>
        <w:gridCol w:w="206"/>
        <w:gridCol w:w="137"/>
        <w:gridCol w:w="963"/>
        <w:gridCol w:w="206"/>
        <w:gridCol w:w="156"/>
        <w:gridCol w:w="1064"/>
        <w:gridCol w:w="211"/>
      </w:tblGrid>
      <w:tr>
        <w:trPr/>
        <w:tc>
          <w:tcPr>
            <w:tcW w:w="7262" w:type="dxa"/>
            <w:tcBorders/>
            <w:shd w:fill="auto" w:val="clear"/>
            <w:vAlign w:val="bottom"/>
          </w:tcPr>
          <w:p>
            <w:pPr>
              <w:pStyle w:val="TableContents"/>
              <w:spacing w:lineRule="atLeast" w:line="160" w:before="0" w:after="0"/>
              <w:ind w:left="0" w:right="0" w:hanging="0"/>
              <w:rPr/>
            </w:pPr>
            <w:r>
              <w:rPr/>
              <w:t> </w:t>
            </w:r>
          </w:p>
        </w:tc>
        <w:tc>
          <w:tcPr>
            <w:tcW w:w="206" w:type="dxa"/>
            <w:tcBorders/>
            <w:shd w:fill="auto" w:val="clear"/>
            <w:vAlign w:val="bottom"/>
          </w:tcPr>
          <w:p>
            <w:pPr>
              <w:pStyle w:val="TableContents"/>
              <w:spacing w:lineRule="atLeast" w:line="160" w:before="0" w:after="0"/>
              <w:ind w:left="0" w:right="0" w:hanging="0"/>
              <w:rPr/>
            </w:pPr>
            <w:r>
              <w:rPr/>
              <w:t> </w:t>
            </w:r>
          </w:p>
        </w:tc>
        <w:tc>
          <w:tcPr>
            <w:tcW w:w="1100"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w:t>
            </w:r>
          </w:p>
        </w:tc>
        <w:tc>
          <w:tcPr>
            <w:tcW w:w="206" w:type="dxa"/>
            <w:tcBorders/>
            <w:shd w:fill="auto" w:val="clear"/>
            <w:vAlign w:val="bottom"/>
          </w:tcPr>
          <w:p>
            <w:pPr>
              <w:pStyle w:val="TableContents"/>
              <w:spacing w:lineRule="atLeast" w:line="160" w:before="0" w:after="0"/>
              <w:ind w:left="0" w:right="0" w:hanging="0"/>
              <w:rPr/>
            </w:pPr>
            <w:r>
              <w:rPr/>
              <w:t> </w:t>
            </w:r>
          </w:p>
        </w:tc>
        <w:tc>
          <w:tcPr>
            <w:tcW w:w="1220"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w:t>
            </w:r>
          </w:p>
        </w:tc>
        <w:tc>
          <w:tcPr>
            <w:tcW w:w="211" w:type="dxa"/>
            <w:tcBorders/>
            <w:shd w:fill="auto" w:val="clear"/>
            <w:vAlign w:val="bottom"/>
          </w:tcPr>
          <w:p>
            <w:pPr>
              <w:pStyle w:val="TableContents"/>
              <w:spacing w:lineRule="atLeast" w:line="160" w:before="0" w:after="0"/>
              <w:ind w:left="0" w:right="0" w:hanging="0"/>
              <w:rPr/>
            </w:pPr>
            <w:r>
              <w:rPr/>
              <w:t> </w:t>
            </w:r>
          </w:p>
        </w:tc>
      </w:tr>
      <w:tr>
        <w:trPr/>
        <w:tc>
          <w:tcPr>
            <w:tcW w:w="7262" w:type="dxa"/>
            <w:tcBorders/>
            <w:shd w:fill="auto" w:val="clear"/>
            <w:vAlign w:val="bottom"/>
          </w:tcPr>
          <w:p>
            <w:pPr>
              <w:pStyle w:val="TableContents"/>
              <w:spacing w:lineRule="atLeast" w:line="160" w:before="0" w:after="0"/>
              <w:ind w:left="0" w:right="0" w:hanging="0"/>
              <w:rPr/>
            </w:pPr>
            <w:r>
              <w:rPr/>
              <w:t> </w:t>
            </w:r>
          </w:p>
        </w:tc>
        <w:tc>
          <w:tcPr>
            <w:tcW w:w="206" w:type="dxa"/>
            <w:tcBorders/>
            <w:shd w:fill="auto" w:val="clear"/>
            <w:vAlign w:val="bottom"/>
          </w:tcPr>
          <w:p>
            <w:pPr>
              <w:pStyle w:val="TableContents"/>
              <w:spacing w:lineRule="atLeast" w:line="160" w:before="0" w:after="0"/>
              <w:ind w:left="0" w:right="0" w:hanging="0"/>
              <w:rPr/>
            </w:pPr>
            <w:r>
              <w:rPr/>
              <w:t> </w:t>
            </w:r>
          </w:p>
        </w:tc>
        <w:tc>
          <w:tcPr>
            <w:tcW w:w="110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206" w:type="dxa"/>
            <w:tcBorders/>
            <w:shd w:fill="auto" w:val="clear"/>
            <w:vAlign w:val="bottom"/>
          </w:tcPr>
          <w:p>
            <w:pPr>
              <w:pStyle w:val="TableContents"/>
              <w:spacing w:lineRule="atLeast" w:line="160" w:before="0" w:after="0"/>
              <w:ind w:left="0" w:right="0" w:hanging="0"/>
              <w:rPr/>
            </w:pPr>
            <w:r>
              <w:rPr/>
              <w:t> </w:t>
            </w:r>
          </w:p>
        </w:tc>
        <w:tc>
          <w:tcPr>
            <w:tcW w:w="122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pPr>
            <w:r>
              <w:rPr/>
              <w:t>       </w:t>
            </w:r>
            <w:r>
              <w:rPr>
                <w:rFonts w:ascii="Times New Roman" w:hAnsi="Times New Roman"/>
                <w:b/>
                <w:sz w:val="13"/>
              </w:rPr>
              <w:t>2005       </w:t>
            </w:r>
          </w:p>
        </w:tc>
        <w:tc>
          <w:tcPr>
            <w:tcW w:w="211" w:type="dxa"/>
            <w:tcBorders/>
            <w:shd w:fill="auto" w:val="clear"/>
            <w:vAlign w:val="bottom"/>
          </w:tcPr>
          <w:p>
            <w:pPr>
              <w:pStyle w:val="TableContents"/>
              <w:spacing w:lineRule="atLeast" w:line="160" w:before="0" w:after="0"/>
              <w:ind w:left="0" w:right="0" w:hanging="0"/>
              <w:rPr/>
            </w:pPr>
            <w:r>
              <w:rPr/>
              <w:t> </w:t>
            </w:r>
          </w:p>
        </w:tc>
      </w:tr>
      <w:tr>
        <w:trPr/>
        <w:tc>
          <w:tcPr>
            <w:tcW w:w="7262" w:type="dxa"/>
            <w:tcBorders/>
            <w:shd w:fill="auto" w:val="clear"/>
            <w:vAlign w:val="bottom"/>
          </w:tcPr>
          <w:p>
            <w:pPr>
              <w:pStyle w:val="TableContents"/>
              <w:spacing w:lineRule="atLeast" w:line="160" w:before="0" w:after="0"/>
              <w:ind w:left="0" w:right="0" w:hanging="0"/>
              <w:rPr/>
            </w:pPr>
            <w:r>
              <w:rPr/>
              <w:t> </w:t>
            </w:r>
          </w:p>
        </w:tc>
        <w:tc>
          <w:tcPr>
            <w:tcW w:w="206" w:type="dxa"/>
            <w:tcBorders/>
            <w:shd w:fill="auto" w:val="clear"/>
            <w:vAlign w:val="bottom"/>
          </w:tcPr>
          <w:p>
            <w:pPr>
              <w:pStyle w:val="TableContents"/>
              <w:spacing w:lineRule="atLeast" w:line="160" w:before="0" w:after="0"/>
              <w:ind w:left="0" w:right="0" w:hanging="0"/>
              <w:rPr/>
            </w:pPr>
            <w:r>
              <w:rPr/>
              <w:t> </w:t>
            </w:r>
          </w:p>
        </w:tc>
        <w:tc>
          <w:tcPr>
            <w:tcW w:w="2526"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w:t>
            </w:r>
          </w:p>
        </w:tc>
        <w:tc>
          <w:tcPr>
            <w:tcW w:w="211" w:type="dxa"/>
            <w:tcBorders/>
            <w:shd w:fill="auto" w:val="clear"/>
            <w:vAlign w:val="bottom"/>
          </w:tcPr>
          <w:p>
            <w:pPr>
              <w:pStyle w:val="TableContents"/>
              <w:spacing w:lineRule="atLeast" w:line="160" w:before="0" w:after="0"/>
              <w:ind w:left="0" w:right="0" w:hanging="0"/>
              <w:rPr/>
            </w:pPr>
            <w:r>
              <w:rPr/>
              <w:t> </w:t>
            </w:r>
          </w:p>
        </w:tc>
      </w:tr>
      <w:tr>
        <w:trPr/>
        <w:tc>
          <w:tcPr>
            <w:tcW w:w="7262" w:type="dxa"/>
            <w:tcBorders/>
            <w:shd w:fill="CCEEFF" w:val="clear"/>
          </w:tcPr>
          <w:p>
            <w:pPr>
              <w:pStyle w:val="TableContents"/>
              <w:spacing w:before="0" w:after="0"/>
              <w:ind w:left="0" w:right="0" w:hanging="0"/>
              <w:rPr>
                <w:rFonts w:ascii="Times New Roman" w:hAnsi="Times New Roman"/>
                <w:i/>
                <w:sz w:val="17"/>
              </w:rPr>
            </w:pPr>
            <w:r>
              <w:rPr>
                <w:rFonts w:ascii="Times New Roman" w:hAnsi="Times New Roman"/>
                <w:i/>
                <w:sz w:val="17"/>
              </w:rPr>
              <w:t>Short-term debt:</w:t>
            </w:r>
          </w:p>
        </w:tc>
        <w:tc>
          <w:tcPr>
            <w:tcW w:w="206" w:type="dxa"/>
            <w:tcBorders/>
            <w:shd w:fill="CCEEFF" w:val="clear"/>
            <w:vAlign w:val="bottom"/>
          </w:tcPr>
          <w:p>
            <w:pPr>
              <w:pStyle w:val="TableContents"/>
              <w:spacing w:before="0" w:after="0"/>
              <w:ind w:left="0" w:right="0" w:hanging="0"/>
              <w:rPr/>
            </w:pPr>
            <w:r>
              <w:rPr/>
              <w:t> </w:t>
            </w:r>
          </w:p>
        </w:tc>
        <w:tc>
          <w:tcPr>
            <w:tcW w:w="1100" w:type="dxa"/>
            <w:gridSpan w:val="2"/>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r>
      <w:tr>
        <w:trPr/>
        <w:tc>
          <w:tcPr>
            <w:tcW w:w="72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Senior secured hedged inventory facility bearing interest at a rate of 5.7% and 4.8% at June 30, 2006 and December 31, 2005, respectively</w:t>
            </w:r>
          </w:p>
        </w:tc>
        <w:tc>
          <w:tcPr>
            <w:tcW w:w="206" w:type="dxa"/>
            <w:tcBorders/>
            <w:shd w:fill="auto" w:val="clear"/>
            <w:vAlign w:val="bottom"/>
          </w:tcPr>
          <w:p>
            <w:pPr>
              <w:pStyle w:val="TableContents"/>
              <w:spacing w:before="0" w:after="0"/>
              <w:ind w:left="0" w:right="0" w:hanging="0"/>
              <w:rPr/>
            </w:pPr>
            <w:r>
              <w:rPr/>
              <w:t> </w:t>
            </w:r>
          </w:p>
        </w:tc>
        <w:tc>
          <w:tcPr>
            <w:tcW w:w="137"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800.0</w:t>
            </w:r>
          </w:p>
        </w:tc>
        <w:tc>
          <w:tcPr>
            <w:tcW w:w="206" w:type="dxa"/>
            <w:tcBorders/>
            <w:shd w:fill="auto" w:val="clear"/>
            <w:vAlign w:val="bottom"/>
          </w:tcPr>
          <w:p>
            <w:pPr>
              <w:pStyle w:val="TableContents"/>
              <w:spacing w:before="0" w:after="0"/>
              <w:ind w:left="0" w:right="0" w:hanging="0"/>
              <w:rPr/>
            </w:pPr>
            <w:r>
              <w:rPr/>
              <w:t> </w:t>
            </w:r>
          </w:p>
        </w:tc>
        <w:tc>
          <w:tcPr>
            <w:tcW w:w="156"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219.3</w:t>
            </w:r>
          </w:p>
        </w:tc>
        <w:tc>
          <w:tcPr>
            <w:tcW w:w="211" w:type="dxa"/>
            <w:tcBorders/>
            <w:shd w:fill="auto" w:val="clear"/>
            <w:vAlign w:val="bottom"/>
          </w:tcPr>
          <w:p>
            <w:pPr>
              <w:pStyle w:val="TableContents"/>
              <w:spacing w:before="0" w:after="0"/>
              <w:ind w:left="0" w:right="0" w:hanging="0"/>
              <w:rPr/>
            </w:pPr>
            <w:r>
              <w:rPr/>
              <w:t> </w:t>
            </w:r>
          </w:p>
        </w:tc>
      </w:tr>
      <w:tr>
        <w:trPr/>
        <w:tc>
          <w:tcPr>
            <w:tcW w:w="7262" w:type="dxa"/>
            <w:tcBorders/>
            <w:shd w:fill="CCEEFF" w:val="clear"/>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1100" w:type="dxa"/>
            <w:gridSpan w:val="2"/>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r>
      <w:tr>
        <w:trPr/>
        <w:tc>
          <w:tcPr>
            <w:tcW w:w="72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Working capital borrowings, bearing interest at a rate of 5.9% and 5.0% at June 30, 2006 and December 31, 2005, respectively (1)</w:t>
            </w:r>
          </w:p>
        </w:tc>
        <w:tc>
          <w:tcPr>
            <w:tcW w:w="206" w:type="dxa"/>
            <w:tcBorders/>
            <w:shd w:fill="auto" w:val="clear"/>
            <w:vAlign w:val="bottom"/>
          </w:tcPr>
          <w:p>
            <w:pPr>
              <w:pStyle w:val="TableContents"/>
              <w:spacing w:before="0" w:after="0"/>
              <w:ind w:left="0" w:right="0" w:hanging="0"/>
              <w:rPr/>
            </w:pPr>
            <w:r>
              <w:rPr/>
              <w:t> </w:t>
            </w:r>
          </w:p>
        </w:tc>
        <w:tc>
          <w:tcPr>
            <w:tcW w:w="110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385.3</w:t>
            </w:r>
          </w:p>
        </w:tc>
        <w:tc>
          <w:tcPr>
            <w:tcW w:w="206"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155.4</w:t>
            </w:r>
          </w:p>
        </w:tc>
        <w:tc>
          <w:tcPr>
            <w:tcW w:w="211" w:type="dxa"/>
            <w:tcBorders/>
            <w:shd w:fill="auto" w:val="clear"/>
            <w:vAlign w:val="bottom"/>
          </w:tcPr>
          <w:p>
            <w:pPr>
              <w:pStyle w:val="TableContents"/>
              <w:spacing w:before="0" w:after="0"/>
              <w:ind w:left="0" w:right="0" w:hanging="0"/>
              <w:rPr/>
            </w:pPr>
            <w:r>
              <w:rPr/>
              <w:t> </w:t>
            </w:r>
          </w:p>
        </w:tc>
      </w:tr>
      <w:tr>
        <w:trPr/>
        <w:tc>
          <w:tcPr>
            <w:tcW w:w="7262" w:type="dxa"/>
            <w:tcBorders/>
            <w:shd w:fill="CCEEFF" w:val="clear"/>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1100" w:type="dxa"/>
            <w:gridSpan w:val="2"/>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r>
      <w:tr>
        <w:trPr/>
        <w:tc>
          <w:tcPr>
            <w:tcW w:w="72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6" w:type="dxa"/>
            <w:tcBorders/>
            <w:shd w:fill="auto" w:val="clear"/>
            <w:vAlign w:val="bottom"/>
          </w:tcPr>
          <w:p>
            <w:pPr>
              <w:pStyle w:val="TableContents"/>
              <w:spacing w:before="0" w:after="0"/>
              <w:ind w:left="0" w:right="0" w:hanging="0"/>
              <w:rPr/>
            </w:pPr>
            <w:r>
              <w:rPr/>
              <w:t> </w:t>
            </w:r>
          </w:p>
        </w:tc>
        <w:tc>
          <w:tcPr>
            <w:tcW w:w="110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206" w:type="dxa"/>
            <w:tcBorders/>
            <w:shd w:fill="auto" w:val="clear"/>
            <w:vAlign w:val="bottom"/>
          </w:tcPr>
          <w:p>
            <w:pPr>
              <w:pStyle w:val="TableContents"/>
              <w:spacing w:before="0" w:after="0"/>
              <w:ind w:left="0" w:right="0" w:hanging="0"/>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3.7</w:t>
            </w:r>
          </w:p>
        </w:tc>
        <w:tc>
          <w:tcPr>
            <w:tcW w:w="211" w:type="dxa"/>
            <w:tcBorders/>
            <w:shd w:fill="auto" w:val="clear"/>
            <w:vAlign w:val="bottom"/>
          </w:tcPr>
          <w:p>
            <w:pPr>
              <w:pStyle w:val="TableContents"/>
              <w:spacing w:before="0" w:after="0"/>
              <w:ind w:left="0" w:right="0" w:hanging="0"/>
              <w:rPr/>
            </w:pPr>
            <w:r>
              <w:rPr/>
              <w:t> </w:t>
            </w:r>
          </w:p>
        </w:tc>
      </w:tr>
      <w:tr>
        <w:trPr/>
        <w:tc>
          <w:tcPr>
            <w:tcW w:w="726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short-term debt</w:t>
            </w:r>
          </w:p>
        </w:tc>
        <w:tc>
          <w:tcPr>
            <w:tcW w:w="206" w:type="dxa"/>
            <w:tcBorders/>
            <w:shd w:fill="CCEEFF" w:val="clear"/>
            <w:vAlign w:val="bottom"/>
          </w:tcPr>
          <w:p>
            <w:pPr>
              <w:pStyle w:val="TableContents"/>
              <w:spacing w:before="0" w:after="0"/>
              <w:ind w:left="0" w:right="0" w:hanging="0"/>
              <w:rPr/>
            </w:pPr>
            <w:r>
              <w:rPr/>
              <w:t> </w:t>
            </w:r>
          </w:p>
        </w:tc>
        <w:tc>
          <w:tcPr>
            <w:tcW w:w="110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1,188.5</w:t>
            </w:r>
          </w:p>
        </w:tc>
        <w:tc>
          <w:tcPr>
            <w:tcW w:w="206"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378.4</w:t>
            </w:r>
          </w:p>
        </w:tc>
        <w:tc>
          <w:tcPr>
            <w:tcW w:w="211" w:type="dxa"/>
            <w:tcBorders/>
            <w:shd w:fill="CCEEFF" w:val="clear"/>
            <w:vAlign w:val="bottom"/>
          </w:tcPr>
          <w:p>
            <w:pPr>
              <w:pStyle w:val="TableContents"/>
              <w:spacing w:before="0" w:after="0"/>
              <w:ind w:left="0" w:right="0" w:hanging="0"/>
              <w:rPr/>
            </w:pPr>
            <w:r>
              <w:rPr/>
              <w:t> </w:t>
            </w:r>
          </w:p>
        </w:tc>
      </w:tr>
      <w:tr>
        <w:trPr/>
        <w:tc>
          <w:tcPr>
            <w:tcW w:w="7262"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00" w:type="dxa"/>
            <w:gridSpan w:val="2"/>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r>
      <w:tr>
        <w:trPr/>
        <w:tc>
          <w:tcPr>
            <w:tcW w:w="7262" w:type="dxa"/>
            <w:tcBorders/>
            <w:shd w:fill="CCEEFF" w:val="clear"/>
          </w:tcPr>
          <w:p>
            <w:pPr>
              <w:pStyle w:val="TableContents"/>
              <w:spacing w:before="0" w:after="0"/>
              <w:ind w:left="0" w:right="0" w:hanging="0"/>
              <w:rPr>
                <w:rFonts w:ascii="Times New Roman" w:hAnsi="Times New Roman"/>
                <w:i/>
                <w:sz w:val="17"/>
              </w:rPr>
            </w:pPr>
            <w:r>
              <w:rPr>
                <w:rFonts w:ascii="Times New Roman" w:hAnsi="Times New Roman"/>
                <w:i/>
                <w:sz w:val="17"/>
              </w:rPr>
              <w:t>Long-term debt:</w:t>
            </w:r>
          </w:p>
        </w:tc>
        <w:tc>
          <w:tcPr>
            <w:tcW w:w="206" w:type="dxa"/>
            <w:tcBorders/>
            <w:shd w:fill="CCEEFF" w:val="clear"/>
            <w:vAlign w:val="bottom"/>
          </w:tcPr>
          <w:p>
            <w:pPr>
              <w:pStyle w:val="TableContents"/>
              <w:spacing w:before="0" w:after="0"/>
              <w:ind w:left="0" w:right="0" w:hanging="0"/>
              <w:rPr/>
            </w:pPr>
            <w:r>
              <w:rPr/>
              <w:t> </w:t>
            </w:r>
          </w:p>
        </w:tc>
        <w:tc>
          <w:tcPr>
            <w:tcW w:w="1100" w:type="dxa"/>
            <w:gridSpan w:val="2"/>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r>
      <w:tr>
        <w:trPr/>
        <w:tc>
          <w:tcPr>
            <w:tcW w:w="7262"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00" w:type="dxa"/>
            <w:gridSpan w:val="2"/>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r>
      <w:tr>
        <w:trPr/>
        <w:tc>
          <w:tcPr>
            <w:tcW w:w="726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4.75% senior notes due August 2009, net of unamortized discount of $0.5 million and $0.6 million at June 30, 2006 and December 31, 2005, respectively</w:t>
            </w:r>
          </w:p>
        </w:tc>
        <w:tc>
          <w:tcPr>
            <w:tcW w:w="206" w:type="dxa"/>
            <w:tcBorders/>
            <w:shd w:fill="CCEEFF" w:val="clear"/>
            <w:vAlign w:val="bottom"/>
          </w:tcPr>
          <w:p>
            <w:pPr>
              <w:pStyle w:val="TableContents"/>
              <w:spacing w:before="0" w:after="0"/>
              <w:ind w:left="0" w:right="0" w:hanging="0"/>
              <w:rPr/>
            </w:pPr>
            <w:r>
              <w:rPr/>
              <w:t> </w:t>
            </w:r>
          </w:p>
        </w:tc>
        <w:tc>
          <w:tcPr>
            <w:tcW w:w="110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174.5</w:t>
            </w:r>
          </w:p>
        </w:tc>
        <w:tc>
          <w:tcPr>
            <w:tcW w:w="206"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174.4</w:t>
            </w:r>
          </w:p>
        </w:tc>
        <w:tc>
          <w:tcPr>
            <w:tcW w:w="211" w:type="dxa"/>
            <w:tcBorders/>
            <w:shd w:fill="CCEEFF" w:val="clear"/>
            <w:vAlign w:val="bottom"/>
          </w:tcPr>
          <w:p>
            <w:pPr>
              <w:pStyle w:val="TableContents"/>
              <w:spacing w:before="0" w:after="0"/>
              <w:ind w:left="0" w:right="0" w:hanging="0"/>
              <w:rPr/>
            </w:pPr>
            <w:r>
              <w:rPr/>
              <w:t> </w:t>
            </w:r>
          </w:p>
        </w:tc>
      </w:tr>
      <w:tr>
        <w:trPr/>
        <w:tc>
          <w:tcPr>
            <w:tcW w:w="7262"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00" w:type="dxa"/>
            <w:gridSpan w:val="2"/>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r>
      <w:tr>
        <w:trPr/>
        <w:tc>
          <w:tcPr>
            <w:tcW w:w="726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7.75% senior notes due October 2012, net of unamortized discount of $0.2 million and $0.2 million at June 30, 2006 and December 31, 2005, respectively</w:t>
            </w:r>
          </w:p>
        </w:tc>
        <w:tc>
          <w:tcPr>
            <w:tcW w:w="206" w:type="dxa"/>
            <w:tcBorders/>
            <w:shd w:fill="CCEEFF" w:val="clear"/>
            <w:vAlign w:val="bottom"/>
          </w:tcPr>
          <w:p>
            <w:pPr>
              <w:pStyle w:val="TableContents"/>
              <w:spacing w:before="0" w:after="0"/>
              <w:ind w:left="0" w:right="0" w:hanging="0"/>
              <w:rPr/>
            </w:pPr>
            <w:r>
              <w:rPr/>
              <w:t> </w:t>
            </w:r>
          </w:p>
        </w:tc>
        <w:tc>
          <w:tcPr>
            <w:tcW w:w="110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199.8</w:t>
            </w:r>
          </w:p>
        </w:tc>
        <w:tc>
          <w:tcPr>
            <w:tcW w:w="206"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199.8</w:t>
            </w:r>
          </w:p>
        </w:tc>
        <w:tc>
          <w:tcPr>
            <w:tcW w:w="211" w:type="dxa"/>
            <w:tcBorders/>
            <w:shd w:fill="CCEEFF" w:val="clear"/>
            <w:vAlign w:val="bottom"/>
          </w:tcPr>
          <w:p>
            <w:pPr>
              <w:pStyle w:val="TableContents"/>
              <w:spacing w:before="0" w:after="0"/>
              <w:ind w:left="0" w:right="0" w:hanging="0"/>
              <w:rPr/>
            </w:pPr>
            <w:r>
              <w:rPr/>
              <w:t> </w:t>
            </w:r>
          </w:p>
        </w:tc>
      </w:tr>
      <w:tr>
        <w:trPr/>
        <w:tc>
          <w:tcPr>
            <w:tcW w:w="7262"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00" w:type="dxa"/>
            <w:gridSpan w:val="2"/>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r>
      <w:tr>
        <w:trPr/>
        <w:tc>
          <w:tcPr>
            <w:tcW w:w="726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5.63% senior notes due December 2013, net of unamortized discount of $0.5 million and $0.5 million at June 30, 2006 and December 31, 2005, respectively</w:t>
            </w:r>
          </w:p>
        </w:tc>
        <w:tc>
          <w:tcPr>
            <w:tcW w:w="206" w:type="dxa"/>
            <w:tcBorders/>
            <w:shd w:fill="CCEEFF" w:val="clear"/>
            <w:vAlign w:val="bottom"/>
          </w:tcPr>
          <w:p>
            <w:pPr>
              <w:pStyle w:val="TableContents"/>
              <w:spacing w:before="0" w:after="0"/>
              <w:ind w:left="0" w:right="0" w:hanging="0"/>
              <w:rPr/>
            </w:pPr>
            <w:r>
              <w:rPr/>
              <w:t> </w:t>
            </w:r>
          </w:p>
        </w:tc>
        <w:tc>
          <w:tcPr>
            <w:tcW w:w="110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249.5</w:t>
            </w:r>
          </w:p>
        </w:tc>
        <w:tc>
          <w:tcPr>
            <w:tcW w:w="206"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249.5</w:t>
            </w:r>
          </w:p>
        </w:tc>
        <w:tc>
          <w:tcPr>
            <w:tcW w:w="211" w:type="dxa"/>
            <w:tcBorders/>
            <w:shd w:fill="CCEEFF" w:val="clear"/>
            <w:vAlign w:val="bottom"/>
          </w:tcPr>
          <w:p>
            <w:pPr>
              <w:pStyle w:val="TableContents"/>
              <w:spacing w:before="0" w:after="0"/>
              <w:ind w:left="0" w:right="0" w:hanging="0"/>
              <w:rPr/>
            </w:pPr>
            <w:r>
              <w:rPr/>
              <w:t> </w:t>
            </w:r>
          </w:p>
        </w:tc>
      </w:tr>
      <w:tr>
        <w:trPr/>
        <w:tc>
          <w:tcPr>
            <w:tcW w:w="7262"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00" w:type="dxa"/>
            <w:gridSpan w:val="2"/>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r>
      <w:tr>
        <w:trPr/>
        <w:tc>
          <w:tcPr>
            <w:tcW w:w="726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5.25% senior notes due June 2015, net of unamortized discount of $0.6 million and $0.7 million at June 30, 2006 and December 31, 2005, respectively</w:t>
            </w:r>
          </w:p>
        </w:tc>
        <w:tc>
          <w:tcPr>
            <w:tcW w:w="206" w:type="dxa"/>
            <w:tcBorders/>
            <w:shd w:fill="CCEEFF" w:val="clear"/>
            <w:vAlign w:val="bottom"/>
          </w:tcPr>
          <w:p>
            <w:pPr>
              <w:pStyle w:val="TableContents"/>
              <w:spacing w:before="0" w:after="0"/>
              <w:ind w:left="0" w:right="0" w:hanging="0"/>
              <w:rPr/>
            </w:pPr>
            <w:r>
              <w:rPr/>
              <w:t> </w:t>
            </w:r>
          </w:p>
        </w:tc>
        <w:tc>
          <w:tcPr>
            <w:tcW w:w="110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149.4</w:t>
            </w:r>
          </w:p>
        </w:tc>
        <w:tc>
          <w:tcPr>
            <w:tcW w:w="206"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149.3</w:t>
            </w:r>
          </w:p>
        </w:tc>
        <w:tc>
          <w:tcPr>
            <w:tcW w:w="211" w:type="dxa"/>
            <w:tcBorders/>
            <w:shd w:fill="CCEEFF" w:val="clear"/>
            <w:vAlign w:val="bottom"/>
          </w:tcPr>
          <w:p>
            <w:pPr>
              <w:pStyle w:val="TableContents"/>
              <w:spacing w:before="0" w:after="0"/>
              <w:ind w:left="0" w:right="0" w:hanging="0"/>
              <w:rPr/>
            </w:pPr>
            <w:r>
              <w:rPr/>
              <w:t> </w:t>
            </w:r>
          </w:p>
        </w:tc>
      </w:tr>
      <w:tr>
        <w:trPr/>
        <w:tc>
          <w:tcPr>
            <w:tcW w:w="7262"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00" w:type="dxa"/>
            <w:gridSpan w:val="2"/>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r>
      <w:tr>
        <w:trPr/>
        <w:tc>
          <w:tcPr>
            <w:tcW w:w="726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5.88% senior notes due August 2016, net of unamortized discount of $1.0 million and $1.0 million at June 30, 2006 and December 31, 2005, respectively</w:t>
            </w:r>
          </w:p>
        </w:tc>
        <w:tc>
          <w:tcPr>
            <w:tcW w:w="206" w:type="dxa"/>
            <w:tcBorders/>
            <w:shd w:fill="CCEEFF" w:val="clear"/>
            <w:vAlign w:val="bottom"/>
          </w:tcPr>
          <w:p>
            <w:pPr>
              <w:pStyle w:val="TableContents"/>
              <w:spacing w:before="0" w:after="0"/>
              <w:ind w:left="0" w:right="0" w:hanging="0"/>
              <w:rPr/>
            </w:pPr>
            <w:r>
              <w:rPr/>
              <w:t> </w:t>
            </w:r>
          </w:p>
        </w:tc>
        <w:tc>
          <w:tcPr>
            <w:tcW w:w="110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174.0</w:t>
            </w:r>
          </w:p>
        </w:tc>
        <w:tc>
          <w:tcPr>
            <w:tcW w:w="206"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174.0</w:t>
            </w:r>
          </w:p>
        </w:tc>
        <w:tc>
          <w:tcPr>
            <w:tcW w:w="211" w:type="dxa"/>
            <w:tcBorders/>
            <w:shd w:fill="CCEEFF" w:val="clear"/>
            <w:vAlign w:val="bottom"/>
          </w:tcPr>
          <w:p>
            <w:pPr>
              <w:pStyle w:val="TableContents"/>
              <w:spacing w:before="0" w:after="0"/>
              <w:ind w:left="0" w:right="0" w:hanging="0"/>
              <w:rPr/>
            </w:pPr>
            <w:r>
              <w:rPr/>
              <w:t> </w:t>
            </w:r>
          </w:p>
        </w:tc>
      </w:tr>
      <w:tr>
        <w:trPr/>
        <w:tc>
          <w:tcPr>
            <w:tcW w:w="7262"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00" w:type="dxa"/>
            <w:gridSpan w:val="2"/>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r>
      <w:tr>
        <w:trPr/>
        <w:tc>
          <w:tcPr>
            <w:tcW w:w="726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6.70% senior notes due May 2036, net of unamortized discount of $0.5 million at June 30, 2006</w:t>
            </w:r>
          </w:p>
        </w:tc>
        <w:tc>
          <w:tcPr>
            <w:tcW w:w="206" w:type="dxa"/>
            <w:tcBorders/>
            <w:shd w:fill="CCEEFF" w:val="clear"/>
            <w:vAlign w:val="bottom"/>
          </w:tcPr>
          <w:p>
            <w:pPr>
              <w:pStyle w:val="TableContents"/>
              <w:spacing w:before="0" w:after="0"/>
              <w:ind w:left="0" w:right="0" w:hanging="0"/>
              <w:rPr/>
            </w:pPr>
            <w:r>
              <w:rPr/>
              <w:t> </w:t>
            </w:r>
          </w:p>
        </w:tc>
        <w:tc>
          <w:tcPr>
            <w:tcW w:w="110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249.5</w:t>
            </w:r>
          </w:p>
        </w:tc>
        <w:tc>
          <w:tcPr>
            <w:tcW w:w="206" w:type="dxa"/>
            <w:tcBorders/>
            <w:shd w:fill="CCEEFF" w:val="clear"/>
            <w:vAlign w:val="bottom"/>
          </w:tcPr>
          <w:p>
            <w:pPr>
              <w:pStyle w:val="TableContents"/>
              <w:spacing w:before="0" w:after="0"/>
              <w:ind w:left="0" w:right="0" w:hanging="0"/>
              <w:rPr/>
            </w:pPr>
            <w:r>
              <w:rPr/>
              <w:t> </w:t>
            </w:r>
          </w:p>
        </w:tc>
        <w:tc>
          <w:tcPr>
            <w:tcW w:w="122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r>
      <w:tr>
        <w:trPr/>
        <w:tc>
          <w:tcPr>
            <w:tcW w:w="7262"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00" w:type="dxa"/>
            <w:gridSpan w:val="2"/>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r>
      <w:tr>
        <w:trPr/>
        <w:tc>
          <w:tcPr>
            <w:tcW w:w="726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 (2)</w:t>
            </w:r>
          </w:p>
        </w:tc>
        <w:tc>
          <w:tcPr>
            <w:tcW w:w="206" w:type="dxa"/>
            <w:tcBorders/>
            <w:shd w:fill="CCEEFF" w:val="clear"/>
            <w:vAlign w:val="bottom"/>
          </w:tcPr>
          <w:p>
            <w:pPr>
              <w:pStyle w:val="TableContents"/>
              <w:spacing w:before="0" w:after="0"/>
              <w:ind w:left="0" w:right="0" w:hanging="0"/>
              <w:rPr/>
            </w:pPr>
            <w:r>
              <w:rPr/>
              <w:t> </w:t>
            </w:r>
          </w:p>
        </w:tc>
        <w:tc>
          <w:tcPr>
            <w:tcW w:w="110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1,196.7</w:t>
            </w:r>
          </w:p>
        </w:tc>
        <w:tc>
          <w:tcPr>
            <w:tcW w:w="206" w:type="dxa"/>
            <w:tcBorders/>
            <w:shd w:fill="CCEEFF" w:val="clear"/>
            <w:vAlign w:val="bottom"/>
          </w:tcPr>
          <w:p>
            <w:pPr>
              <w:pStyle w:val="TableContents"/>
              <w:spacing w:before="0" w:after="0"/>
              <w:ind w:left="0" w:right="0" w:hanging="0"/>
              <w:rPr/>
            </w:pPr>
            <w:r>
              <w:rPr/>
              <w:t> </w:t>
            </w:r>
          </w:p>
        </w:tc>
        <w:tc>
          <w:tcPr>
            <w:tcW w:w="122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947.0</w:t>
            </w:r>
          </w:p>
        </w:tc>
        <w:tc>
          <w:tcPr>
            <w:tcW w:w="211" w:type="dxa"/>
            <w:tcBorders/>
            <w:shd w:fill="CCEEFF" w:val="clear"/>
            <w:vAlign w:val="bottom"/>
          </w:tcPr>
          <w:p>
            <w:pPr>
              <w:pStyle w:val="TableContents"/>
              <w:spacing w:before="0" w:after="0"/>
              <w:ind w:left="0" w:right="0" w:hanging="0"/>
              <w:rPr/>
            </w:pPr>
            <w:r>
              <w:rPr/>
              <w:t> </w:t>
            </w:r>
          </w:p>
        </w:tc>
      </w:tr>
      <w:tr>
        <w:trPr/>
        <w:tc>
          <w:tcPr>
            <w:tcW w:w="7262"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00" w:type="dxa"/>
            <w:gridSpan w:val="2"/>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r>
      <w:tr>
        <w:trPr/>
        <w:tc>
          <w:tcPr>
            <w:tcW w:w="726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Long-term debt under senior unsecured revolving credit facility and other</w:t>
            </w:r>
          </w:p>
        </w:tc>
        <w:tc>
          <w:tcPr>
            <w:tcW w:w="206" w:type="dxa"/>
            <w:tcBorders/>
            <w:shd w:fill="CCEEFF" w:val="clear"/>
            <w:vAlign w:val="bottom"/>
          </w:tcPr>
          <w:p>
            <w:pPr>
              <w:pStyle w:val="TableContents"/>
              <w:spacing w:before="0" w:after="0"/>
              <w:ind w:left="0" w:right="0" w:hanging="0"/>
              <w:rPr/>
            </w:pPr>
            <w:r>
              <w:rPr/>
              <w:t> </w:t>
            </w:r>
          </w:p>
        </w:tc>
        <w:tc>
          <w:tcPr>
            <w:tcW w:w="110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58.4</w:t>
            </w:r>
          </w:p>
        </w:tc>
        <w:tc>
          <w:tcPr>
            <w:tcW w:w="206" w:type="dxa"/>
            <w:tcBorders/>
            <w:shd w:fill="CCEEFF" w:val="clear"/>
            <w:vAlign w:val="bottom"/>
          </w:tcPr>
          <w:p>
            <w:pPr>
              <w:pStyle w:val="TableContents"/>
              <w:spacing w:before="0" w:after="0"/>
              <w:ind w:left="0" w:right="0" w:hanging="0"/>
              <w:rPr/>
            </w:pPr>
            <w:r>
              <w:rPr/>
              <w:t> </w:t>
            </w:r>
          </w:p>
        </w:tc>
        <w:tc>
          <w:tcPr>
            <w:tcW w:w="122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4.7</w:t>
            </w:r>
          </w:p>
        </w:tc>
        <w:tc>
          <w:tcPr>
            <w:tcW w:w="211" w:type="dxa"/>
            <w:tcBorders/>
            <w:shd w:fill="CCEEFF" w:val="clear"/>
            <w:vAlign w:val="bottom"/>
          </w:tcPr>
          <w:p>
            <w:pPr>
              <w:pStyle w:val="TableContents"/>
              <w:spacing w:before="0" w:after="0"/>
              <w:ind w:left="0" w:right="0" w:hanging="0"/>
              <w:rPr/>
            </w:pPr>
            <w:r>
              <w:rPr/>
              <w:t> </w:t>
            </w:r>
          </w:p>
        </w:tc>
      </w:tr>
      <w:tr>
        <w:trPr/>
        <w:tc>
          <w:tcPr>
            <w:tcW w:w="7262" w:type="dxa"/>
            <w:tcBorders/>
            <w:shd w:fill="auto" w:val="clear"/>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00" w:type="dxa"/>
            <w:gridSpan w:val="2"/>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220" w:type="dxa"/>
            <w:gridSpan w:val="2"/>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r>
      <w:tr>
        <w:trPr/>
        <w:tc>
          <w:tcPr>
            <w:tcW w:w="726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long-term debt (1)(2)</w:t>
            </w:r>
          </w:p>
        </w:tc>
        <w:tc>
          <w:tcPr>
            <w:tcW w:w="206" w:type="dxa"/>
            <w:tcBorders/>
            <w:shd w:fill="CCEEFF" w:val="clear"/>
            <w:vAlign w:val="bottom"/>
          </w:tcPr>
          <w:p>
            <w:pPr>
              <w:pStyle w:val="TableContents"/>
              <w:spacing w:before="0" w:after="0"/>
              <w:ind w:left="0" w:right="0" w:hanging="0"/>
              <w:rPr/>
            </w:pPr>
            <w:r>
              <w:rPr/>
              <w:t> </w:t>
            </w:r>
          </w:p>
        </w:tc>
        <w:tc>
          <w:tcPr>
            <w:tcW w:w="110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1,255.1</w:t>
            </w:r>
          </w:p>
        </w:tc>
        <w:tc>
          <w:tcPr>
            <w:tcW w:w="206" w:type="dxa"/>
            <w:tcBorders/>
            <w:shd w:fill="CCEEFF" w:val="clear"/>
            <w:vAlign w:val="bottom"/>
          </w:tcPr>
          <w:p>
            <w:pPr>
              <w:pStyle w:val="TableContents"/>
              <w:spacing w:before="0" w:after="0"/>
              <w:ind w:left="0" w:right="0" w:hanging="0"/>
              <w:rPr/>
            </w:pPr>
            <w:r>
              <w:rPr/>
              <w:t> </w:t>
            </w:r>
          </w:p>
        </w:tc>
        <w:tc>
          <w:tcPr>
            <w:tcW w:w="122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951.7</w:t>
            </w:r>
          </w:p>
        </w:tc>
        <w:tc>
          <w:tcPr>
            <w:tcW w:w="211" w:type="dxa"/>
            <w:tcBorders/>
            <w:shd w:fill="CCEEFF" w:val="clear"/>
            <w:vAlign w:val="bottom"/>
          </w:tcPr>
          <w:p>
            <w:pPr>
              <w:pStyle w:val="TableContents"/>
              <w:spacing w:before="0" w:after="0"/>
              <w:ind w:left="0" w:right="0" w:hanging="0"/>
              <w:rPr/>
            </w:pPr>
            <w:r>
              <w:rPr/>
              <w:t> </w:t>
            </w:r>
          </w:p>
        </w:tc>
      </w:tr>
      <w:tr>
        <w:trPr/>
        <w:tc>
          <w:tcPr>
            <w:tcW w:w="72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06" w:type="dxa"/>
            <w:tcBorders/>
            <w:shd w:fill="auto" w:val="clear"/>
            <w:vAlign w:val="bottom"/>
          </w:tcPr>
          <w:p>
            <w:pPr>
              <w:pStyle w:val="TableContents"/>
              <w:spacing w:before="0" w:after="0"/>
              <w:ind w:left="0" w:right="0" w:hanging="0"/>
              <w:rPr/>
            </w:pPr>
            <w:r>
              <w:rPr/>
              <w:t> </w:t>
            </w:r>
          </w:p>
        </w:tc>
        <w:tc>
          <w:tcPr>
            <w:tcW w:w="137"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6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2,443.6</w:t>
            </w:r>
          </w:p>
        </w:tc>
        <w:tc>
          <w:tcPr>
            <w:tcW w:w="206" w:type="dxa"/>
            <w:tcBorders/>
            <w:shd w:fill="auto" w:val="clear"/>
            <w:vAlign w:val="bottom"/>
          </w:tcPr>
          <w:p>
            <w:pPr>
              <w:pStyle w:val="TableContents"/>
              <w:spacing w:before="0" w:after="0"/>
              <w:ind w:left="0" w:right="0" w:hanging="0"/>
              <w:rPr/>
            </w:pPr>
            <w:r>
              <w:rPr/>
              <w:t> </w:t>
            </w:r>
          </w:p>
        </w:tc>
        <w:tc>
          <w:tcPr>
            <w:tcW w:w="156"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06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1,330.1</w:t>
            </w:r>
          </w:p>
        </w:tc>
        <w:tc>
          <w:tcPr>
            <w:tcW w:w="211" w:type="dxa"/>
            <w:tcBorders/>
            <w:shd w:fill="auto"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HorizontalLine"/>
        <w:pBdr>
          <w:bottom w:val="single" w:sz="6" w:space="0" w:color="000000"/>
        </w:pBdr>
        <w:spacing w:before="0" w:after="0"/>
        <w:rPr/>
      </w:pPr>
      <w:r>
        <w:rPr/>
      </w:r>
    </w:p>
    <w:p>
      <w:pPr>
        <w:pStyle w:val="TextBody"/>
        <w:spacing w:before="0" w:after="0"/>
        <w:ind w:left="0" w:right="0" w:hanging="0"/>
        <w:rPr>
          <w:rFonts w:ascii="Times New Roman" w:hAnsi="Times New Roman"/>
          <w:sz w:val="17"/>
        </w:rPr>
      </w:pPr>
      <w:r>
        <w:rPr>
          <w:rFonts w:ascii="Times New Roman" w:hAnsi="Times New Roman"/>
          <w:sz w:val="17"/>
        </w:rPr>
        <w:t>(1) At June 30, 2006 and December 31, 2005, we have classified $385.3 million and $155.4 million, respectively, of borrowings under our senior unsecured revolving credit facility as short-term.  These borrowings are designated as working capital borrowings, must be repaid within one year, and are primarily for hedged LPG and crude oil inventory and New York Mercantile Exchange (NYMEX) and International Petroleum Exchange (IPE) margin deposits.</w:t>
      </w:r>
    </w:p>
    <w:p>
      <w:pPr>
        <w:pStyle w:val="TextBody"/>
        <w:spacing w:before="0" w:after="0"/>
        <w:ind w:left="0" w:right="0" w:hanging="0"/>
        <w:rPr>
          <w:rFonts w:ascii="Times New Roman" w:hAnsi="Times New Roman"/>
          <w:sz w:val="17"/>
        </w:rPr>
      </w:pPr>
      <w:r>
        <w:rPr>
          <w:rFonts w:ascii="Times New Roman" w:hAnsi="Times New Roman"/>
          <w:sz w:val="17"/>
        </w:rPr>
        <w:t>(2) At June 30, 2006, the aggregate fair value of our fixed rate senior notes is estimated to be approximately $1,180.1 million.</w:t>
      </w:r>
    </w:p>
    <w:p>
      <w:pPr>
        <w:pStyle w:val="TextBody"/>
        <w:spacing w:before="480" w:after="480"/>
        <w:ind w:left="0" w:right="0" w:hanging="0"/>
        <w:rPr>
          <w:rFonts w:ascii="Times New Roman" w:hAnsi="Times New Roman"/>
          <w:sz w:val="17"/>
        </w:rPr>
      </w:pPr>
      <w:r>
        <w:rPr>
          <w:rFonts w:ascii="Times New Roman" w:hAnsi="Times New Roman"/>
          <w:sz w:val="17"/>
        </w:rPr>
        <w:t>11</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240"/>
        <w:ind w:left="0" w:right="0" w:firstLine="400"/>
        <w:rPr>
          <w:rFonts w:ascii="Times New Roman" w:hAnsi="Times New Roman"/>
          <w:sz w:val="17"/>
        </w:rPr>
      </w:pPr>
      <w:r>
        <w:rPr>
          <w:rFonts w:ascii="Times New Roman" w:hAnsi="Times New Roman"/>
          <w:sz w:val="17"/>
        </w:rPr>
        <w:t>In July 2006, we amended our senior unsecured revolving credit facility to increase the aggregate capacity from $1.0 billion to $1.6 billion and the sub-facility for Canadian borrowings from $400 million to $600 million.  The amended facility can be expanded to $2.0 billion, subject to additional lender commitments, and has a final maturity of July 2011.</w:t>
      </w:r>
    </w:p>
    <w:p>
      <w:pPr>
        <w:pStyle w:val="TextBody"/>
        <w:spacing w:before="0" w:after="240"/>
        <w:ind w:left="0" w:right="0" w:firstLine="400"/>
        <w:rPr>
          <w:rFonts w:ascii="Times New Roman" w:hAnsi="Times New Roman"/>
          <w:sz w:val="17"/>
        </w:rPr>
      </w:pPr>
      <w:r>
        <w:rPr>
          <w:rFonts w:ascii="Times New Roman" w:hAnsi="Times New Roman"/>
          <w:sz w:val="17"/>
        </w:rPr>
        <w:t>Also, in July 2006, we entered into a $1.0 billion acquisition bridge facility for the cash portion of the Pacific Energy acquisition.  Funding under the bridge facility will occur substantially contemporaneously with closing of the acquisition.  The bridge facility has a final maturity date that is the earlier of two years from the date of closing the acquisition or July 2009. The bridge facility has a mandatory reduction of commitments or prepayment requirements following certain public or private debt offerings and asset sales.  Borrowings under the bridge facility will bear interest at a rate similar to our senior unsecured revolving credit facility.</w:t>
      </w:r>
    </w:p>
    <w:p>
      <w:pPr>
        <w:pStyle w:val="TextBody"/>
        <w:spacing w:before="0" w:after="240"/>
        <w:ind w:left="0" w:right="0" w:firstLine="400"/>
        <w:rPr>
          <w:rFonts w:ascii="Times New Roman" w:hAnsi="Times New Roman"/>
          <w:sz w:val="17"/>
        </w:rPr>
      </w:pPr>
      <w:r>
        <w:rPr>
          <w:rFonts w:ascii="Times New Roman" w:hAnsi="Times New Roman"/>
          <w:sz w:val="17"/>
        </w:rPr>
        <w:t>During August 2006, we entered into treasury locks with large creditworthy financial institutions. A treasury lock is a financial derivative instrument that enables the company to lock in the U.S. Treasury Note rate, typically in anticipation of a debt issuance.  The treasury locks have a notional principal amount of $200 million and an average effective interest rate of 4.97%.  The treasury locks mature in November 2006.</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Note 6Earnings Per Limited Partner Unit</w:t>
      </w:r>
    </w:p>
    <w:p>
      <w:pPr>
        <w:pStyle w:val="TextBody"/>
        <w:spacing w:before="0" w:after="240"/>
        <w:ind w:left="0" w:right="0" w:firstLine="400"/>
        <w:rPr>
          <w:rFonts w:ascii="Times New Roman" w:hAnsi="Times New Roman"/>
          <w:sz w:val="17"/>
        </w:rPr>
      </w:pPr>
      <w:r>
        <w:rPr>
          <w:rFonts w:ascii="Times New Roman" w:hAnsi="Times New Roman"/>
          <w:sz w:val="17"/>
        </w:rPr>
        <w:t xml:space="preserve">Basic and diluted net income per limited partner unit is determined by dividing net income available to limited partners by the weighted average number of limited partner units outstanding during the period.  To calculate net income available to limited partners, income is first allocated to the general partner based on the amount of incentive distributions and the remainder is allocated between the limited partners and the general partner based on percentage ownership in the Partnership.  EITF No. 03-06 ("EITF 03-06"), "Participating Securities and the Two-Class Method under FASB Statement No. 128," addresses the computation of earnings per share by entities that have issued securities other than common stock that contractually entitle the holder to participate in dividends and earnings of the entity when, and if, it declares dividends on its common stock.  EITF 03-06 provides that in any accounting period where our aggregate net income exceeds our aggregate distribution for such period, we are required to present earnings per unit as if all of the earnings for the period were distributed, regardless of the pro forma nature of this allocation and whether those earnings would actually be distributed during a particular period from an economic or practical perspective.  EITF 03-06 does not impact our overall net income or other financial results, however, for periods in which aggregate net income exceeds our aggregate distributions for such period, it will have the impact of reducing the earnings per limited partner unit. </w:t>
      </w:r>
    </w:p>
    <w:p>
      <w:pPr>
        <w:pStyle w:val="TextBody"/>
        <w:spacing w:before="480" w:after="480"/>
        <w:ind w:left="0" w:right="0" w:hanging="0"/>
        <w:rPr>
          <w:rFonts w:ascii="Times New Roman" w:hAnsi="Times New Roman"/>
          <w:sz w:val="17"/>
        </w:rPr>
      </w:pPr>
      <w:r>
        <w:rPr>
          <w:rFonts w:ascii="Times New Roman" w:hAnsi="Times New Roman"/>
          <w:sz w:val="17"/>
        </w:rPr>
        <w:t>12</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240"/>
        <w:ind w:left="0" w:right="0" w:firstLine="400"/>
        <w:rPr>
          <w:rFonts w:ascii="Times New Roman" w:hAnsi="Times New Roman"/>
          <w:sz w:val="17"/>
        </w:rPr>
      </w:pPr>
      <w:r>
        <w:rPr>
          <w:rFonts w:ascii="Times New Roman" w:hAnsi="Times New Roman"/>
          <w:sz w:val="17"/>
        </w:rPr>
        <w:t>The following sets forth the computation of basic and diluted earnings per limited partner unit.</w:t>
      </w:r>
    </w:p>
    <w:tbl>
      <w:tblPr>
        <w:tblW w:w="5000" w:type="pct"/>
        <w:jc w:val="left"/>
        <w:tblInd w:w="0" w:type="dxa"/>
        <w:tblCellMar>
          <w:top w:w="0" w:type="dxa"/>
          <w:left w:w="0" w:type="dxa"/>
          <w:bottom w:w="0" w:type="dxa"/>
          <w:right w:w="0" w:type="dxa"/>
        </w:tblCellMar>
      </w:tblPr>
      <w:tblGrid>
        <w:gridCol w:w="3713"/>
        <w:gridCol w:w="108"/>
        <w:gridCol w:w="221"/>
        <w:gridCol w:w="1138"/>
        <w:gridCol w:w="178"/>
        <w:gridCol w:w="221"/>
        <w:gridCol w:w="1142"/>
        <w:gridCol w:w="122"/>
        <w:gridCol w:w="208"/>
        <w:gridCol w:w="1214"/>
        <w:gridCol w:w="169"/>
        <w:gridCol w:w="208"/>
        <w:gridCol w:w="1101"/>
        <w:gridCol w:w="462"/>
      </w:tblGrid>
      <w:tr>
        <w:trPr/>
        <w:tc>
          <w:tcPr>
            <w:tcW w:w="3713" w:type="dxa"/>
            <w:tcBorders/>
            <w:shd w:fill="auto" w:val="clear"/>
            <w:vAlign w:val="bottom"/>
          </w:tcPr>
          <w:p>
            <w:pPr>
              <w:pStyle w:val="TableContents"/>
              <w:spacing w:lineRule="atLeast" w:line="160" w:before="0" w:after="0"/>
              <w:ind w:left="0" w:right="0" w:hanging="0"/>
              <w:rPr/>
            </w:pPr>
            <w:r>
              <w:rPr/>
              <w:t> </w:t>
            </w:r>
          </w:p>
        </w:tc>
        <w:tc>
          <w:tcPr>
            <w:tcW w:w="108" w:type="dxa"/>
            <w:tcBorders/>
            <w:shd w:fill="auto" w:val="clear"/>
            <w:vAlign w:val="bottom"/>
          </w:tcPr>
          <w:p>
            <w:pPr>
              <w:pStyle w:val="TableContents"/>
              <w:spacing w:lineRule="atLeast" w:line="160" w:before="0" w:after="0"/>
              <w:ind w:left="0" w:right="0" w:hanging="0"/>
              <w:rPr/>
            </w:pPr>
            <w:r>
              <w:rPr/>
              <w:t> </w:t>
            </w:r>
          </w:p>
        </w:tc>
        <w:tc>
          <w:tcPr>
            <w:tcW w:w="290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 June 30,</w:t>
            </w:r>
          </w:p>
        </w:tc>
        <w:tc>
          <w:tcPr>
            <w:tcW w:w="122" w:type="dxa"/>
            <w:tcBorders/>
            <w:shd w:fill="auto" w:val="clear"/>
            <w:vAlign w:val="bottom"/>
          </w:tcPr>
          <w:p>
            <w:pPr>
              <w:pStyle w:val="TableContents"/>
              <w:spacing w:lineRule="atLeast" w:line="160" w:before="0" w:after="0"/>
              <w:ind w:left="0" w:right="0" w:hanging="0"/>
              <w:rPr/>
            </w:pPr>
            <w:r>
              <w:rPr/>
              <w:t> </w:t>
            </w:r>
          </w:p>
        </w:tc>
        <w:tc>
          <w:tcPr>
            <w:tcW w:w="290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 Ended June 30,</w:t>
            </w:r>
          </w:p>
        </w:tc>
        <w:tc>
          <w:tcPr>
            <w:tcW w:w="462" w:type="dxa"/>
            <w:tcBorders/>
            <w:shd w:fill="auto" w:val="clear"/>
            <w:vAlign w:val="bottom"/>
          </w:tcPr>
          <w:p>
            <w:pPr>
              <w:pStyle w:val="TableContents"/>
              <w:spacing w:lineRule="atLeast" w:line="160" w:before="0" w:after="0"/>
              <w:ind w:left="0" w:right="0" w:hanging="0"/>
              <w:rPr/>
            </w:pPr>
            <w:r>
              <w:rPr/>
              <w:t> </w:t>
            </w:r>
          </w:p>
        </w:tc>
      </w:tr>
      <w:tr>
        <w:trPr/>
        <w:tc>
          <w:tcPr>
            <w:tcW w:w="3713" w:type="dxa"/>
            <w:tcBorders/>
            <w:shd w:fill="auto" w:val="clear"/>
            <w:vAlign w:val="bottom"/>
          </w:tcPr>
          <w:p>
            <w:pPr>
              <w:pStyle w:val="TableContents"/>
              <w:spacing w:lineRule="atLeast" w:line="160" w:before="0" w:after="0"/>
              <w:ind w:left="0" w:right="0" w:hanging="0"/>
              <w:rPr/>
            </w:pPr>
            <w:r>
              <w:rPr/>
              <w:t> </w:t>
            </w:r>
          </w:p>
        </w:tc>
        <w:tc>
          <w:tcPr>
            <w:tcW w:w="108" w:type="dxa"/>
            <w:tcBorders/>
            <w:shd w:fill="auto" w:val="clear"/>
            <w:vAlign w:val="bottom"/>
          </w:tcPr>
          <w:p>
            <w:pPr>
              <w:pStyle w:val="TableContents"/>
              <w:spacing w:lineRule="atLeast" w:line="160" w:before="0" w:after="0"/>
              <w:ind w:left="0" w:right="0" w:hanging="0"/>
              <w:rPr/>
            </w:pPr>
            <w:r>
              <w:rPr/>
              <w:t> </w:t>
            </w:r>
          </w:p>
        </w:tc>
        <w:tc>
          <w:tcPr>
            <w:tcW w:w="1359"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178" w:type="dxa"/>
            <w:tcBorders/>
            <w:shd w:fill="auto" w:val="clear"/>
            <w:vAlign w:val="bottom"/>
          </w:tcPr>
          <w:p>
            <w:pPr>
              <w:pStyle w:val="TableContents"/>
              <w:spacing w:lineRule="atLeast" w:line="160" w:before="0" w:after="0"/>
              <w:ind w:left="0" w:right="0" w:hanging="0"/>
              <w:rPr/>
            </w:pPr>
            <w:r>
              <w:rPr/>
              <w:t> </w:t>
            </w:r>
          </w:p>
        </w:tc>
        <w:tc>
          <w:tcPr>
            <w:tcW w:w="1363"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122" w:type="dxa"/>
            <w:tcBorders/>
            <w:shd w:fill="auto" w:val="clear"/>
            <w:vAlign w:val="bottom"/>
          </w:tcPr>
          <w:p>
            <w:pPr>
              <w:pStyle w:val="TableContents"/>
              <w:spacing w:lineRule="atLeast" w:line="160" w:before="0" w:after="0"/>
              <w:ind w:left="0" w:right="0" w:hanging="0"/>
              <w:rPr/>
            </w:pPr>
            <w:r>
              <w:rPr/>
              <w:t> </w:t>
            </w:r>
          </w:p>
        </w:tc>
        <w:tc>
          <w:tcPr>
            <w:tcW w:w="1422"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169" w:type="dxa"/>
            <w:tcBorders/>
            <w:shd w:fill="auto" w:val="clear"/>
            <w:vAlign w:val="bottom"/>
          </w:tcPr>
          <w:p>
            <w:pPr>
              <w:pStyle w:val="TableContents"/>
              <w:spacing w:lineRule="atLeast" w:line="160" w:before="0" w:after="0"/>
              <w:ind w:left="0" w:right="0" w:hanging="0"/>
              <w:rPr/>
            </w:pPr>
            <w:r>
              <w:rPr/>
              <w:t> </w:t>
            </w:r>
          </w:p>
        </w:tc>
        <w:tc>
          <w:tcPr>
            <w:tcW w:w="1309"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462" w:type="dxa"/>
            <w:tcBorders/>
            <w:shd w:fill="auto" w:val="clear"/>
            <w:vAlign w:val="bottom"/>
          </w:tcPr>
          <w:p>
            <w:pPr>
              <w:pStyle w:val="TableContents"/>
              <w:spacing w:lineRule="atLeast" w:line="160" w:before="0" w:after="0"/>
              <w:ind w:left="0" w:right="0" w:hanging="0"/>
              <w:rPr/>
            </w:pPr>
            <w:r>
              <w:rPr/>
              <w:t> </w:t>
            </w:r>
          </w:p>
        </w:tc>
      </w:tr>
      <w:tr>
        <w:trPr/>
        <w:tc>
          <w:tcPr>
            <w:tcW w:w="3713" w:type="dxa"/>
            <w:tcBorders/>
            <w:shd w:fill="auto" w:val="clear"/>
            <w:vAlign w:val="bottom"/>
          </w:tcPr>
          <w:p>
            <w:pPr>
              <w:pStyle w:val="TableContents"/>
              <w:spacing w:lineRule="atLeast" w:line="160" w:before="0" w:after="0"/>
              <w:ind w:left="0" w:right="0" w:hanging="0"/>
              <w:rPr/>
            </w:pPr>
            <w:r>
              <w:rPr/>
              <w:t> </w:t>
            </w:r>
          </w:p>
        </w:tc>
        <w:tc>
          <w:tcPr>
            <w:tcW w:w="108" w:type="dxa"/>
            <w:tcBorders/>
            <w:shd w:fill="auto" w:val="clear"/>
            <w:vAlign w:val="bottom"/>
          </w:tcPr>
          <w:p>
            <w:pPr>
              <w:pStyle w:val="TableContents"/>
              <w:spacing w:lineRule="atLeast" w:line="160" w:before="0" w:after="0"/>
              <w:ind w:left="0" w:right="0" w:hanging="0"/>
              <w:rPr/>
            </w:pPr>
            <w:r>
              <w:rPr/>
              <w:t> </w:t>
            </w:r>
          </w:p>
        </w:tc>
        <w:tc>
          <w:tcPr>
            <w:tcW w:w="2900"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 except per unit data)</w:t>
            </w:r>
          </w:p>
        </w:tc>
        <w:tc>
          <w:tcPr>
            <w:tcW w:w="122" w:type="dxa"/>
            <w:tcBorders/>
            <w:shd w:fill="auto" w:val="clear"/>
            <w:vAlign w:val="bottom"/>
          </w:tcPr>
          <w:p>
            <w:pPr>
              <w:pStyle w:val="TableContents"/>
              <w:spacing w:lineRule="atLeast" w:line="160" w:before="0" w:after="0"/>
              <w:ind w:left="0" w:right="0" w:hanging="0"/>
              <w:rPr/>
            </w:pPr>
            <w:r>
              <w:rPr/>
              <w:t> </w:t>
            </w:r>
          </w:p>
        </w:tc>
        <w:tc>
          <w:tcPr>
            <w:tcW w:w="2900"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 except per unit data)</w:t>
            </w:r>
          </w:p>
        </w:tc>
        <w:tc>
          <w:tcPr>
            <w:tcW w:w="462" w:type="dxa"/>
            <w:tcBorders/>
            <w:shd w:fill="auto" w:val="clear"/>
            <w:vAlign w:val="bottom"/>
          </w:tcPr>
          <w:p>
            <w:pPr>
              <w:pStyle w:val="TableContents"/>
              <w:spacing w:lineRule="atLeast" w:line="160" w:before="0" w:after="0"/>
              <w:ind w:left="0" w:right="0" w:hanging="0"/>
              <w:rPr/>
            </w:pPr>
            <w:r>
              <w:rPr/>
              <w:t> </w:t>
            </w:r>
          </w:p>
        </w:tc>
      </w:tr>
      <w:tr>
        <w:trPr/>
        <w:tc>
          <w:tcPr>
            <w:tcW w:w="3713"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359" w:type="dxa"/>
            <w:gridSpan w:val="2"/>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rPr/>
            </w:pPr>
            <w:r>
              <w:rPr/>
              <w:t> </w:t>
            </w:r>
          </w:p>
        </w:tc>
        <w:tc>
          <w:tcPr>
            <w:tcW w:w="1363" w:type="dxa"/>
            <w:gridSpan w:val="2"/>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pPr>
            <w:r>
              <w:rPr/>
              <w:t> </w:t>
            </w:r>
          </w:p>
        </w:tc>
        <w:tc>
          <w:tcPr>
            <w:tcW w:w="1422" w:type="dxa"/>
            <w:gridSpan w:val="2"/>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shd w:fill="auto" w:val="clear"/>
            <w:vAlign w:val="bottom"/>
          </w:tcPr>
          <w:p>
            <w:pPr>
              <w:pStyle w:val="TableContents"/>
              <w:spacing w:before="0" w:after="0"/>
              <w:ind w:left="0" w:right="0" w:hanging="0"/>
              <w:rPr/>
            </w:pPr>
            <w:r>
              <w:rPr/>
              <w:t> </w:t>
            </w:r>
          </w:p>
        </w:tc>
        <w:tc>
          <w:tcPr>
            <w:tcW w:w="4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Numerator:</w:t>
            </w:r>
          </w:p>
        </w:tc>
        <w:tc>
          <w:tcPr>
            <w:tcW w:w="108" w:type="dxa"/>
            <w:tcBorders/>
            <w:shd w:fill="CCEEFF" w:val="clear"/>
            <w:vAlign w:val="bottom"/>
          </w:tcPr>
          <w:p>
            <w:pPr>
              <w:pStyle w:val="TableContents"/>
              <w:spacing w:before="0" w:after="0"/>
              <w:ind w:left="0" w:right="0" w:hanging="0"/>
              <w:rPr/>
            </w:pPr>
            <w:r>
              <w:rPr/>
              <w:t> </w:t>
            </w:r>
          </w:p>
        </w:tc>
        <w:tc>
          <w:tcPr>
            <w:tcW w:w="1359" w:type="dxa"/>
            <w:gridSpan w:val="2"/>
            <w:tcBorders/>
            <w:shd w:fill="CCEEFF" w:val="clear"/>
            <w:vAlign w:val="bottom"/>
          </w:tcPr>
          <w:p>
            <w:pPr>
              <w:pStyle w:val="TableContents"/>
              <w:spacing w:before="0" w:after="0"/>
              <w:ind w:left="0" w:right="0" w:hanging="0"/>
              <w:rPr/>
            </w:pPr>
            <w:r>
              <w:rPr/>
              <w:t> </w:t>
            </w:r>
          </w:p>
        </w:tc>
        <w:tc>
          <w:tcPr>
            <w:tcW w:w="178" w:type="dxa"/>
            <w:tcBorders/>
            <w:shd w:fill="CCEEFF" w:val="clear"/>
            <w:vAlign w:val="bottom"/>
          </w:tcPr>
          <w:p>
            <w:pPr>
              <w:pStyle w:val="TableContents"/>
              <w:spacing w:before="0" w:after="0"/>
              <w:ind w:left="0" w:right="0" w:hanging="0"/>
              <w:rPr/>
            </w:pPr>
            <w:r>
              <w:rPr/>
              <w:t> </w:t>
            </w:r>
          </w:p>
        </w:tc>
        <w:tc>
          <w:tcPr>
            <w:tcW w:w="1363" w:type="dxa"/>
            <w:gridSpan w:val="2"/>
            <w:tcBorders/>
            <w:shd w:fill="CCEEFF" w:val="clear"/>
            <w:vAlign w:val="bottom"/>
          </w:tcPr>
          <w:p>
            <w:pPr>
              <w:pStyle w:val="TableContents"/>
              <w:spacing w:before="0" w:after="0"/>
              <w:ind w:left="0" w:right="0" w:hanging="0"/>
              <w:rPr/>
            </w:pPr>
            <w:r>
              <w:rPr/>
              <w:t> </w:t>
            </w:r>
          </w:p>
        </w:tc>
        <w:tc>
          <w:tcPr>
            <w:tcW w:w="122" w:type="dxa"/>
            <w:tcBorders/>
            <w:shd w:fill="CCEEFF" w:val="clear"/>
            <w:vAlign w:val="bottom"/>
          </w:tcPr>
          <w:p>
            <w:pPr>
              <w:pStyle w:val="TableContents"/>
              <w:spacing w:before="0" w:after="0"/>
              <w:ind w:left="0" w:right="0" w:hanging="0"/>
              <w:rPr/>
            </w:pPr>
            <w:r>
              <w:rPr/>
              <w:t> </w:t>
            </w:r>
          </w:p>
        </w:tc>
        <w:tc>
          <w:tcPr>
            <w:tcW w:w="1422" w:type="dxa"/>
            <w:gridSpan w:val="2"/>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shd w:fill="CCEEFF" w:val="clear"/>
            <w:vAlign w:val="bottom"/>
          </w:tcPr>
          <w:p>
            <w:pPr>
              <w:pStyle w:val="TableContents"/>
              <w:spacing w:before="0" w:after="0"/>
              <w:ind w:left="0" w:right="0" w:hanging="0"/>
              <w:rPr/>
            </w:pPr>
            <w:r>
              <w:rPr/>
              <w:t> </w:t>
            </w:r>
          </w:p>
        </w:tc>
        <w:tc>
          <w:tcPr>
            <w:tcW w:w="462" w:type="dxa"/>
            <w:tcBorders/>
            <w:shd w:fill="CCEEFF" w:val="clear"/>
            <w:vAlign w:val="bottom"/>
          </w:tcPr>
          <w:p>
            <w:pPr>
              <w:pStyle w:val="TableContents"/>
              <w:spacing w:before="0" w:after="0"/>
              <w:ind w:left="0" w:right="0" w:hanging="0"/>
              <w:rPr/>
            </w:pPr>
            <w:r>
              <w:rPr/>
              <w:t> </w:t>
            </w:r>
          </w:p>
        </w:tc>
      </w:tr>
      <w:tr>
        <w:trPr/>
        <w:tc>
          <w:tcPr>
            <w:tcW w:w="37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08" w:type="dxa"/>
            <w:tcBorders/>
            <w:shd w:fill="auto" w:val="clear"/>
            <w:vAlign w:val="bottom"/>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80.3</w:t>
            </w:r>
          </w:p>
        </w:tc>
        <w:tc>
          <w:tcPr>
            <w:tcW w:w="178" w:type="dxa"/>
            <w:tcBorders/>
            <w:shd w:fill="auto" w:val="clear"/>
            <w:vAlign w:val="bottom"/>
          </w:tcPr>
          <w:p>
            <w:pPr>
              <w:pStyle w:val="TableContents"/>
              <w:spacing w:before="0" w:after="0"/>
              <w:ind w:left="0" w:right="0" w:hanging="0"/>
              <w:rPr/>
            </w:pPr>
            <w:r>
              <w:rPr/>
              <w:t> </w:t>
            </w:r>
          </w:p>
        </w:tc>
        <w:tc>
          <w:tcPr>
            <w:tcW w:w="221"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62.3</w:t>
            </w:r>
          </w:p>
        </w:tc>
        <w:tc>
          <w:tcPr>
            <w:tcW w:w="122"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143.7</w:t>
            </w:r>
          </w:p>
        </w:tc>
        <w:tc>
          <w:tcPr>
            <w:tcW w:w="169"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0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95.1</w:t>
            </w:r>
          </w:p>
        </w:tc>
        <w:tc>
          <w:tcPr>
            <w:tcW w:w="4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Less: General partners incentive distribution paid</w:t>
            </w:r>
          </w:p>
        </w:tc>
        <w:tc>
          <w:tcPr>
            <w:tcW w:w="108" w:type="dxa"/>
            <w:tcBorders/>
            <w:shd w:fill="CCEEFF" w:val="clear"/>
            <w:vAlign w:val="bottom"/>
          </w:tcPr>
          <w:p>
            <w:pPr>
              <w:pStyle w:val="TableContents"/>
              <w:spacing w:before="0" w:after="0"/>
              <w:ind w:left="0" w:right="0" w:hanging="0"/>
              <w:rPr/>
            </w:pPr>
            <w:r>
              <w:rPr/>
              <w:t> </w:t>
            </w:r>
          </w:p>
        </w:tc>
        <w:tc>
          <w:tcPr>
            <w:tcW w:w="135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(7.4</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3"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2"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(12.9</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(6.4</w:t>
            </w:r>
          </w:p>
        </w:tc>
        <w:tc>
          <w:tcPr>
            <w:tcW w:w="4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108" w:type="dxa"/>
            <w:tcBorders/>
            <w:shd w:fill="auto" w:val="clear"/>
            <w:vAlign w:val="bottom"/>
          </w:tcPr>
          <w:p>
            <w:pPr>
              <w:pStyle w:val="TableContents"/>
              <w:spacing w:before="0" w:after="0"/>
              <w:ind w:left="0" w:right="0" w:hanging="0"/>
              <w:rPr/>
            </w:pPr>
            <w:r>
              <w:rPr/>
              <w:t> </w:t>
            </w:r>
          </w:p>
        </w:tc>
        <w:tc>
          <w:tcPr>
            <w:tcW w:w="135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72.9</w:t>
            </w:r>
          </w:p>
        </w:tc>
        <w:tc>
          <w:tcPr>
            <w:tcW w:w="178" w:type="dxa"/>
            <w:tcBorders/>
            <w:shd w:fill="auto" w:val="clear"/>
            <w:vAlign w:val="bottom"/>
          </w:tcPr>
          <w:p>
            <w:pPr>
              <w:pStyle w:val="TableContents"/>
              <w:spacing w:before="0" w:after="0"/>
              <w:ind w:left="0" w:right="0" w:hanging="0"/>
              <w:rPr/>
            </w:pPr>
            <w:r>
              <w:rPr/>
              <w:t> </w:t>
            </w:r>
          </w:p>
        </w:tc>
        <w:tc>
          <w:tcPr>
            <w:tcW w:w="1363"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58.8</w:t>
            </w:r>
          </w:p>
        </w:tc>
        <w:tc>
          <w:tcPr>
            <w:tcW w:w="122" w:type="dxa"/>
            <w:tcBorders/>
            <w:shd w:fill="auto" w:val="clear"/>
            <w:vAlign w:val="bottom"/>
          </w:tcPr>
          <w:p>
            <w:pPr>
              <w:pStyle w:val="TableContents"/>
              <w:spacing w:before="0" w:after="0"/>
              <w:ind w:left="0" w:right="0" w:hanging="0"/>
              <w:rPr/>
            </w:pPr>
            <w:r>
              <w:rPr/>
              <w:t> </w:t>
            </w:r>
          </w:p>
        </w:tc>
        <w:tc>
          <w:tcPr>
            <w:tcW w:w="1422"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130.8</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88.7</w:t>
            </w:r>
          </w:p>
        </w:tc>
        <w:tc>
          <w:tcPr>
            <w:tcW w:w="4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General partner 2% ownership</w:t>
            </w:r>
          </w:p>
        </w:tc>
        <w:tc>
          <w:tcPr>
            <w:tcW w:w="108" w:type="dxa"/>
            <w:tcBorders/>
            <w:shd w:fill="CCEEFF" w:val="clear"/>
            <w:vAlign w:val="bottom"/>
          </w:tcPr>
          <w:p>
            <w:pPr>
              <w:pStyle w:val="TableContents"/>
              <w:spacing w:before="0" w:after="0"/>
              <w:ind w:left="0" w:right="0" w:hanging="0"/>
              <w:rPr/>
            </w:pPr>
            <w:r>
              <w:rPr/>
              <w:t> </w:t>
            </w:r>
          </w:p>
        </w:tc>
        <w:tc>
          <w:tcPr>
            <w:tcW w:w="135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(1.5</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3"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2"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(2.6</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(1.8</w:t>
            </w:r>
          </w:p>
        </w:tc>
        <w:tc>
          <w:tcPr>
            <w:tcW w:w="4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108" w:type="dxa"/>
            <w:tcBorders/>
            <w:shd w:fill="auto" w:val="clear"/>
            <w:vAlign w:val="bottom"/>
          </w:tcPr>
          <w:p>
            <w:pPr>
              <w:pStyle w:val="TableContents"/>
              <w:spacing w:before="0" w:after="0"/>
              <w:ind w:left="0" w:right="0" w:hanging="0"/>
              <w:rPr/>
            </w:pPr>
            <w:r>
              <w:rPr/>
              <w:t> </w:t>
            </w:r>
          </w:p>
        </w:tc>
        <w:tc>
          <w:tcPr>
            <w:tcW w:w="135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71.4</w:t>
            </w:r>
          </w:p>
        </w:tc>
        <w:tc>
          <w:tcPr>
            <w:tcW w:w="178" w:type="dxa"/>
            <w:tcBorders/>
            <w:shd w:fill="auto" w:val="clear"/>
            <w:vAlign w:val="bottom"/>
          </w:tcPr>
          <w:p>
            <w:pPr>
              <w:pStyle w:val="TableContents"/>
              <w:spacing w:before="0" w:after="0"/>
              <w:ind w:left="0" w:right="0" w:hanging="0"/>
              <w:rPr/>
            </w:pPr>
            <w:r>
              <w:rPr/>
              <w:t> </w:t>
            </w:r>
          </w:p>
        </w:tc>
        <w:tc>
          <w:tcPr>
            <w:tcW w:w="1363"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57.6</w:t>
            </w:r>
          </w:p>
        </w:tc>
        <w:tc>
          <w:tcPr>
            <w:tcW w:w="122" w:type="dxa"/>
            <w:tcBorders/>
            <w:shd w:fill="auto" w:val="clear"/>
            <w:vAlign w:val="bottom"/>
          </w:tcPr>
          <w:p>
            <w:pPr>
              <w:pStyle w:val="TableContents"/>
              <w:spacing w:before="0" w:after="0"/>
              <w:ind w:left="0" w:right="0" w:hanging="0"/>
              <w:rPr/>
            </w:pPr>
            <w:r>
              <w:rPr/>
              <w:t> </w:t>
            </w:r>
          </w:p>
        </w:tc>
        <w:tc>
          <w:tcPr>
            <w:tcW w:w="1422"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128.2</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86.9</w:t>
            </w:r>
          </w:p>
        </w:tc>
        <w:tc>
          <w:tcPr>
            <w:tcW w:w="4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EITF 03-06 additional general partners distribution </w:t>
            </w:r>
          </w:p>
        </w:tc>
        <w:tc>
          <w:tcPr>
            <w:tcW w:w="108" w:type="dxa"/>
            <w:tcBorders/>
            <w:shd w:fill="CCEEFF" w:val="clear"/>
            <w:vAlign w:val="bottom"/>
          </w:tcPr>
          <w:p>
            <w:pPr>
              <w:pStyle w:val="TableContents"/>
              <w:spacing w:before="0" w:after="0"/>
              <w:ind w:left="0" w:right="0" w:hanging="0"/>
              <w:rPr/>
            </w:pPr>
            <w:r>
              <w:rPr/>
              <w:t> </w:t>
            </w:r>
          </w:p>
        </w:tc>
        <w:tc>
          <w:tcPr>
            <w:tcW w:w="135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(8.2</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3"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(6.2</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2"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(11.2</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(0.6</w:t>
            </w:r>
          </w:p>
        </w:tc>
        <w:tc>
          <w:tcPr>
            <w:tcW w:w="4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713"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359" w:type="dxa"/>
            <w:gridSpan w:val="2"/>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rPr/>
            </w:pPr>
            <w:r>
              <w:rPr/>
              <w:t> </w:t>
            </w:r>
          </w:p>
        </w:tc>
        <w:tc>
          <w:tcPr>
            <w:tcW w:w="1363" w:type="dxa"/>
            <w:gridSpan w:val="2"/>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pPr>
            <w:r>
              <w:rPr/>
              <w:t> </w:t>
            </w:r>
          </w:p>
        </w:tc>
        <w:tc>
          <w:tcPr>
            <w:tcW w:w="1422" w:type="dxa"/>
            <w:gridSpan w:val="2"/>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shd w:fill="auto" w:val="clear"/>
            <w:vAlign w:val="bottom"/>
          </w:tcPr>
          <w:p>
            <w:pPr>
              <w:pStyle w:val="TableContents"/>
              <w:spacing w:before="0" w:after="0"/>
              <w:ind w:left="0" w:right="0" w:hanging="0"/>
              <w:rPr/>
            </w:pPr>
            <w:r>
              <w:rPr/>
              <w:t> </w:t>
            </w:r>
          </w:p>
        </w:tc>
        <w:tc>
          <w:tcPr>
            <w:tcW w:w="4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under EITF 03-06</w:t>
            </w:r>
          </w:p>
        </w:tc>
        <w:tc>
          <w:tcPr>
            <w:tcW w:w="108" w:type="dxa"/>
            <w:tcBorders/>
            <w:shd w:fill="CCEEFF" w:val="clear"/>
            <w:vAlign w:val="bottom"/>
          </w:tcPr>
          <w:p>
            <w:pPr>
              <w:pStyle w:val="TableContents"/>
              <w:spacing w:before="0" w:after="0"/>
              <w:ind w:left="0" w:right="0" w:hanging="0"/>
              <w:rPr/>
            </w:pPr>
            <w:r>
              <w:rPr/>
              <w:t> </w:t>
            </w:r>
          </w:p>
        </w:tc>
        <w:tc>
          <w:tcPr>
            <w:tcW w:w="22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63.2</w:t>
            </w:r>
          </w:p>
        </w:tc>
        <w:tc>
          <w:tcPr>
            <w:tcW w:w="178" w:type="dxa"/>
            <w:tcBorders/>
            <w:shd w:fill="CCEEFF" w:val="clear"/>
            <w:vAlign w:val="bottom"/>
          </w:tcPr>
          <w:p>
            <w:pPr>
              <w:pStyle w:val="TableContents"/>
              <w:spacing w:before="0" w:after="0"/>
              <w:ind w:left="0" w:right="0" w:hanging="0"/>
              <w:rPr/>
            </w:pPr>
            <w:r>
              <w:rPr/>
              <w:t> </w:t>
            </w:r>
          </w:p>
        </w:tc>
        <w:tc>
          <w:tcPr>
            <w:tcW w:w="22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51.4</w:t>
            </w:r>
          </w:p>
        </w:tc>
        <w:tc>
          <w:tcPr>
            <w:tcW w:w="122"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117.0</w:t>
            </w:r>
          </w:p>
        </w:tc>
        <w:tc>
          <w:tcPr>
            <w:tcW w:w="169"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86.3</w:t>
            </w:r>
          </w:p>
        </w:tc>
        <w:tc>
          <w:tcPr>
            <w:tcW w:w="462" w:type="dxa"/>
            <w:tcBorders/>
            <w:shd w:fill="CCEEFF" w:val="clear"/>
            <w:vAlign w:val="bottom"/>
          </w:tcPr>
          <w:p>
            <w:pPr>
              <w:pStyle w:val="TableContents"/>
              <w:spacing w:before="0" w:after="0"/>
              <w:ind w:left="0" w:right="0" w:hanging="0"/>
              <w:rPr/>
            </w:pPr>
            <w:r>
              <w:rPr/>
              <w:t> </w:t>
            </w:r>
          </w:p>
        </w:tc>
      </w:tr>
      <w:tr>
        <w:trPr/>
        <w:tc>
          <w:tcPr>
            <w:tcW w:w="37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Less: Limited partner 98% portion of cumulative effect of change in accounting principle</w:t>
            </w:r>
          </w:p>
        </w:tc>
        <w:tc>
          <w:tcPr>
            <w:tcW w:w="108" w:type="dxa"/>
            <w:tcBorders/>
            <w:shd w:fill="auto" w:val="clear"/>
            <w:vAlign w:val="bottom"/>
          </w:tcPr>
          <w:p>
            <w:pPr>
              <w:pStyle w:val="TableContents"/>
              <w:spacing w:before="0" w:after="0"/>
              <w:ind w:left="0" w:right="0" w:hanging="0"/>
              <w:rPr/>
            </w:pPr>
            <w:r>
              <w:rPr/>
              <w:t> </w:t>
            </w:r>
          </w:p>
        </w:tc>
        <w:tc>
          <w:tcPr>
            <w:tcW w:w="135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8" w:type="dxa"/>
            <w:tcBorders/>
            <w:shd w:fill="auto" w:val="clear"/>
            <w:vAlign w:val="bottom"/>
          </w:tcPr>
          <w:p>
            <w:pPr>
              <w:pStyle w:val="TableContents"/>
              <w:spacing w:before="0" w:after="0"/>
              <w:ind w:left="0" w:right="0" w:hanging="0"/>
              <w:rPr/>
            </w:pPr>
            <w:r>
              <w:rPr/>
              <w:t> </w:t>
            </w:r>
          </w:p>
        </w:tc>
        <w:tc>
          <w:tcPr>
            <w:tcW w:w="1363"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 w:type="dxa"/>
            <w:tcBorders/>
            <w:shd w:fill="auto" w:val="clear"/>
            <w:vAlign w:val="bottom"/>
          </w:tcPr>
          <w:p>
            <w:pPr>
              <w:pStyle w:val="TableContents"/>
              <w:spacing w:before="0" w:after="0"/>
              <w:ind w:left="0" w:right="0" w:hanging="0"/>
              <w:rPr/>
            </w:pPr>
            <w:r>
              <w:rPr/>
              <w:t> </w:t>
            </w:r>
          </w:p>
        </w:tc>
        <w:tc>
          <w:tcPr>
            <w:tcW w:w="1422"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6.2</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Limted partner net income before cumulative effect of change in accounting principle</w:t>
            </w:r>
          </w:p>
        </w:tc>
        <w:tc>
          <w:tcPr>
            <w:tcW w:w="108" w:type="dxa"/>
            <w:tcBorders/>
            <w:shd w:fill="CCEEFF" w:val="clear"/>
            <w:vAlign w:val="bottom"/>
          </w:tcPr>
          <w:p>
            <w:pPr>
              <w:pStyle w:val="TableContents"/>
              <w:spacing w:before="0" w:after="0"/>
              <w:ind w:left="0" w:right="0" w:hanging="0"/>
              <w:rPr/>
            </w:pPr>
            <w:r>
              <w:rPr/>
              <w:t> </w:t>
            </w:r>
          </w:p>
        </w:tc>
        <w:tc>
          <w:tcPr>
            <w:tcW w:w="22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3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63.2</w:t>
            </w:r>
          </w:p>
        </w:tc>
        <w:tc>
          <w:tcPr>
            <w:tcW w:w="178" w:type="dxa"/>
            <w:tcBorders/>
            <w:shd w:fill="CCEEFF" w:val="clear"/>
            <w:vAlign w:val="bottom"/>
          </w:tcPr>
          <w:p>
            <w:pPr>
              <w:pStyle w:val="TableContents"/>
              <w:spacing w:before="0" w:after="0"/>
              <w:ind w:left="0" w:right="0" w:hanging="0"/>
              <w:rPr/>
            </w:pPr>
            <w:r>
              <w:rPr/>
              <w:t> </w:t>
            </w:r>
          </w:p>
        </w:tc>
        <w:tc>
          <w:tcPr>
            <w:tcW w:w="22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4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51.4</w:t>
            </w:r>
          </w:p>
        </w:tc>
        <w:tc>
          <w:tcPr>
            <w:tcW w:w="122" w:type="dxa"/>
            <w:tcBorders/>
            <w:shd w:fill="CCEEFF" w:val="clear"/>
            <w:vAlign w:val="bottom"/>
          </w:tcPr>
          <w:p>
            <w:pPr>
              <w:pStyle w:val="TableContents"/>
              <w:spacing w:before="0" w:after="0"/>
              <w:ind w:left="0" w:right="0" w:hanging="0"/>
              <w:rPr/>
            </w:pPr>
            <w:r>
              <w:rPr/>
              <w:t> </w:t>
            </w:r>
          </w:p>
        </w:tc>
        <w:tc>
          <w:tcPr>
            <w:tcW w:w="208"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21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110.8</w:t>
            </w:r>
          </w:p>
        </w:tc>
        <w:tc>
          <w:tcPr>
            <w:tcW w:w="169" w:type="dxa"/>
            <w:tcBorders/>
            <w:shd w:fill="CCEEFF" w:val="clear"/>
            <w:vAlign w:val="bottom"/>
          </w:tcPr>
          <w:p>
            <w:pPr>
              <w:pStyle w:val="TableContents"/>
              <w:spacing w:before="0" w:after="0"/>
              <w:ind w:left="0" w:right="0" w:hanging="0"/>
              <w:rPr/>
            </w:pPr>
            <w:r>
              <w:rPr/>
              <w:t> </w:t>
            </w:r>
          </w:p>
        </w:tc>
        <w:tc>
          <w:tcPr>
            <w:tcW w:w="208"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0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86.3</w:t>
            </w:r>
          </w:p>
        </w:tc>
        <w:tc>
          <w:tcPr>
            <w:tcW w:w="462" w:type="dxa"/>
            <w:tcBorders/>
            <w:shd w:fill="CCEEFF" w:val="clear"/>
            <w:vAlign w:val="bottom"/>
          </w:tcPr>
          <w:p>
            <w:pPr>
              <w:pStyle w:val="TableContents"/>
              <w:spacing w:before="0" w:after="0"/>
              <w:ind w:left="0" w:right="0" w:hanging="0"/>
              <w:rPr/>
            </w:pPr>
            <w:r>
              <w:rPr/>
              <w:t> </w:t>
            </w:r>
          </w:p>
        </w:tc>
      </w:tr>
      <w:tr>
        <w:trPr/>
        <w:tc>
          <w:tcPr>
            <w:tcW w:w="3713"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359" w:type="dxa"/>
            <w:gridSpan w:val="2"/>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rPr/>
            </w:pPr>
            <w:r>
              <w:rPr/>
              <w:t> </w:t>
            </w:r>
          </w:p>
        </w:tc>
        <w:tc>
          <w:tcPr>
            <w:tcW w:w="1363" w:type="dxa"/>
            <w:gridSpan w:val="2"/>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pPr>
            <w:r>
              <w:rPr/>
              <w:t> </w:t>
            </w:r>
          </w:p>
        </w:tc>
        <w:tc>
          <w:tcPr>
            <w:tcW w:w="1422" w:type="dxa"/>
            <w:gridSpan w:val="2"/>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shd w:fill="auto" w:val="clear"/>
            <w:vAlign w:val="bottom"/>
          </w:tcPr>
          <w:p>
            <w:pPr>
              <w:pStyle w:val="TableContents"/>
              <w:spacing w:before="0" w:after="0"/>
              <w:ind w:left="0" w:right="0" w:hanging="0"/>
              <w:rPr/>
            </w:pPr>
            <w:r>
              <w:rPr/>
              <w:t> </w:t>
            </w:r>
          </w:p>
        </w:tc>
        <w:tc>
          <w:tcPr>
            <w:tcW w:w="4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108" w:type="dxa"/>
            <w:tcBorders/>
            <w:shd w:fill="CCEEFF" w:val="clear"/>
            <w:vAlign w:val="bottom"/>
          </w:tcPr>
          <w:p>
            <w:pPr>
              <w:pStyle w:val="TableContents"/>
              <w:spacing w:before="0" w:after="0"/>
              <w:ind w:left="0" w:right="0" w:hanging="0"/>
              <w:rPr/>
            </w:pPr>
            <w:r>
              <w:rPr/>
              <w:t> </w:t>
            </w:r>
          </w:p>
        </w:tc>
        <w:tc>
          <w:tcPr>
            <w:tcW w:w="1359" w:type="dxa"/>
            <w:gridSpan w:val="2"/>
            <w:tcBorders/>
            <w:shd w:fill="CCEEFF" w:val="clear"/>
            <w:vAlign w:val="bottom"/>
          </w:tcPr>
          <w:p>
            <w:pPr>
              <w:pStyle w:val="TableContents"/>
              <w:spacing w:before="0" w:after="0"/>
              <w:ind w:left="0" w:right="0" w:hanging="0"/>
              <w:rPr/>
            </w:pPr>
            <w:r>
              <w:rPr/>
              <w:t> </w:t>
            </w:r>
          </w:p>
        </w:tc>
        <w:tc>
          <w:tcPr>
            <w:tcW w:w="178" w:type="dxa"/>
            <w:tcBorders/>
            <w:shd w:fill="CCEEFF" w:val="clear"/>
            <w:vAlign w:val="bottom"/>
          </w:tcPr>
          <w:p>
            <w:pPr>
              <w:pStyle w:val="TableContents"/>
              <w:spacing w:before="0" w:after="0"/>
              <w:ind w:left="0" w:right="0" w:hanging="0"/>
              <w:rPr/>
            </w:pPr>
            <w:r>
              <w:rPr/>
              <w:t> </w:t>
            </w:r>
          </w:p>
        </w:tc>
        <w:tc>
          <w:tcPr>
            <w:tcW w:w="1363" w:type="dxa"/>
            <w:gridSpan w:val="2"/>
            <w:tcBorders/>
            <w:shd w:fill="CCEEFF" w:val="clear"/>
            <w:vAlign w:val="bottom"/>
          </w:tcPr>
          <w:p>
            <w:pPr>
              <w:pStyle w:val="TableContents"/>
              <w:spacing w:before="0" w:after="0"/>
              <w:ind w:left="0" w:right="0" w:hanging="0"/>
              <w:rPr/>
            </w:pPr>
            <w:r>
              <w:rPr/>
              <w:t> </w:t>
            </w:r>
          </w:p>
        </w:tc>
        <w:tc>
          <w:tcPr>
            <w:tcW w:w="122" w:type="dxa"/>
            <w:tcBorders/>
            <w:shd w:fill="CCEEFF" w:val="clear"/>
            <w:vAlign w:val="bottom"/>
          </w:tcPr>
          <w:p>
            <w:pPr>
              <w:pStyle w:val="TableContents"/>
              <w:spacing w:before="0" w:after="0"/>
              <w:ind w:left="0" w:right="0" w:hanging="0"/>
              <w:rPr/>
            </w:pPr>
            <w:r>
              <w:rPr/>
              <w:t> </w:t>
            </w:r>
          </w:p>
        </w:tc>
        <w:tc>
          <w:tcPr>
            <w:tcW w:w="1422" w:type="dxa"/>
            <w:gridSpan w:val="2"/>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shd w:fill="CCEEFF" w:val="clear"/>
            <w:vAlign w:val="bottom"/>
          </w:tcPr>
          <w:p>
            <w:pPr>
              <w:pStyle w:val="TableContents"/>
              <w:spacing w:before="0" w:after="0"/>
              <w:ind w:left="0" w:right="0" w:hanging="0"/>
              <w:rPr/>
            </w:pPr>
            <w:r>
              <w:rPr/>
              <w:t> </w:t>
            </w:r>
          </w:p>
        </w:tc>
        <w:tc>
          <w:tcPr>
            <w:tcW w:w="462" w:type="dxa"/>
            <w:tcBorders/>
            <w:shd w:fill="CCEEFF" w:val="clear"/>
            <w:vAlign w:val="bottom"/>
          </w:tcPr>
          <w:p>
            <w:pPr>
              <w:pStyle w:val="TableContents"/>
              <w:spacing w:before="0" w:after="0"/>
              <w:ind w:left="0" w:right="0" w:hanging="0"/>
              <w:rPr/>
            </w:pPr>
            <w:r>
              <w:rPr/>
              <w:t> </w:t>
            </w:r>
          </w:p>
        </w:tc>
      </w:tr>
      <w:tr>
        <w:trPr/>
        <w:tc>
          <w:tcPr>
            <w:tcW w:w="37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Basic earnings per limited partner unit (weighted average number of limited partner units outstanding)</w:t>
            </w:r>
          </w:p>
        </w:tc>
        <w:tc>
          <w:tcPr>
            <w:tcW w:w="108" w:type="dxa"/>
            <w:tcBorders/>
            <w:shd w:fill="auto" w:val="clear"/>
            <w:vAlign w:val="bottom"/>
          </w:tcPr>
          <w:p>
            <w:pPr>
              <w:pStyle w:val="TableContents"/>
              <w:spacing w:before="0" w:after="0"/>
              <w:ind w:left="0" w:right="0" w:hanging="0"/>
              <w:rPr/>
            </w:pPr>
            <w:r>
              <w:rPr/>
              <w:t> </w:t>
            </w:r>
          </w:p>
        </w:tc>
        <w:tc>
          <w:tcPr>
            <w:tcW w:w="135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77.0</w:t>
            </w:r>
          </w:p>
        </w:tc>
        <w:tc>
          <w:tcPr>
            <w:tcW w:w="178" w:type="dxa"/>
            <w:tcBorders/>
            <w:shd w:fill="auto" w:val="clear"/>
            <w:vAlign w:val="bottom"/>
          </w:tcPr>
          <w:p>
            <w:pPr>
              <w:pStyle w:val="TableContents"/>
              <w:spacing w:before="0" w:after="0"/>
              <w:ind w:left="0" w:right="0" w:hanging="0"/>
              <w:rPr/>
            </w:pPr>
            <w:r>
              <w:rPr/>
              <w:t> </w:t>
            </w:r>
          </w:p>
        </w:tc>
        <w:tc>
          <w:tcPr>
            <w:tcW w:w="1363"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67.9</w:t>
            </w:r>
          </w:p>
        </w:tc>
        <w:tc>
          <w:tcPr>
            <w:tcW w:w="122" w:type="dxa"/>
            <w:tcBorders/>
            <w:shd w:fill="auto" w:val="clear"/>
            <w:vAlign w:val="bottom"/>
          </w:tcPr>
          <w:p>
            <w:pPr>
              <w:pStyle w:val="TableContents"/>
              <w:spacing w:before="0" w:after="0"/>
              <w:ind w:left="0" w:right="0" w:hanging="0"/>
              <w:rPr/>
            </w:pPr>
            <w:r>
              <w:rPr/>
              <w:t> </w:t>
            </w:r>
          </w:p>
        </w:tc>
        <w:tc>
          <w:tcPr>
            <w:tcW w:w="1422"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75.5</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67.7</w:t>
            </w:r>
          </w:p>
        </w:tc>
        <w:tc>
          <w:tcPr>
            <w:tcW w:w="4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108" w:type="dxa"/>
            <w:tcBorders/>
            <w:shd w:fill="CCEEFF" w:val="clear"/>
            <w:vAlign w:val="bottom"/>
          </w:tcPr>
          <w:p>
            <w:pPr>
              <w:pStyle w:val="TableContents"/>
              <w:spacing w:before="0" w:after="0"/>
              <w:ind w:left="0" w:right="0" w:hanging="0"/>
              <w:rPr/>
            </w:pPr>
            <w:r>
              <w:rPr/>
              <w:t> </w:t>
            </w:r>
          </w:p>
        </w:tc>
        <w:tc>
          <w:tcPr>
            <w:tcW w:w="1359" w:type="dxa"/>
            <w:gridSpan w:val="2"/>
            <w:tcBorders/>
            <w:shd w:fill="CCEEFF" w:val="clear"/>
            <w:vAlign w:val="bottom"/>
          </w:tcPr>
          <w:p>
            <w:pPr>
              <w:pStyle w:val="TableContents"/>
              <w:spacing w:before="0" w:after="0"/>
              <w:ind w:left="0" w:right="0" w:hanging="0"/>
              <w:rPr/>
            </w:pPr>
            <w:r>
              <w:rPr/>
              <w:t> </w:t>
            </w:r>
          </w:p>
        </w:tc>
        <w:tc>
          <w:tcPr>
            <w:tcW w:w="178" w:type="dxa"/>
            <w:tcBorders/>
            <w:shd w:fill="CCEEFF" w:val="clear"/>
            <w:vAlign w:val="bottom"/>
          </w:tcPr>
          <w:p>
            <w:pPr>
              <w:pStyle w:val="TableContents"/>
              <w:spacing w:before="0" w:after="0"/>
              <w:ind w:left="0" w:right="0" w:hanging="0"/>
              <w:rPr/>
            </w:pPr>
            <w:r>
              <w:rPr/>
              <w:t> </w:t>
            </w:r>
          </w:p>
        </w:tc>
        <w:tc>
          <w:tcPr>
            <w:tcW w:w="1363" w:type="dxa"/>
            <w:gridSpan w:val="2"/>
            <w:tcBorders/>
            <w:shd w:fill="CCEEFF" w:val="clear"/>
            <w:vAlign w:val="bottom"/>
          </w:tcPr>
          <w:p>
            <w:pPr>
              <w:pStyle w:val="TableContents"/>
              <w:spacing w:before="0" w:after="0"/>
              <w:ind w:left="0" w:right="0" w:hanging="0"/>
              <w:rPr/>
            </w:pPr>
            <w:r>
              <w:rPr/>
              <w:t> </w:t>
            </w:r>
          </w:p>
        </w:tc>
        <w:tc>
          <w:tcPr>
            <w:tcW w:w="122" w:type="dxa"/>
            <w:tcBorders/>
            <w:shd w:fill="CCEEFF" w:val="clear"/>
            <w:vAlign w:val="bottom"/>
          </w:tcPr>
          <w:p>
            <w:pPr>
              <w:pStyle w:val="TableContents"/>
              <w:spacing w:before="0" w:after="0"/>
              <w:ind w:left="0" w:right="0" w:hanging="0"/>
              <w:rPr/>
            </w:pPr>
            <w:r>
              <w:rPr/>
              <w:t> </w:t>
            </w:r>
          </w:p>
        </w:tc>
        <w:tc>
          <w:tcPr>
            <w:tcW w:w="1422" w:type="dxa"/>
            <w:gridSpan w:val="2"/>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shd w:fill="CCEEFF" w:val="clear"/>
            <w:vAlign w:val="bottom"/>
          </w:tcPr>
          <w:p>
            <w:pPr>
              <w:pStyle w:val="TableContents"/>
              <w:spacing w:before="0" w:after="0"/>
              <w:ind w:left="0" w:right="0" w:hanging="0"/>
              <w:rPr/>
            </w:pPr>
            <w:r>
              <w:rPr/>
              <w:t> </w:t>
            </w:r>
          </w:p>
        </w:tc>
        <w:tc>
          <w:tcPr>
            <w:tcW w:w="462" w:type="dxa"/>
            <w:tcBorders/>
            <w:shd w:fill="CCEEFF" w:val="clear"/>
            <w:vAlign w:val="bottom"/>
          </w:tcPr>
          <w:p>
            <w:pPr>
              <w:pStyle w:val="TableContents"/>
              <w:spacing w:before="0" w:after="0"/>
              <w:ind w:left="0" w:right="0" w:hanging="0"/>
              <w:rPr/>
            </w:pPr>
            <w:r>
              <w:rPr/>
              <w:t> </w:t>
            </w:r>
          </w:p>
        </w:tc>
      </w:tr>
      <w:tr>
        <w:trPr/>
        <w:tc>
          <w:tcPr>
            <w:tcW w:w="37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Weighted average LTIP units outstanding (1)</w:t>
            </w:r>
          </w:p>
        </w:tc>
        <w:tc>
          <w:tcPr>
            <w:tcW w:w="108" w:type="dxa"/>
            <w:tcBorders/>
            <w:shd w:fill="auto" w:val="clear"/>
            <w:vAlign w:val="bottom"/>
          </w:tcPr>
          <w:p>
            <w:pPr>
              <w:pStyle w:val="TableContents"/>
              <w:spacing w:before="0" w:after="0"/>
              <w:ind w:left="0" w:right="0" w:hanging="0"/>
              <w:rPr/>
            </w:pPr>
            <w:r>
              <w:rPr/>
              <w:t> </w:t>
            </w:r>
          </w:p>
        </w:tc>
        <w:tc>
          <w:tcPr>
            <w:tcW w:w="135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0.8</w:t>
            </w:r>
          </w:p>
        </w:tc>
        <w:tc>
          <w:tcPr>
            <w:tcW w:w="178" w:type="dxa"/>
            <w:tcBorders/>
            <w:shd w:fill="auto" w:val="clear"/>
            <w:vAlign w:val="bottom"/>
          </w:tcPr>
          <w:p>
            <w:pPr>
              <w:pStyle w:val="TableContents"/>
              <w:spacing w:before="0" w:after="0"/>
              <w:ind w:left="0" w:right="0" w:hanging="0"/>
              <w:rPr/>
            </w:pPr>
            <w:r>
              <w:rPr/>
              <w:t> </w:t>
            </w:r>
          </w:p>
        </w:tc>
        <w:tc>
          <w:tcPr>
            <w:tcW w:w="1363"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1.4</w:t>
            </w:r>
          </w:p>
        </w:tc>
        <w:tc>
          <w:tcPr>
            <w:tcW w:w="122" w:type="dxa"/>
            <w:tcBorders/>
            <w:shd w:fill="auto" w:val="clear"/>
            <w:vAlign w:val="bottom"/>
          </w:tcPr>
          <w:p>
            <w:pPr>
              <w:pStyle w:val="TableContents"/>
              <w:spacing w:before="0" w:after="0"/>
              <w:ind w:left="0" w:right="0" w:hanging="0"/>
              <w:rPr/>
            </w:pPr>
            <w:r>
              <w:rPr/>
              <w:t> </w:t>
            </w:r>
          </w:p>
        </w:tc>
        <w:tc>
          <w:tcPr>
            <w:tcW w:w="1422"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0.8</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w:t>
            </w:r>
          </w:p>
        </w:tc>
        <w:tc>
          <w:tcPr>
            <w:tcW w:w="4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earnings per limited partner unit (weighted average number of limited partner units outstanding)</w:t>
            </w:r>
          </w:p>
        </w:tc>
        <w:tc>
          <w:tcPr>
            <w:tcW w:w="108" w:type="dxa"/>
            <w:tcBorders/>
            <w:shd w:fill="CCEEFF" w:val="clear"/>
            <w:vAlign w:val="bottom"/>
          </w:tcPr>
          <w:p>
            <w:pPr>
              <w:pStyle w:val="TableContents"/>
              <w:spacing w:before="0" w:after="0"/>
              <w:ind w:left="0" w:right="0" w:hanging="0"/>
              <w:rPr/>
            </w:pPr>
            <w:r>
              <w:rPr/>
              <w:t> </w:t>
            </w:r>
          </w:p>
        </w:tc>
        <w:tc>
          <w:tcPr>
            <w:tcW w:w="1359"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77.8</w:t>
            </w:r>
          </w:p>
        </w:tc>
        <w:tc>
          <w:tcPr>
            <w:tcW w:w="178" w:type="dxa"/>
            <w:tcBorders/>
            <w:shd w:fill="CCEEFF" w:val="clear"/>
            <w:vAlign w:val="bottom"/>
          </w:tcPr>
          <w:p>
            <w:pPr>
              <w:pStyle w:val="TableContents"/>
              <w:spacing w:before="0" w:after="0"/>
              <w:ind w:left="0" w:right="0" w:hanging="0"/>
              <w:rPr/>
            </w:pPr>
            <w:r>
              <w:rPr/>
              <w:t> </w:t>
            </w:r>
          </w:p>
        </w:tc>
        <w:tc>
          <w:tcPr>
            <w:tcW w:w="1363"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69.3</w:t>
            </w:r>
          </w:p>
        </w:tc>
        <w:tc>
          <w:tcPr>
            <w:tcW w:w="122" w:type="dxa"/>
            <w:tcBorders/>
            <w:shd w:fill="CCEEFF" w:val="clear"/>
            <w:vAlign w:val="bottom"/>
          </w:tcPr>
          <w:p>
            <w:pPr>
              <w:pStyle w:val="TableContents"/>
              <w:spacing w:before="0" w:after="0"/>
              <w:ind w:left="0" w:right="0" w:hanging="0"/>
              <w:rPr/>
            </w:pPr>
            <w:r>
              <w:rPr/>
              <w:t> </w:t>
            </w:r>
          </w:p>
        </w:tc>
        <w:tc>
          <w:tcPr>
            <w:tcW w:w="1422"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76.3</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68.7</w:t>
            </w:r>
          </w:p>
        </w:tc>
        <w:tc>
          <w:tcPr>
            <w:tcW w:w="462" w:type="dxa"/>
            <w:tcBorders/>
            <w:shd w:fill="CCEEFF" w:val="clear"/>
            <w:vAlign w:val="bottom"/>
          </w:tcPr>
          <w:p>
            <w:pPr>
              <w:pStyle w:val="TableContents"/>
              <w:spacing w:before="0" w:after="0"/>
              <w:ind w:left="0" w:right="0" w:hanging="0"/>
              <w:rPr/>
            </w:pPr>
            <w:r>
              <w:rPr/>
              <w:t> </w:t>
            </w:r>
          </w:p>
        </w:tc>
      </w:tr>
      <w:tr>
        <w:trPr/>
        <w:tc>
          <w:tcPr>
            <w:tcW w:w="3713"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359" w:type="dxa"/>
            <w:gridSpan w:val="2"/>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rPr/>
            </w:pPr>
            <w:r>
              <w:rPr/>
              <w:t> </w:t>
            </w:r>
          </w:p>
        </w:tc>
        <w:tc>
          <w:tcPr>
            <w:tcW w:w="1363" w:type="dxa"/>
            <w:gridSpan w:val="2"/>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pPr>
            <w:r>
              <w:rPr/>
              <w:t> </w:t>
            </w:r>
          </w:p>
        </w:tc>
        <w:tc>
          <w:tcPr>
            <w:tcW w:w="1422" w:type="dxa"/>
            <w:gridSpan w:val="2"/>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shd w:fill="auto" w:val="clear"/>
            <w:vAlign w:val="bottom"/>
          </w:tcPr>
          <w:p>
            <w:pPr>
              <w:pStyle w:val="TableContents"/>
              <w:spacing w:before="0" w:after="0"/>
              <w:ind w:left="0" w:right="0" w:hanging="0"/>
              <w:rPr/>
            </w:pPr>
            <w:r>
              <w:rPr/>
              <w:t> </w:t>
            </w:r>
          </w:p>
        </w:tc>
        <w:tc>
          <w:tcPr>
            <w:tcW w:w="4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 before cumulative effect of change in accounting principle</w:t>
            </w:r>
          </w:p>
        </w:tc>
        <w:tc>
          <w:tcPr>
            <w:tcW w:w="108" w:type="dxa"/>
            <w:tcBorders/>
            <w:shd w:fill="CCEEFF" w:val="clear"/>
            <w:vAlign w:val="bottom"/>
          </w:tcPr>
          <w:p>
            <w:pPr>
              <w:pStyle w:val="TableContents"/>
              <w:spacing w:before="0" w:after="0"/>
              <w:ind w:left="0" w:right="0" w:hanging="0"/>
              <w:rPr/>
            </w:pPr>
            <w:r>
              <w:rPr/>
              <w:t> </w:t>
            </w:r>
          </w:p>
        </w:tc>
        <w:tc>
          <w:tcPr>
            <w:tcW w:w="22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0.82</w:t>
            </w:r>
          </w:p>
        </w:tc>
        <w:tc>
          <w:tcPr>
            <w:tcW w:w="178" w:type="dxa"/>
            <w:tcBorders/>
            <w:shd w:fill="CCEEFF" w:val="clear"/>
            <w:vAlign w:val="bottom"/>
          </w:tcPr>
          <w:p>
            <w:pPr>
              <w:pStyle w:val="TableContents"/>
              <w:spacing w:before="0" w:after="0"/>
              <w:ind w:left="0" w:right="0" w:hanging="0"/>
              <w:rPr/>
            </w:pPr>
            <w:r>
              <w:rPr/>
              <w:t> </w:t>
            </w:r>
          </w:p>
        </w:tc>
        <w:tc>
          <w:tcPr>
            <w:tcW w:w="22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0.76</w:t>
            </w:r>
          </w:p>
        </w:tc>
        <w:tc>
          <w:tcPr>
            <w:tcW w:w="122"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1.47</w:t>
            </w:r>
          </w:p>
        </w:tc>
        <w:tc>
          <w:tcPr>
            <w:tcW w:w="169"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1.27</w:t>
            </w:r>
          </w:p>
        </w:tc>
        <w:tc>
          <w:tcPr>
            <w:tcW w:w="462" w:type="dxa"/>
            <w:tcBorders/>
            <w:shd w:fill="CCEEFF" w:val="clear"/>
            <w:vAlign w:val="bottom"/>
          </w:tcPr>
          <w:p>
            <w:pPr>
              <w:pStyle w:val="TableContents"/>
              <w:spacing w:before="0" w:after="0"/>
              <w:ind w:left="0" w:right="0" w:hanging="0"/>
              <w:rPr/>
            </w:pPr>
            <w:r>
              <w:rPr/>
              <w:t> </w:t>
            </w:r>
          </w:p>
        </w:tc>
      </w:tr>
      <w:tr>
        <w:trPr/>
        <w:tc>
          <w:tcPr>
            <w:tcW w:w="3713"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359" w:type="dxa"/>
            <w:gridSpan w:val="2"/>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rPr/>
            </w:pPr>
            <w:r>
              <w:rPr/>
              <w:t> </w:t>
            </w:r>
          </w:p>
        </w:tc>
        <w:tc>
          <w:tcPr>
            <w:tcW w:w="1363" w:type="dxa"/>
            <w:gridSpan w:val="2"/>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pPr>
            <w:r>
              <w:rPr/>
              <w:t> </w:t>
            </w:r>
          </w:p>
        </w:tc>
        <w:tc>
          <w:tcPr>
            <w:tcW w:w="1422" w:type="dxa"/>
            <w:gridSpan w:val="2"/>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shd w:fill="auto" w:val="clear"/>
            <w:vAlign w:val="bottom"/>
          </w:tcPr>
          <w:p>
            <w:pPr>
              <w:pStyle w:val="TableContents"/>
              <w:spacing w:before="0" w:after="0"/>
              <w:ind w:left="0" w:right="0" w:hanging="0"/>
              <w:rPr/>
            </w:pPr>
            <w:r>
              <w:rPr/>
              <w:t> </w:t>
            </w:r>
          </w:p>
        </w:tc>
        <w:tc>
          <w:tcPr>
            <w:tcW w:w="4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Cumulative effect of change in accounting principle per limited partner unit</w:t>
            </w:r>
          </w:p>
        </w:tc>
        <w:tc>
          <w:tcPr>
            <w:tcW w:w="108" w:type="dxa"/>
            <w:tcBorders/>
            <w:shd w:fill="CCEEFF" w:val="clear"/>
            <w:vAlign w:val="bottom"/>
          </w:tcPr>
          <w:p>
            <w:pPr>
              <w:pStyle w:val="TableContents"/>
              <w:spacing w:before="0" w:after="0"/>
              <w:ind w:left="0" w:right="0" w:hanging="0"/>
              <w:rPr/>
            </w:pPr>
            <w:r>
              <w:rPr/>
              <w:t> </w:t>
            </w:r>
          </w:p>
        </w:tc>
        <w:tc>
          <w:tcPr>
            <w:tcW w:w="135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8" w:type="dxa"/>
            <w:tcBorders/>
            <w:shd w:fill="CCEEFF" w:val="clear"/>
            <w:vAlign w:val="bottom"/>
          </w:tcPr>
          <w:p>
            <w:pPr>
              <w:pStyle w:val="TableContents"/>
              <w:spacing w:before="0" w:after="0"/>
              <w:ind w:left="0" w:right="0" w:hanging="0"/>
              <w:rPr/>
            </w:pPr>
            <w:r>
              <w:rPr/>
              <w:t> </w:t>
            </w:r>
          </w:p>
        </w:tc>
        <w:tc>
          <w:tcPr>
            <w:tcW w:w="1363"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 w:type="dxa"/>
            <w:tcBorders/>
            <w:shd w:fill="CCEEFF" w:val="clear"/>
            <w:vAlign w:val="bottom"/>
          </w:tcPr>
          <w:p>
            <w:pPr>
              <w:pStyle w:val="TableContents"/>
              <w:spacing w:before="0" w:after="0"/>
              <w:ind w:left="0" w:right="0" w:hanging="0"/>
              <w:rPr/>
            </w:pPr>
            <w:r>
              <w:rPr/>
              <w:t> </w:t>
            </w:r>
          </w:p>
        </w:tc>
        <w:tc>
          <w:tcPr>
            <w:tcW w:w="1422"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0.08</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462" w:type="dxa"/>
            <w:tcBorders/>
            <w:shd w:fill="CCEEFF" w:val="clear"/>
            <w:vAlign w:val="bottom"/>
          </w:tcPr>
          <w:p>
            <w:pPr>
              <w:pStyle w:val="TableContents"/>
              <w:spacing w:before="0" w:after="0"/>
              <w:ind w:left="0" w:right="0" w:hanging="0"/>
              <w:rPr/>
            </w:pPr>
            <w:r>
              <w:rPr/>
              <w:t> </w:t>
            </w:r>
          </w:p>
        </w:tc>
      </w:tr>
      <w:tr>
        <w:trPr/>
        <w:tc>
          <w:tcPr>
            <w:tcW w:w="3713"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359" w:type="dxa"/>
            <w:gridSpan w:val="2"/>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rPr/>
            </w:pPr>
            <w:r>
              <w:rPr/>
              <w:t> </w:t>
            </w:r>
          </w:p>
        </w:tc>
        <w:tc>
          <w:tcPr>
            <w:tcW w:w="1363" w:type="dxa"/>
            <w:gridSpan w:val="2"/>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pPr>
            <w:r>
              <w:rPr/>
              <w:t> </w:t>
            </w:r>
          </w:p>
        </w:tc>
        <w:tc>
          <w:tcPr>
            <w:tcW w:w="1422" w:type="dxa"/>
            <w:gridSpan w:val="2"/>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shd w:fill="auto" w:val="clear"/>
            <w:vAlign w:val="bottom"/>
          </w:tcPr>
          <w:p>
            <w:pPr>
              <w:pStyle w:val="TableContents"/>
              <w:spacing w:before="0" w:after="0"/>
              <w:ind w:left="0" w:right="0" w:hanging="0"/>
              <w:rPr/>
            </w:pPr>
            <w:r>
              <w:rPr/>
              <w:t> </w:t>
            </w:r>
          </w:p>
        </w:tc>
        <w:tc>
          <w:tcPr>
            <w:tcW w:w="4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108" w:type="dxa"/>
            <w:tcBorders/>
            <w:shd w:fill="CCEEFF" w:val="clear"/>
            <w:vAlign w:val="bottom"/>
          </w:tcPr>
          <w:p>
            <w:pPr>
              <w:pStyle w:val="TableContents"/>
              <w:spacing w:before="0" w:after="0"/>
              <w:ind w:left="0" w:right="0" w:hanging="0"/>
              <w:rPr/>
            </w:pPr>
            <w:r>
              <w:rPr/>
              <w:t> </w:t>
            </w:r>
          </w:p>
        </w:tc>
        <w:tc>
          <w:tcPr>
            <w:tcW w:w="22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0.82</w:t>
            </w:r>
          </w:p>
        </w:tc>
        <w:tc>
          <w:tcPr>
            <w:tcW w:w="178" w:type="dxa"/>
            <w:tcBorders/>
            <w:shd w:fill="CCEEFF" w:val="clear"/>
            <w:vAlign w:val="bottom"/>
          </w:tcPr>
          <w:p>
            <w:pPr>
              <w:pStyle w:val="TableContents"/>
              <w:spacing w:before="0" w:after="0"/>
              <w:ind w:left="0" w:right="0" w:hanging="0"/>
              <w:rPr/>
            </w:pPr>
            <w:r>
              <w:rPr/>
              <w:t> </w:t>
            </w:r>
          </w:p>
        </w:tc>
        <w:tc>
          <w:tcPr>
            <w:tcW w:w="22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0.76</w:t>
            </w:r>
          </w:p>
        </w:tc>
        <w:tc>
          <w:tcPr>
            <w:tcW w:w="122" w:type="dxa"/>
            <w:tcBorders/>
            <w:shd w:fill="CCEEFF" w:val="clear"/>
            <w:vAlign w:val="bottom"/>
          </w:tcPr>
          <w:p>
            <w:pPr>
              <w:pStyle w:val="TableContents"/>
              <w:spacing w:before="0" w:after="0"/>
              <w:ind w:left="0" w:right="0" w:hanging="0"/>
              <w:rPr/>
            </w:pPr>
            <w:r>
              <w:rPr/>
              <w:t> </w:t>
            </w:r>
          </w:p>
        </w:tc>
        <w:tc>
          <w:tcPr>
            <w:tcW w:w="208"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2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1.55</w:t>
            </w:r>
          </w:p>
        </w:tc>
        <w:tc>
          <w:tcPr>
            <w:tcW w:w="169" w:type="dxa"/>
            <w:tcBorders/>
            <w:shd w:fill="CCEEFF" w:val="clear"/>
            <w:vAlign w:val="bottom"/>
          </w:tcPr>
          <w:p>
            <w:pPr>
              <w:pStyle w:val="TableContents"/>
              <w:spacing w:before="0" w:after="0"/>
              <w:ind w:left="0" w:right="0" w:hanging="0"/>
              <w:rPr/>
            </w:pPr>
            <w:r>
              <w:rPr/>
              <w:t> </w:t>
            </w:r>
          </w:p>
        </w:tc>
        <w:tc>
          <w:tcPr>
            <w:tcW w:w="208"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0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1.27</w:t>
            </w:r>
          </w:p>
        </w:tc>
        <w:tc>
          <w:tcPr>
            <w:tcW w:w="462" w:type="dxa"/>
            <w:tcBorders/>
            <w:shd w:fill="CCEEFF" w:val="clear"/>
            <w:vAlign w:val="bottom"/>
          </w:tcPr>
          <w:p>
            <w:pPr>
              <w:pStyle w:val="TableContents"/>
              <w:spacing w:before="0" w:after="0"/>
              <w:ind w:left="0" w:right="0" w:hanging="0"/>
              <w:rPr/>
            </w:pPr>
            <w:r>
              <w:rPr/>
              <w:t> </w:t>
            </w:r>
          </w:p>
        </w:tc>
      </w:tr>
      <w:tr>
        <w:trPr/>
        <w:tc>
          <w:tcPr>
            <w:tcW w:w="3713"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359" w:type="dxa"/>
            <w:gridSpan w:val="2"/>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rPr/>
            </w:pPr>
            <w:r>
              <w:rPr/>
              <w:t> </w:t>
            </w:r>
          </w:p>
        </w:tc>
        <w:tc>
          <w:tcPr>
            <w:tcW w:w="1363" w:type="dxa"/>
            <w:gridSpan w:val="2"/>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pPr>
            <w:r>
              <w:rPr/>
              <w:t> </w:t>
            </w:r>
          </w:p>
        </w:tc>
        <w:tc>
          <w:tcPr>
            <w:tcW w:w="1422" w:type="dxa"/>
            <w:gridSpan w:val="2"/>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shd w:fill="auto" w:val="clear"/>
            <w:vAlign w:val="bottom"/>
          </w:tcPr>
          <w:p>
            <w:pPr>
              <w:pStyle w:val="TableContents"/>
              <w:spacing w:before="0" w:after="0"/>
              <w:ind w:left="0" w:right="0" w:hanging="0"/>
              <w:rPr/>
            </w:pPr>
            <w:r>
              <w:rPr/>
              <w:t> </w:t>
            </w:r>
          </w:p>
        </w:tc>
        <w:tc>
          <w:tcPr>
            <w:tcW w:w="4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 before cumulative effect of change in accounting principle</w:t>
            </w:r>
          </w:p>
        </w:tc>
        <w:tc>
          <w:tcPr>
            <w:tcW w:w="108" w:type="dxa"/>
            <w:tcBorders/>
            <w:shd w:fill="CCEEFF" w:val="clear"/>
            <w:vAlign w:val="bottom"/>
          </w:tcPr>
          <w:p>
            <w:pPr>
              <w:pStyle w:val="TableContents"/>
              <w:spacing w:before="0" w:after="0"/>
              <w:ind w:left="0" w:right="0" w:hanging="0"/>
              <w:rPr/>
            </w:pPr>
            <w:r>
              <w:rPr/>
              <w:t> </w:t>
            </w:r>
          </w:p>
        </w:tc>
        <w:tc>
          <w:tcPr>
            <w:tcW w:w="22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0.81</w:t>
            </w:r>
          </w:p>
        </w:tc>
        <w:tc>
          <w:tcPr>
            <w:tcW w:w="178" w:type="dxa"/>
            <w:tcBorders/>
            <w:shd w:fill="CCEEFF" w:val="clear"/>
            <w:vAlign w:val="bottom"/>
          </w:tcPr>
          <w:p>
            <w:pPr>
              <w:pStyle w:val="TableContents"/>
              <w:spacing w:before="0" w:after="0"/>
              <w:ind w:left="0" w:right="0" w:hanging="0"/>
              <w:rPr/>
            </w:pPr>
            <w:r>
              <w:rPr/>
              <w:t> </w:t>
            </w:r>
          </w:p>
        </w:tc>
        <w:tc>
          <w:tcPr>
            <w:tcW w:w="22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0.74</w:t>
            </w:r>
          </w:p>
        </w:tc>
        <w:tc>
          <w:tcPr>
            <w:tcW w:w="122"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1.45</w:t>
            </w:r>
          </w:p>
        </w:tc>
        <w:tc>
          <w:tcPr>
            <w:tcW w:w="169"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0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1.26</w:t>
            </w:r>
          </w:p>
        </w:tc>
        <w:tc>
          <w:tcPr>
            <w:tcW w:w="462" w:type="dxa"/>
            <w:tcBorders/>
            <w:shd w:fill="CCEEFF" w:val="clear"/>
            <w:vAlign w:val="bottom"/>
          </w:tcPr>
          <w:p>
            <w:pPr>
              <w:pStyle w:val="TableContents"/>
              <w:spacing w:before="0" w:after="0"/>
              <w:ind w:left="0" w:right="0" w:hanging="0"/>
              <w:rPr/>
            </w:pPr>
            <w:r>
              <w:rPr/>
              <w:t> </w:t>
            </w:r>
          </w:p>
        </w:tc>
      </w:tr>
      <w:tr>
        <w:trPr/>
        <w:tc>
          <w:tcPr>
            <w:tcW w:w="3713"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359" w:type="dxa"/>
            <w:gridSpan w:val="2"/>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rPr/>
            </w:pPr>
            <w:r>
              <w:rPr/>
              <w:t> </w:t>
            </w:r>
          </w:p>
        </w:tc>
        <w:tc>
          <w:tcPr>
            <w:tcW w:w="1363" w:type="dxa"/>
            <w:gridSpan w:val="2"/>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pPr>
            <w:r>
              <w:rPr/>
              <w:t> </w:t>
            </w:r>
          </w:p>
        </w:tc>
        <w:tc>
          <w:tcPr>
            <w:tcW w:w="1422" w:type="dxa"/>
            <w:gridSpan w:val="2"/>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shd w:fill="auto" w:val="clear"/>
            <w:vAlign w:val="bottom"/>
          </w:tcPr>
          <w:p>
            <w:pPr>
              <w:pStyle w:val="TableContents"/>
              <w:spacing w:before="0" w:after="0"/>
              <w:ind w:left="0" w:right="0" w:hanging="0"/>
              <w:rPr/>
            </w:pPr>
            <w:r>
              <w:rPr/>
              <w:t> </w:t>
            </w:r>
          </w:p>
        </w:tc>
        <w:tc>
          <w:tcPr>
            <w:tcW w:w="4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Cumulative effect of change in accounting principle per limited partner unit</w:t>
            </w:r>
          </w:p>
        </w:tc>
        <w:tc>
          <w:tcPr>
            <w:tcW w:w="108" w:type="dxa"/>
            <w:tcBorders/>
            <w:shd w:fill="CCEEFF" w:val="clear"/>
            <w:vAlign w:val="bottom"/>
          </w:tcPr>
          <w:p>
            <w:pPr>
              <w:pStyle w:val="TableContents"/>
              <w:spacing w:before="0" w:after="0"/>
              <w:ind w:left="0" w:right="0" w:hanging="0"/>
              <w:rPr/>
            </w:pPr>
            <w:r>
              <w:rPr/>
              <w:t> </w:t>
            </w:r>
          </w:p>
        </w:tc>
        <w:tc>
          <w:tcPr>
            <w:tcW w:w="1359"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78" w:type="dxa"/>
            <w:tcBorders/>
            <w:shd w:fill="CCEEFF" w:val="clear"/>
            <w:vAlign w:val="bottom"/>
          </w:tcPr>
          <w:p>
            <w:pPr>
              <w:pStyle w:val="TableContents"/>
              <w:spacing w:before="0" w:after="0"/>
              <w:ind w:left="0" w:right="0" w:hanging="0"/>
              <w:rPr/>
            </w:pPr>
            <w:r>
              <w:rPr/>
              <w:t> </w:t>
            </w:r>
          </w:p>
        </w:tc>
        <w:tc>
          <w:tcPr>
            <w:tcW w:w="1363"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 w:type="dxa"/>
            <w:tcBorders/>
            <w:shd w:fill="CCEEFF" w:val="clear"/>
            <w:vAlign w:val="bottom"/>
          </w:tcPr>
          <w:p>
            <w:pPr>
              <w:pStyle w:val="TableContents"/>
              <w:spacing w:before="0" w:after="0"/>
              <w:ind w:left="0" w:right="0" w:hanging="0"/>
              <w:rPr/>
            </w:pPr>
            <w:r>
              <w:rPr/>
              <w:t> </w:t>
            </w:r>
          </w:p>
        </w:tc>
        <w:tc>
          <w:tcPr>
            <w:tcW w:w="1422"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0.08</w:t>
            </w:r>
          </w:p>
        </w:tc>
        <w:tc>
          <w:tcPr>
            <w:tcW w:w="169" w:type="dxa"/>
            <w:tcBorders/>
            <w:shd w:fill="CCEEFF" w:val="clear"/>
            <w:vAlign w:val="bottom"/>
          </w:tcPr>
          <w:p>
            <w:pPr>
              <w:pStyle w:val="TableContents"/>
              <w:spacing w:before="0" w:after="0"/>
              <w:ind w:left="0" w:right="0" w:hanging="0"/>
              <w:rPr/>
            </w:pPr>
            <w:r>
              <w:rPr/>
              <w:t> </w:t>
            </w:r>
          </w:p>
        </w:tc>
        <w:tc>
          <w:tcPr>
            <w:tcW w:w="1309" w:type="dxa"/>
            <w:gridSpan w:val="2"/>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462" w:type="dxa"/>
            <w:tcBorders/>
            <w:shd w:fill="CCEEFF" w:val="clear"/>
            <w:vAlign w:val="bottom"/>
          </w:tcPr>
          <w:p>
            <w:pPr>
              <w:pStyle w:val="TableContents"/>
              <w:spacing w:before="0" w:after="0"/>
              <w:ind w:left="0" w:right="0" w:hanging="0"/>
              <w:rPr/>
            </w:pPr>
            <w:r>
              <w:rPr/>
              <w:t> </w:t>
            </w:r>
          </w:p>
        </w:tc>
      </w:tr>
      <w:tr>
        <w:trPr/>
        <w:tc>
          <w:tcPr>
            <w:tcW w:w="3713" w:type="dxa"/>
            <w:tcBorders/>
            <w:shd w:fill="auto" w:val="clear"/>
          </w:tcPr>
          <w:p>
            <w:pPr>
              <w:pStyle w:val="TableContents"/>
              <w:spacing w:before="0" w:after="0"/>
              <w:ind w:left="0" w:right="0" w:hanging="0"/>
              <w:rPr/>
            </w:pPr>
            <w:r>
              <w:rPr/>
              <w:t> </w:t>
            </w:r>
          </w:p>
        </w:tc>
        <w:tc>
          <w:tcPr>
            <w:tcW w:w="108" w:type="dxa"/>
            <w:tcBorders/>
            <w:shd w:fill="auto" w:val="clear"/>
            <w:vAlign w:val="bottom"/>
          </w:tcPr>
          <w:p>
            <w:pPr>
              <w:pStyle w:val="TableContents"/>
              <w:spacing w:before="0" w:after="0"/>
              <w:ind w:left="0" w:right="0" w:hanging="0"/>
              <w:rPr/>
            </w:pPr>
            <w:r>
              <w:rPr/>
              <w:t> </w:t>
            </w:r>
          </w:p>
        </w:tc>
        <w:tc>
          <w:tcPr>
            <w:tcW w:w="1359" w:type="dxa"/>
            <w:gridSpan w:val="2"/>
            <w:tcBorders/>
            <w:shd w:fill="auto" w:val="clear"/>
            <w:vAlign w:val="bottom"/>
          </w:tcPr>
          <w:p>
            <w:pPr>
              <w:pStyle w:val="TableContents"/>
              <w:spacing w:before="0" w:after="0"/>
              <w:ind w:left="0" w:right="0" w:hanging="0"/>
              <w:rPr/>
            </w:pPr>
            <w:r>
              <w:rPr/>
              <w:t> </w:t>
            </w:r>
          </w:p>
        </w:tc>
        <w:tc>
          <w:tcPr>
            <w:tcW w:w="178" w:type="dxa"/>
            <w:tcBorders/>
            <w:shd w:fill="auto" w:val="clear"/>
            <w:vAlign w:val="bottom"/>
          </w:tcPr>
          <w:p>
            <w:pPr>
              <w:pStyle w:val="TableContents"/>
              <w:spacing w:before="0" w:after="0"/>
              <w:ind w:left="0" w:right="0" w:hanging="0"/>
              <w:rPr/>
            </w:pPr>
            <w:r>
              <w:rPr/>
              <w:t> </w:t>
            </w:r>
          </w:p>
        </w:tc>
        <w:tc>
          <w:tcPr>
            <w:tcW w:w="1363" w:type="dxa"/>
            <w:gridSpan w:val="2"/>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pPr>
            <w:r>
              <w:rPr/>
              <w:t> </w:t>
            </w:r>
          </w:p>
        </w:tc>
        <w:tc>
          <w:tcPr>
            <w:tcW w:w="1422" w:type="dxa"/>
            <w:gridSpan w:val="2"/>
            <w:tcBorders/>
            <w:shd w:fill="auto" w:val="clear"/>
            <w:vAlign w:val="bottom"/>
          </w:tcPr>
          <w:p>
            <w:pPr>
              <w:pStyle w:val="TableContents"/>
              <w:spacing w:before="0" w:after="0"/>
              <w:ind w:left="0" w:right="0" w:hanging="0"/>
              <w:rPr/>
            </w:pPr>
            <w:r>
              <w:rPr/>
              <w:t> </w:t>
            </w:r>
          </w:p>
        </w:tc>
        <w:tc>
          <w:tcPr>
            <w:tcW w:w="169" w:type="dxa"/>
            <w:tcBorders/>
            <w:shd w:fill="auto" w:val="clear"/>
            <w:vAlign w:val="bottom"/>
          </w:tcPr>
          <w:p>
            <w:pPr>
              <w:pStyle w:val="TableContents"/>
              <w:spacing w:before="0" w:after="0"/>
              <w:ind w:left="0" w:right="0" w:hanging="0"/>
              <w:rPr/>
            </w:pPr>
            <w:r>
              <w:rPr/>
              <w:t> </w:t>
            </w:r>
          </w:p>
        </w:tc>
        <w:tc>
          <w:tcPr>
            <w:tcW w:w="1309" w:type="dxa"/>
            <w:gridSpan w:val="2"/>
            <w:tcBorders/>
            <w:shd w:fill="auto" w:val="clear"/>
            <w:vAlign w:val="bottom"/>
          </w:tcPr>
          <w:p>
            <w:pPr>
              <w:pStyle w:val="TableContents"/>
              <w:spacing w:before="0" w:after="0"/>
              <w:ind w:left="0" w:right="0" w:hanging="0"/>
              <w:rPr/>
            </w:pPr>
            <w:r>
              <w:rPr/>
              <w:t> </w:t>
            </w:r>
          </w:p>
        </w:tc>
        <w:tc>
          <w:tcPr>
            <w:tcW w:w="462" w:type="dxa"/>
            <w:tcBorders/>
            <w:shd w:fill="auto" w:val="clear"/>
            <w:vAlign w:val="bottom"/>
          </w:tcPr>
          <w:p>
            <w:pPr>
              <w:pStyle w:val="TableContents"/>
              <w:spacing w:before="0" w:after="0"/>
              <w:ind w:left="0" w:right="0" w:hanging="0"/>
              <w:rPr/>
            </w:pPr>
            <w:r>
              <w:rPr/>
              <w:t> </w:t>
            </w:r>
          </w:p>
        </w:tc>
      </w:tr>
      <w:tr>
        <w:trPr/>
        <w:tc>
          <w:tcPr>
            <w:tcW w:w="37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108" w:type="dxa"/>
            <w:tcBorders/>
            <w:shd w:fill="CCEEFF" w:val="clear"/>
            <w:vAlign w:val="bottom"/>
          </w:tcPr>
          <w:p>
            <w:pPr>
              <w:pStyle w:val="TableContents"/>
              <w:spacing w:before="0" w:after="0"/>
              <w:ind w:left="0" w:right="0" w:hanging="0"/>
              <w:rPr/>
            </w:pPr>
            <w:r>
              <w:rPr/>
              <w:t> </w:t>
            </w:r>
          </w:p>
        </w:tc>
        <w:tc>
          <w:tcPr>
            <w:tcW w:w="22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0.81</w:t>
            </w:r>
          </w:p>
        </w:tc>
        <w:tc>
          <w:tcPr>
            <w:tcW w:w="178" w:type="dxa"/>
            <w:tcBorders/>
            <w:shd w:fill="CCEEFF" w:val="clear"/>
            <w:vAlign w:val="bottom"/>
          </w:tcPr>
          <w:p>
            <w:pPr>
              <w:pStyle w:val="TableContents"/>
              <w:spacing w:before="0" w:after="0"/>
              <w:ind w:left="0" w:right="0" w:hanging="0"/>
              <w:rPr/>
            </w:pPr>
            <w:r>
              <w:rPr/>
              <w:t> </w:t>
            </w:r>
          </w:p>
        </w:tc>
        <w:tc>
          <w:tcPr>
            <w:tcW w:w="22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4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0.74</w:t>
            </w:r>
          </w:p>
        </w:tc>
        <w:tc>
          <w:tcPr>
            <w:tcW w:w="122" w:type="dxa"/>
            <w:tcBorders/>
            <w:shd w:fill="CCEEFF" w:val="clear"/>
            <w:vAlign w:val="bottom"/>
          </w:tcPr>
          <w:p>
            <w:pPr>
              <w:pStyle w:val="TableContents"/>
              <w:spacing w:before="0" w:after="0"/>
              <w:ind w:left="0" w:right="0" w:hanging="0"/>
              <w:rPr/>
            </w:pPr>
            <w:r>
              <w:rPr/>
              <w:t> </w:t>
            </w:r>
          </w:p>
        </w:tc>
        <w:tc>
          <w:tcPr>
            <w:tcW w:w="208"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21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1.53</w:t>
            </w:r>
          </w:p>
        </w:tc>
        <w:tc>
          <w:tcPr>
            <w:tcW w:w="169" w:type="dxa"/>
            <w:tcBorders/>
            <w:shd w:fill="CCEEFF" w:val="clear"/>
            <w:vAlign w:val="bottom"/>
          </w:tcPr>
          <w:p>
            <w:pPr>
              <w:pStyle w:val="TableContents"/>
              <w:spacing w:before="0" w:after="0"/>
              <w:ind w:left="0" w:right="0" w:hanging="0"/>
              <w:rPr/>
            </w:pPr>
            <w:r>
              <w:rPr/>
              <w:t> </w:t>
            </w:r>
          </w:p>
        </w:tc>
        <w:tc>
          <w:tcPr>
            <w:tcW w:w="208"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110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1.26</w:t>
            </w:r>
          </w:p>
        </w:tc>
        <w:tc>
          <w:tcPr>
            <w:tcW w:w="46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rPr/>
      </w:pPr>
      <w:r>
        <w:rPr/>
      </w:r>
    </w:p>
    <w:p>
      <w:pPr>
        <w:pStyle w:val="TextBody"/>
        <w:spacing w:before="0" w:after="240"/>
        <w:ind w:left="1200" w:right="0" w:hanging="400"/>
        <w:rPr>
          <w:rFonts w:ascii="Times New Roman" w:hAnsi="Times New Roman"/>
          <w:sz w:val="17"/>
        </w:rPr>
      </w:pPr>
      <w:r>
        <w:rPr>
          <w:rFonts w:ascii="Times New Roman" w:hAnsi="Times New Roman"/>
          <w:sz w:val="17"/>
        </w:rPr>
        <w:t xml:space="preserve">(1)             Our LTIP units described in Note 8 are considered dilutive securities except for those units which only vest upon certain performance conditions being met. The dilutive securities are reduced by a hypothetical unit repurchase based on the remaining unamortized fair value, as prescribed by the treasury stock method in SFAS 128, "Earnings per Share."  </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Note 7Partners Capital and Distributions</w:t>
      </w:r>
    </w:p>
    <w:p>
      <w:pPr>
        <w:pStyle w:val="TextBody"/>
        <w:keepNext w:val="true"/>
        <w:spacing w:before="0" w:after="240"/>
        <w:ind w:left="600" w:right="0" w:hanging="200"/>
        <w:rPr>
          <w:rFonts w:ascii="Times New Roman" w:hAnsi="Times New Roman"/>
          <w:i/>
          <w:sz w:val="17"/>
        </w:rPr>
      </w:pPr>
      <w:r>
        <w:rPr>
          <w:rFonts w:ascii="Times New Roman" w:hAnsi="Times New Roman"/>
          <w:i/>
          <w:sz w:val="17"/>
        </w:rPr>
        <w:t>Direct Placements of Common Units</w:t>
      </w:r>
    </w:p>
    <w:p>
      <w:pPr>
        <w:pStyle w:val="TextBody"/>
        <w:spacing w:before="0" w:after="240"/>
        <w:ind w:left="0" w:right="0" w:firstLine="400"/>
        <w:rPr>
          <w:rFonts w:ascii="Times New Roman" w:hAnsi="Times New Roman"/>
          <w:sz w:val="17"/>
        </w:rPr>
      </w:pPr>
      <w:r>
        <w:rPr>
          <w:rFonts w:ascii="Times New Roman" w:hAnsi="Times New Roman"/>
          <w:sz w:val="17"/>
        </w:rPr>
        <w:t>We completed the following equity offerings of our common units during the six months ended June 30, 2006 and 2005, respectively.  In addition, we completed an offering in the third quarter of 2006.  See Note 10 Related Party Transactions.</w:t>
      </w:r>
    </w:p>
    <w:p>
      <w:pPr>
        <w:pStyle w:val="TextBody"/>
        <w:spacing w:before="480" w:after="480"/>
        <w:ind w:left="0" w:right="0" w:hanging="0"/>
        <w:rPr>
          <w:rFonts w:ascii="Times New Roman" w:hAnsi="Times New Roman"/>
          <w:sz w:val="17"/>
        </w:rPr>
      </w:pPr>
      <w:r>
        <w:rPr>
          <w:rFonts w:ascii="Times New Roman" w:hAnsi="Times New Roman"/>
          <w:sz w:val="17"/>
        </w:rPr>
        <w:t>13</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508"/>
        <w:gridCol w:w="179"/>
        <w:gridCol w:w="1148"/>
        <w:gridCol w:w="179"/>
        <w:gridCol w:w="157"/>
        <w:gridCol w:w="892"/>
        <w:gridCol w:w="179"/>
        <w:gridCol w:w="155"/>
        <w:gridCol w:w="883"/>
        <w:gridCol w:w="179"/>
        <w:gridCol w:w="247"/>
        <w:gridCol w:w="944"/>
        <w:gridCol w:w="179"/>
        <w:gridCol w:w="147"/>
        <w:gridCol w:w="721"/>
        <w:gridCol w:w="179"/>
        <w:gridCol w:w="148"/>
        <w:gridCol w:w="857"/>
        <w:gridCol w:w="324"/>
      </w:tblGrid>
      <w:tr>
        <w:trPr/>
        <w:tc>
          <w:tcPr>
            <w:tcW w:w="2508" w:type="dxa"/>
            <w:tcBorders/>
            <w:shd w:fill="auto" w:val="clear"/>
            <w:vAlign w:val="bottom"/>
          </w:tcPr>
          <w:p>
            <w:pPr>
              <w:pStyle w:val="TableContents"/>
              <w:spacing w:lineRule="atLeast" w:line="160" w:before="0" w:after="0"/>
              <w:ind w:left="0" w:right="0" w:hanging="0"/>
              <w:rPr/>
            </w:pPr>
            <w:r>
              <w:rPr/>
              <w:t> </w:t>
            </w:r>
          </w:p>
        </w:tc>
        <w:tc>
          <w:tcPr>
            <w:tcW w:w="179" w:type="dxa"/>
            <w:tcBorders/>
            <w:shd w:fill="auto" w:val="clear"/>
            <w:vAlign w:val="bottom"/>
          </w:tcPr>
          <w:p>
            <w:pPr>
              <w:pStyle w:val="TableContents"/>
              <w:spacing w:lineRule="atLeast" w:line="160" w:before="0" w:after="0"/>
              <w:ind w:left="0" w:right="0" w:hanging="0"/>
              <w:rPr/>
            </w:pPr>
            <w:r>
              <w:rPr/>
              <w:t> </w:t>
            </w:r>
          </w:p>
        </w:tc>
        <w:tc>
          <w:tcPr>
            <w:tcW w:w="1148" w:type="dxa"/>
            <w:tcBorders/>
            <w:shd w:fill="auto" w:val="clear"/>
            <w:vAlign w:val="bottom"/>
          </w:tcPr>
          <w:p>
            <w:pPr>
              <w:pStyle w:val="TableContents"/>
              <w:spacing w:lineRule="atLeast" w:line="160" w:before="0" w:after="0"/>
              <w:ind w:left="0" w:right="0" w:hanging="0"/>
              <w:rPr/>
            </w:pPr>
            <w:r>
              <w:rPr/>
              <w:t> </w:t>
            </w:r>
          </w:p>
        </w:tc>
        <w:tc>
          <w:tcPr>
            <w:tcW w:w="179" w:type="dxa"/>
            <w:tcBorders/>
            <w:shd w:fill="auto" w:val="clear"/>
            <w:vAlign w:val="bottom"/>
          </w:tcPr>
          <w:p>
            <w:pPr>
              <w:pStyle w:val="TableContents"/>
              <w:spacing w:lineRule="atLeast" w:line="160" w:before="0" w:after="0"/>
              <w:ind w:left="0" w:right="0" w:hanging="0"/>
              <w:rPr/>
            </w:pPr>
            <w:r>
              <w:rPr/>
              <w:t> </w:t>
            </w:r>
          </w:p>
        </w:tc>
        <w:tc>
          <w:tcPr>
            <w:tcW w:w="1049"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Gross</w:t>
            </w:r>
          </w:p>
        </w:tc>
        <w:tc>
          <w:tcPr>
            <w:tcW w:w="179" w:type="dxa"/>
            <w:tcBorders/>
            <w:shd w:fill="auto" w:val="clear"/>
            <w:vAlign w:val="bottom"/>
          </w:tcPr>
          <w:p>
            <w:pPr>
              <w:pStyle w:val="TableContents"/>
              <w:spacing w:lineRule="atLeast" w:line="160" w:before="0" w:after="0"/>
              <w:ind w:left="0" w:right="0" w:hanging="0"/>
              <w:rPr/>
            </w:pPr>
            <w:r>
              <w:rPr/>
              <w:t> </w:t>
            </w:r>
          </w:p>
        </w:tc>
        <w:tc>
          <w:tcPr>
            <w:tcW w:w="1038"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Proceeds</w:t>
            </w:r>
          </w:p>
        </w:tc>
        <w:tc>
          <w:tcPr>
            <w:tcW w:w="179" w:type="dxa"/>
            <w:tcBorders/>
            <w:shd w:fill="auto" w:val="clear"/>
            <w:vAlign w:val="bottom"/>
          </w:tcPr>
          <w:p>
            <w:pPr>
              <w:pStyle w:val="TableContents"/>
              <w:spacing w:lineRule="atLeast" w:line="160" w:before="0" w:after="0"/>
              <w:ind w:left="0" w:right="0" w:hanging="0"/>
              <w:rPr/>
            </w:pPr>
            <w:r>
              <w:rPr/>
              <w:t> </w:t>
            </w:r>
          </w:p>
        </w:tc>
        <w:tc>
          <w:tcPr>
            <w:tcW w:w="1191"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GP</w:t>
            </w:r>
          </w:p>
        </w:tc>
        <w:tc>
          <w:tcPr>
            <w:tcW w:w="179" w:type="dxa"/>
            <w:tcBorders/>
            <w:shd w:fill="auto" w:val="clear"/>
            <w:vAlign w:val="bottom"/>
          </w:tcPr>
          <w:p>
            <w:pPr>
              <w:pStyle w:val="TableContents"/>
              <w:spacing w:lineRule="atLeast" w:line="160" w:before="0" w:after="0"/>
              <w:ind w:left="0" w:right="0" w:hanging="0"/>
              <w:rPr/>
            </w:pPr>
            <w:r>
              <w:rPr/>
              <w:t> </w:t>
            </w:r>
          </w:p>
        </w:tc>
        <w:tc>
          <w:tcPr>
            <w:tcW w:w="868" w:type="dxa"/>
            <w:gridSpan w:val="2"/>
            <w:tcBorders/>
            <w:shd w:fill="auto" w:val="clear"/>
            <w:vAlign w:val="bottom"/>
          </w:tcPr>
          <w:p>
            <w:pPr>
              <w:pStyle w:val="TableContents"/>
              <w:spacing w:lineRule="atLeast" w:line="160" w:before="0" w:after="0"/>
              <w:ind w:left="0" w:right="0" w:hanging="0"/>
              <w:rPr/>
            </w:pPr>
            <w:r>
              <w:rPr/>
              <w:t> </w:t>
            </w:r>
          </w:p>
        </w:tc>
        <w:tc>
          <w:tcPr>
            <w:tcW w:w="179" w:type="dxa"/>
            <w:tcBorders/>
            <w:shd w:fill="auto" w:val="clear"/>
            <w:vAlign w:val="bottom"/>
          </w:tcPr>
          <w:p>
            <w:pPr>
              <w:pStyle w:val="TableContents"/>
              <w:spacing w:lineRule="atLeast" w:line="160" w:before="0" w:after="0"/>
              <w:ind w:left="0" w:right="0" w:hanging="0"/>
              <w:rPr/>
            </w:pPr>
            <w:r>
              <w:rPr/>
              <w:t> </w:t>
            </w:r>
          </w:p>
        </w:tc>
        <w:tc>
          <w:tcPr>
            <w:tcW w:w="1005"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Net</w:t>
            </w:r>
          </w:p>
        </w:tc>
        <w:tc>
          <w:tcPr>
            <w:tcW w:w="324" w:type="dxa"/>
            <w:tcBorders/>
            <w:shd w:fill="auto" w:val="clear"/>
            <w:vAlign w:val="bottom"/>
          </w:tcPr>
          <w:p>
            <w:pPr>
              <w:pStyle w:val="TableContents"/>
              <w:spacing w:lineRule="atLeast" w:line="160" w:before="0" w:after="0"/>
              <w:ind w:left="0" w:right="0" w:hanging="0"/>
              <w:rPr/>
            </w:pPr>
            <w:r>
              <w:rPr/>
              <w:t> </w:t>
            </w:r>
          </w:p>
        </w:tc>
      </w:tr>
      <w:tr>
        <w:trPr/>
        <w:tc>
          <w:tcPr>
            <w:tcW w:w="2508"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Period</w:t>
            </w:r>
          </w:p>
        </w:tc>
        <w:tc>
          <w:tcPr>
            <w:tcW w:w="179" w:type="dxa"/>
            <w:tcBorders/>
            <w:shd w:fill="auto" w:val="clear"/>
            <w:vAlign w:val="bottom"/>
          </w:tcPr>
          <w:p>
            <w:pPr>
              <w:pStyle w:val="TableContents"/>
              <w:spacing w:lineRule="atLeast" w:line="160" w:before="0" w:after="0"/>
              <w:ind w:left="0" w:right="0" w:hanging="0"/>
              <w:rPr/>
            </w:pPr>
            <w:r>
              <w:rPr/>
              <w:t> </w:t>
            </w:r>
          </w:p>
        </w:tc>
        <w:tc>
          <w:tcPr>
            <w:tcW w:w="1148"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Units</w:t>
            </w:r>
          </w:p>
        </w:tc>
        <w:tc>
          <w:tcPr>
            <w:tcW w:w="179" w:type="dxa"/>
            <w:tcBorders/>
            <w:shd w:fill="auto" w:val="clear"/>
            <w:vAlign w:val="bottom"/>
          </w:tcPr>
          <w:p>
            <w:pPr>
              <w:pStyle w:val="TableContents"/>
              <w:spacing w:lineRule="atLeast" w:line="160" w:before="0" w:after="0"/>
              <w:ind w:left="0" w:right="0" w:hanging="0"/>
              <w:rPr/>
            </w:pPr>
            <w:r>
              <w:rPr/>
              <w:t> </w:t>
            </w:r>
          </w:p>
        </w:tc>
        <w:tc>
          <w:tcPr>
            <w:tcW w:w="1049"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Unit Price</w:t>
            </w:r>
          </w:p>
        </w:tc>
        <w:tc>
          <w:tcPr>
            <w:tcW w:w="179" w:type="dxa"/>
            <w:tcBorders/>
            <w:shd w:fill="auto" w:val="clear"/>
            <w:vAlign w:val="bottom"/>
          </w:tcPr>
          <w:p>
            <w:pPr>
              <w:pStyle w:val="TableContents"/>
              <w:spacing w:lineRule="atLeast" w:line="160" w:before="0" w:after="0"/>
              <w:ind w:left="0" w:right="0" w:hanging="0"/>
              <w:rPr/>
            </w:pPr>
            <w:r>
              <w:rPr/>
              <w:t> </w:t>
            </w:r>
          </w:p>
        </w:tc>
        <w:tc>
          <w:tcPr>
            <w:tcW w:w="1038"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from Sale</w:t>
            </w:r>
          </w:p>
        </w:tc>
        <w:tc>
          <w:tcPr>
            <w:tcW w:w="179" w:type="dxa"/>
            <w:tcBorders/>
            <w:shd w:fill="auto" w:val="clear"/>
            <w:vAlign w:val="bottom"/>
          </w:tcPr>
          <w:p>
            <w:pPr>
              <w:pStyle w:val="TableContents"/>
              <w:spacing w:lineRule="atLeast" w:line="160" w:before="0" w:after="0"/>
              <w:ind w:left="0" w:right="0" w:hanging="0"/>
              <w:rPr/>
            </w:pPr>
            <w:r>
              <w:rPr/>
              <w:t> </w:t>
            </w:r>
          </w:p>
        </w:tc>
        <w:tc>
          <w:tcPr>
            <w:tcW w:w="1191"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Contribution</w:t>
            </w:r>
          </w:p>
        </w:tc>
        <w:tc>
          <w:tcPr>
            <w:tcW w:w="179" w:type="dxa"/>
            <w:tcBorders/>
            <w:shd w:fill="auto" w:val="clear"/>
            <w:vAlign w:val="bottom"/>
          </w:tcPr>
          <w:p>
            <w:pPr>
              <w:pStyle w:val="TableContents"/>
              <w:spacing w:lineRule="atLeast" w:line="160" w:before="0" w:after="0"/>
              <w:ind w:left="0" w:right="0" w:hanging="0"/>
              <w:rPr/>
            </w:pPr>
            <w:r>
              <w:rPr/>
              <w:t> </w:t>
            </w:r>
          </w:p>
        </w:tc>
        <w:tc>
          <w:tcPr>
            <w:tcW w:w="868"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Costs</w:t>
            </w:r>
          </w:p>
        </w:tc>
        <w:tc>
          <w:tcPr>
            <w:tcW w:w="179" w:type="dxa"/>
            <w:tcBorders/>
            <w:shd w:fill="auto" w:val="clear"/>
            <w:vAlign w:val="bottom"/>
          </w:tcPr>
          <w:p>
            <w:pPr>
              <w:pStyle w:val="TableContents"/>
              <w:spacing w:lineRule="atLeast" w:line="160" w:before="0" w:after="0"/>
              <w:ind w:left="0" w:right="0" w:hanging="0"/>
              <w:rPr/>
            </w:pPr>
            <w:r>
              <w:rPr/>
              <w:t> </w:t>
            </w:r>
          </w:p>
        </w:tc>
        <w:tc>
          <w:tcPr>
            <w:tcW w:w="100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Proceeds</w:t>
            </w:r>
          </w:p>
        </w:tc>
        <w:tc>
          <w:tcPr>
            <w:tcW w:w="324" w:type="dxa"/>
            <w:tcBorders/>
            <w:shd w:fill="auto" w:val="clear"/>
            <w:vAlign w:val="bottom"/>
          </w:tcPr>
          <w:p>
            <w:pPr>
              <w:pStyle w:val="TableContents"/>
              <w:spacing w:lineRule="atLeast" w:line="160" w:before="0" w:after="0"/>
              <w:ind w:left="0" w:right="0" w:hanging="0"/>
              <w:rPr/>
            </w:pPr>
            <w:r>
              <w:rPr/>
              <w:t> </w:t>
            </w:r>
          </w:p>
        </w:tc>
      </w:tr>
      <w:tr>
        <w:trPr/>
        <w:tc>
          <w:tcPr>
            <w:tcW w:w="2508" w:type="dxa"/>
            <w:tcBorders/>
            <w:shd w:fill="auto" w:val="clear"/>
            <w:vAlign w:val="bottom"/>
          </w:tcPr>
          <w:p>
            <w:pPr>
              <w:pStyle w:val="TableContents"/>
              <w:spacing w:lineRule="atLeast" w:line="160" w:before="0" w:after="0"/>
              <w:ind w:left="0" w:right="0" w:hanging="0"/>
              <w:rPr/>
            </w:pPr>
            <w:r>
              <w:rPr/>
              <w:t> </w:t>
            </w:r>
          </w:p>
        </w:tc>
        <w:tc>
          <w:tcPr>
            <w:tcW w:w="179" w:type="dxa"/>
            <w:tcBorders/>
            <w:shd w:fill="auto" w:val="clear"/>
            <w:vAlign w:val="bottom"/>
          </w:tcPr>
          <w:p>
            <w:pPr>
              <w:pStyle w:val="TableContents"/>
              <w:spacing w:lineRule="atLeast" w:line="160" w:before="0" w:after="0"/>
              <w:ind w:left="0" w:right="0" w:hanging="0"/>
              <w:rPr/>
            </w:pPr>
            <w:r>
              <w:rPr/>
              <w:t> </w:t>
            </w:r>
          </w:p>
        </w:tc>
        <w:tc>
          <w:tcPr>
            <w:tcW w:w="6010" w:type="dxa"/>
            <w:gridSpan w:val="13"/>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 except per unit amounts)</w:t>
            </w:r>
          </w:p>
        </w:tc>
        <w:tc>
          <w:tcPr>
            <w:tcW w:w="179" w:type="dxa"/>
            <w:tcBorders/>
            <w:shd w:fill="auto" w:val="clear"/>
            <w:vAlign w:val="bottom"/>
          </w:tcPr>
          <w:p>
            <w:pPr>
              <w:pStyle w:val="TableContents"/>
              <w:spacing w:lineRule="atLeast" w:line="160" w:before="0" w:after="0"/>
              <w:ind w:left="0" w:right="0" w:hanging="0"/>
              <w:rPr/>
            </w:pPr>
            <w:r>
              <w:rPr/>
              <w:t> </w:t>
            </w:r>
          </w:p>
        </w:tc>
        <w:tc>
          <w:tcPr>
            <w:tcW w:w="1005" w:type="dxa"/>
            <w:gridSpan w:val="2"/>
            <w:tcBorders/>
            <w:shd w:fill="auto" w:val="clear"/>
            <w:vAlign w:val="bottom"/>
          </w:tcPr>
          <w:p>
            <w:pPr>
              <w:pStyle w:val="TableContents"/>
              <w:spacing w:lineRule="atLeast" w:line="160" w:before="0" w:after="0"/>
              <w:ind w:left="0" w:right="0" w:hanging="0"/>
              <w:rPr/>
            </w:pPr>
            <w:r>
              <w:rPr/>
              <w:t> </w:t>
            </w:r>
          </w:p>
        </w:tc>
        <w:tc>
          <w:tcPr>
            <w:tcW w:w="324" w:type="dxa"/>
            <w:tcBorders/>
            <w:shd w:fill="auto" w:val="clear"/>
            <w:vAlign w:val="bottom"/>
          </w:tcPr>
          <w:p>
            <w:pPr>
              <w:pStyle w:val="TableContents"/>
              <w:spacing w:lineRule="atLeast" w:line="160" w:before="0" w:after="0"/>
              <w:ind w:left="0" w:right="0" w:hanging="0"/>
              <w:rPr/>
            </w:pPr>
            <w:r>
              <w:rPr/>
              <w:t> </w:t>
            </w:r>
          </w:p>
        </w:tc>
      </w:tr>
      <w:tr>
        <w:trPr/>
        <w:tc>
          <w:tcPr>
            <w:tcW w:w="250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July/August 2006</w:t>
            </w:r>
          </w:p>
        </w:tc>
        <w:tc>
          <w:tcPr>
            <w:tcW w:w="179" w:type="dxa"/>
            <w:tcBorders/>
            <w:shd w:fill="CCEEFF" w:val="clear"/>
            <w:vAlign w:val="bottom"/>
          </w:tcPr>
          <w:p>
            <w:pPr>
              <w:pStyle w:val="TableContents"/>
              <w:spacing w:before="0" w:after="0"/>
              <w:ind w:left="0" w:right="0" w:hanging="0"/>
              <w:rPr/>
            </w:pPr>
            <w:r>
              <w:rPr/>
              <w:t> </w:t>
            </w:r>
          </w:p>
        </w:tc>
        <w:tc>
          <w:tcPr>
            <w:tcW w:w="11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3,720,930</w:t>
            </w:r>
          </w:p>
        </w:tc>
        <w:tc>
          <w:tcPr>
            <w:tcW w:w="179" w:type="dxa"/>
            <w:tcBorders/>
            <w:shd w:fill="CCEEFF" w:val="cle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43.00</w:t>
            </w:r>
          </w:p>
        </w:tc>
        <w:tc>
          <w:tcPr>
            <w:tcW w:w="179" w:type="dxa"/>
            <w:tcBorders/>
            <w:shd w:fill="CCEEFF" w:val="clear"/>
            <w:vAlign w:val="bottom"/>
          </w:tcPr>
          <w:p>
            <w:pPr>
              <w:pStyle w:val="TableContents"/>
              <w:spacing w:before="0" w:after="0"/>
              <w:ind w:left="0" w:right="0" w:hanging="0"/>
              <w:rPr/>
            </w:pPr>
            <w:r>
              <w:rPr/>
              <w:t> </w:t>
            </w:r>
          </w:p>
        </w:tc>
        <w:tc>
          <w:tcPr>
            <w:tcW w:w="155"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160.0</w:t>
            </w:r>
          </w:p>
        </w:tc>
        <w:tc>
          <w:tcPr>
            <w:tcW w:w="179" w:type="dxa"/>
            <w:tcBorders/>
            <w:shd w:fill="CCEEFF" w:val="clear"/>
            <w:vAlign w:val="bottom"/>
          </w:tcPr>
          <w:p>
            <w:pPr>
              <w:pStyle w:val="TableContents"/>
              <w:spacing w:before="0" w:after="0"/>
              <w:ind w:left="0" w:right="0" w:hanging="0"/>
              <w:rPr/>
            </w:pPr>
            <w:r>
              <w:rPr/>
              <w:t> </w:t>
            </w:r>
          </w:p>
        </w:tc>
        <w:tc>
          <w:tcPr>
            <w:tcW w:w="247"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179"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0.1</w:t>
            </w:r>
          </w:p>
        </w:tc>
        <w:tc>
          <w:tcPr>
            <w:tcW w:w="179" w:type="dxa"/>
            <w:tcBorders/>
            <w:shd w:fill="CCEEFF" w:val="clear"/>
            <w:vAlign w:val="bottom"/>
          </w:tcPr>
          <w:p>
            <w:pPr>
              <w:pStyle w:val="TableContents"/>
              <w:spacing w:before="0" w:after="0"/>
              <w:ind w:left="0" w:right="0" w:hanging="0"/>
              <w:rPr/>
            </w:pPr>
            <w:r>
              <w:rPr/>
              <w:t> </w:t>
            </w:r>
          </w:p>
        </w:tc>
        <w:tc>
          <w:tcPr>
            <w:tcW w:w="148"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163.2</w:t>
            </w:r>
          </w:p>
        </w:tc>
        <w:tc>
          <w:tcPr>
            <w:tcW w:w="324" w:type="dxa"/>
            <w:tcBorders/>
            <w:shd w:fill="CCEEFF" w:val="clear"/>
            <w:vAlign w:val="bottom"/>
          </w:tcPr>
          <w:p>
            <w:pPr>
              <w:pStyle w:val="TableContents"/>
              <w:spacing w:before="0" w:after="0"/>
              <w:ind w:left="0" w:right="0" w:hanging="0"/>
              <w:rPr/>
            </w:pPr>
            <w:r>
              <w:rPr/>
              <w:t> </w:t>
            </w:r>
          </w:p>
        </w:tc>
      </w:tr>
      <w:tr>
        <w:trPr/>
        <w:tc>
          <w:tcPr>
            <w:tcW w:w="250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March/April 2006</w:t>
            </w:r>
          </w:p>
        </w:tc>
        <w:tc>
          <w:tcPr>
            <w:tcW w:w="179" w:type="dxa"/>
            <w:tcBorders/>
            <w:shd w:fill="auto" w:val="clear"/>
            <w:vAlign w:val="bottom"/>
          </w:tcPr>
          <w:p>
            <w:pPr>
              <w:pStyle w:val="TableContents"/>
              <w:spacing w:before="0" w:after="0"/>
              <w:ind w:left="0" w:right="0" w:hanging="0"/>
              <w:rPr/>
            </w:pPr>
            <w:r>
              <w:rPr/>
              <w:t> </w:t>
            </w:r>
          </w:p>
        </w:tc>
        <w:tc>
          <w:tcPr>
            <w:tcW w:w="11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3,504,672</w:t>
            </w:r>
          </w:p>
        </w:tc>
        <w:tc>
          <w:tcPr>
            <w:tcW w:w="179"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42.80</w:t>
            </w:r>
          </w:p>
        </w:tc>
        <w:tc>
          <w:tcPr>
            <w:tcW w:w="179" w:type="dxa"/>
            <w:tcBorders/>
            <w:shd w:fill="auto" w:val="clear"/>
            <w:vAlign w:val="bottom"/>
          </w:tcPr>
          <w:p>
            <w:pPr>
              <w:pStyle w:val="TableContents"/>
              <w:spacing w:before="0" w:after="0"/>
              <w:ind w:left="0" w:right="0" w:hanging="0"/>
              <w:rPr/>
            </w:pPr>
            <w:r>
              <w:rPr/>
              <w:t> </w:t>
            </w:r>
          </w:p>
        </w:tc>
        <w:tc>
          <w:tcPr>
            <w:tcW w:w="155"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151.0</w:t>
            </w:r>
          </w:p>
        </w:tc>
        <w:tc>
          <w:tcPr>
            <w:tcW w:w="179" w:type="dxa"/>
            <w:tcBorders/>
            <w:shd w:fill="auto" w:val="clear"/>
            <w:vAlign w:val="bottom"/>
          </w:tcPr>
          <w:p>
            <w:pPr>
              <w:pStyle w:val="TableContents"/>
              <w:spacing w:before="0" w:after="0"/>
              <w:ind w:left="0" w:right="0" w:hanging="0"/>
              <w:rPr/>
            </w:pPr>
            <w:r>
              <w:rPr/>
              <w:t> </w:t>
            </w:r>
          </w:p>
        </w:tc>
        <w:tc>
          <w:tcPr>
            <w:tcW w:w="247"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w:t>
            </w:r>
          </w:p>
        </w:tc>
        <w:tc>
          <w:tcPr>
            <w:tcW w:w="179"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0.6</w:t>
            </w:r>
          </w:p>
        </w:tc>
        <w:tc>
          <w:tcPr>
            <w:tcW w:w="179" w:type="dxa"/>
            <w:tcBorders/>
            <w:shd w:fill="auto" w:val="clear"/>
            <w:vAlign w:val="bottom"/>
          </w:tcPr>
          <w:p>
            <w:pPr>
              <w:pStyle w:val="TableContents"/>
              <w:spacing w:before="0" w:after="0"/>
              <w:ind w:left="0" w:right="0" w:hanging="0"/>
              <w:rPr/>
            </w:pPr>
            <w:r>
              <w:rPr/>
              <w:t> </w:t>
            </w:r>
          </w:p>
        </w:tc>
        <w:tc>
          <w:tcPr>
            <w:tcW w:w="148"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5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152.4</w:t>
            </w:r>
          </w:p>
        </w:tc>
        <w:tc>
          <w:tcPr>
            <w:tcW w:w="324" w:type="dxa"/>
            <w:tcBorders/>
            <w:shd w:fill="auto" w:val="clear"/>
            <w:vAlign w:val="bottom"/>
          </w:tcPr>
          <w:p>
            <w:pPr>
              <w:pStyle w:val="TableContents"/>
              <w:spacing w:before="0" w:after="0"/>
              <w:ind w:left="0" w:right="0" w:hanging="0"/>
              <w:rPr/>
            </w:pPr>
            <w:r>
              <w:rPr/>
              <w:t> </w:t>
            </w:r>
          </w:p>
        </w:tc>
      </w:tr>
      <w:tr>
        <w:trPr/>
        <w:tc>
          <w:tcPr>
            <w:tcW w:w="250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February 2005</w:t>
            </w:r>
          </w:p>
        </w:tc>
        <w:tc>
          <w:tcPr>
            <w:tcW w:w="179" w:type="dxa"/>
            <w:tcBorders/>
            <w:shd w:fill="CCEEFF" w:val="clear"/>
            <w:vAlign w:val="bottom"/>
          </w:tcPr>
          <w:p>
            <w:pPr>
              <w:pStyle w:val="TableContents"/>
              <w:spacing w:before="0" w:after="0"/>
              <w:ind w:left="0" w:right="0" w:hanging="0"/>
              <w:rPr/>
            </w:pPr>
            <w:r>
              <w:rPr/>
              <w:t> </w:t>
            </w:r>
          </w:p>
        </w:tc>
        <w:tc>
          <w:tcPr>
            <w:tcW w:w="114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575,000</w:t>
            </w:r>
          </w:p>
        </w:tc>
        <w:tc>
          <w:tcPr>
            <w:tcW w:w="179" w:type="dxa"/>
            <w:tcBorders/>
            <w:shd w:fill="CCEEFF" w:val="cle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38.13</w:t>
            </w:r>
          </w:p>
        </w:tc>
        <w:tc>
          <w:tcPr>
            <w:tcW w:w="179" w:type="dxa"/>
            <w:tcBorders/>
            <w:shd w:fill="CCEEFF" w:val="clear"/>
            <w:vAlign w:val="bottom"/>
          </w:tcPr>
          <w:p>
            <w:pPr>
              <w:pStyle w:val="TableContents"/>
              <w:spacing w:before="0" w:after="0"/>
              <w:ind w:left="0" w:right="0" w:hanging="0"/>
              <w:rPr/>
            </w:pPr>
            <w:r>
              <w:rPr/>
              <w:t> </w:t>
            </w:r>
          </w:p>
        </w:tc>
        <w:tc>
          <w:tcPr>
            <w:tcW w:w="155"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8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21.9</w:t>
            </w:r>
          </w:p>
        </w:tc>
        <w:tc>
          <w:tcPr>
            <w:tcW w:w="179" w:type="dxa"/>
            <w:tcBorders/>
            <w:shd w:fill="CCEEFF" w:val="clear"/>
            <w:vAlign w:val="bottom"/>
          </w:tcPr>
          <w:p>
            <w:pPr>
              <w:pStyle w:val="TableContents"/>
              <w:spacing w:before="0" w:after="0"/>
              <w:ind w:left="0" w:right="0" w:hanging="0"/>
              <w:rPr/>
            </w:pPr>
            <w:r>
              <w:rPr/>
              <w:t> </w:t>
            </w:r>
          </w:p>
        </w:tc>
        <w:tc>
          <w:tcPr>
            <w:tcW w:w="247"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0.5</w:t>
            </w:r>
          </w:p>
        </w:tc>
        <w:tc>
          <w:tcPr>
            <w:tcW w:w="179"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0.1</w:t>
            </w:r>
          </w:p>
        </w:tc>
        <w:tc>
          <w:tcPr>
            <w:tcW w:w="179" w:type="dxa"/>
            <w:tcBorders/>
            <w:shd w:fill="CCEEFF" w:val="clear"/>
            <w:vAlign w:val="bottom"/>
          </w:tcPr>
          <w:p>
            <w:pPr>
              <w:pStyle w:val="TableContents"/>
              <w:spacing w:before="0" w:after="0"/>
              <w:ind w:left="0" w:right="0" w:hanging="0"/>
              <w:rPr/>
            </w:pPr>
            <w:r>
              <w:rPr/>
              <w:t> </w:t>
            </w:r>
          </w:p>
        </w:tc>
        <w:tc>
          <w:tcPr>
            <w:tcW w:w="148"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22.3</w:t>
            </w:r>
          </w:p>
        </w:tc>
        <w:tc>
          <w:tcPr>
            <w:tcW w:w="32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keepNext w:val="true"/>
        <w:spacing w:before="0" w:after="240"/>
        <w:ind w:left="600" w:right="0" w:hanging="200"/>
        <w:rPr>
          <w:rFonts w:ascii="Times New Roman" w:hAnsi="Times New Roman"/>
          <w:i/>
          <w:sz w:val="17"/>
        </w:rPr>
      </w:pPr>
      <w:r>
        <w:rPr>
          <w:rFonts w:ascii="Times New Roman" w:hAnsi="Times New Roman"/>
          <w:i/>
          <w:sz w:val="17"/>
        </w:rPr>
        <w:t>Distributions</w:t>
      </w:r>
    </w:p>
    <w:p>
      <w:pPr>
        <w:pStyle w:val="TextBody"/>
        <w:spacing w:before="0" w:after="240"/>
        <w:ind w:left="0" w:right="0" w:firstLine="400"/>
        <w:rPr>
          <w:rFonts w:ascii="Times New Roman" w:hAnsi="Times New Roman"/>
          <w:sz w:val="17"/>
        </w:rPr>
      </w:pPr>
      <w:r>
        <w:rPr>
          <w:rFonts w:ascii="Times New Roman" w:hAnsi="Times New Roman"/>
          <w:sz w:val="17"/>
        </w:rPr>
        <w:t>The following table details the distributions we have declared and paid in the six months ended June 30, 2006 and 2005 (in millions, except per unit amounts):</w:t>
      </w:r>
    </w:p>
    <w:tbl>
      <w:tblPr>
        <w:tblW w:w="8575" w:type="dxa"/>
        <w:jc w:val="left"/>
        <w:tblInd w:w="0" w:type="dxa"/>
        <w:tblCellMar>
          <w:top w:w="0" w:type="dxa"/>
          <w:left w:w="0" w:type="dxa"/>
          <w:bottom w:w="0" w:type="dxa"/>
          <w:right w:w="0" w:type="dxa"/>
        </w:tblCellMar>
      </w:tblPr>
      <w:tblGrid>
        <w:gridCol w:w="3015"/>
        <w:gridCol w:w="240"/>
        <w:gridCol w:w="110"/>
        <w:gridCol w:w="750"/>
        <w:gridCol w:w="240"/>
        <w:gridCol w:w="110"/>
        <w:gridCol w:w="750"/>
        <w:gridCol w:w="240"/>
        <w:gridCol w:w="110"/>
        <w:gridCol w:w="750"/>
        <w:gridCol w:w="240"/>
        <w:gridCol w:w="110"/>
        <w:gridCol w:w="750"/>
        <w:gridCol w:w="240"/>
        <w:gridCol w:w="110"/>
        <w:gridCol w:w="750"/>
        <w:gridCol w:w="60"/>
      </w:tblGrid>
      <w:tr>
        <w:trPr/>
        <w:tc>
          <w:tcPr>
            <w:tcW w:w="3015" w:type="dxa"/>
            <w:tcBorders/>
            <w:shd w:fill="auto" w:val="clear"/>
            <w:vAlign w:val="bottom"/>
          </w:tcPr>
          <w:p>
            <w:pPr>
              <w:pStyle w:val="TableContents"/>
              <w:spacing w:before="0" w:after="283"/>
              <w:ind w:left="0" w:right="0" w:hanging="0"/>
              <w:rPr>
                <w:sz w:val="4"/>
                <w:szCs w:val="4"/>
              </w:rPr>
            </w:pPr>
            <w:r>
              <w:rPr>
                <w:sz w:val="4"/>
                <w:szCs w:val="4"/>
              </w:rPr>
            </w:r>
          </w:p>
        </w:tc>
        <w:tc>
          <w:tcPr>
            <w:tcW w:w="240" w:type="dxa"/>
            <w:tcBorders/>
            <w:shd w:fill="auto" w:val="clear"/>
            <w:vAlign w:val="bottom"/>
          </w:tcPr>
          <w:p>
            <w:pPr>
              <w:pStyle w:val="TableContents"/>
              <w:spacing w:lineRule="atLeast" w:line="160" w:before="0" w:after="0"/>
              <w:ind w:left="0" w:right="0" w:hanging="0"/>
              <w:rPr/>
            </w:pPr>
            <w:r>
              <w:rPr/>
              <w:t> </w:t>
            </w:r>
          </w:p>
        </w:tc>
        <w:tc>
          <w:tcPr>
            <w:tcW w:w="860"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Common</w:t>
            </w:r>
          </w:p>
        </w:tc>
        <w:tc>
          <w:tcPr>
            <w:tcW w:w="240" w:type="dxa"/>
            <w:tcBorders/>
            <w:shd w:fill="auto" w:val="clear"/>
            <w:vAlign w:val="bottom"/>
          </w:tcPr>
          <w:p>
            <w:pPr>
              <w:pStyle w:val="TableContents"/>
              <w:spacing w:lineRule="atLeast" w:line="160" w:before="0" w:after="0"/>
              <w:ind w:left="0" w:right="0" w:hanging="0"/>
              <w:rPr/>
            </w:pPr>
            <w:r>
              <w:rPr/>
              <w:t> </w:t>
            </w:r>
          </w:p>
        </w:tc>
        <w:tc>
          <w:tcPr>
            <w:tcW w:w="196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GP</w:t>
            </w:r>
          </w:p>
        </w:tc>
        <w:tc>
          <w:tcPr>
            <w:tcW w:w="240" w:type="dxa"/>
            <w:tcBorders/>
            <w:shd w:fill="auto" w:val="clear"/>
            <w:vAlign w:val="bottom"/>
          </w:tcPr>
          <w:p>
            <w:pPr>
              <w:pStyle w:val="TableContents"/>
              <w:spacing w:lineRule="atLeast" w:line="160" w:before="0" w:after="0"/>
              <w:ind w:left="0" w:right="0" w:hanging="0"/>
              <w:rPr/>
            </w:pPr>
            <w:r>
              <w:rPr/>
              <w:t> </w:t>
            </w:r>
          </w:p>
        </w:tc>
        <w:tc>
          <w:tcPr>
            <w:tcW w:w="860" w:type="dxa"/>
            <w:gridSpan w:val="2"/>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60"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Distribution</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301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Units</w:t>
            </w:r>
          </w:p>
        </w:tc>
        <w:tc>
          <w:tcPr>
            <w:tcW w:w="240" w:type="dxa"/>
            <w:tcBorders/>
            <w:shd w:fill="auto" w:val="clear"/>
            <w:vAlign w:val="bottom"/>
          </w:tcPr>
          <w:p>
            <w:pPr>
              <w:pStyle w:val="TableContents"/>
              <w:spacing w:lineRule="atLeast" w:line="160"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Incentive</w:t>
            </w:r>
          </w:p>
        </w:tc>
        <w:tc>
          <w:tcPr>
            <w:tcW w:w="240" w:type="dxa"/>
            <w:tcBorders/>
            <w:shd w:fill="auto" w:val="clear"/>
            <w:vAlign w:val="bottom"/>
          </w:tcPr>
          <w:p>
            <w:pPr>
              <w:pStyle w:val="TableContents"/>
              <w:spacing w:lineRule="atLeast" w:line="160"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w:t>
            </w:r>
          </w:p>
        </w:tc>
        <w:tc>
          <w:tcPr>
            <w:tcW w:w="240" w:type="dxa"/>
            <w:tcBorders/>
            <w:shd w:fill="auto" w:val="clear"/>
            <w:vAlign w:val="bottom"/>
          </w:tcPr>
          <w:p>
            <w:pPr>
              <w:pStyle w:val="TableContents"/>
              <w:spacing w:lineRule="atLeast" w:line="160"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Total</w:t>
            </w:r>
          </w:p>
        </w:tc>
        <w:tc>
          <w:tcPr>
            <w:tcW w:w="240" w:type="dxa"/>
            <w:tcBorders/>
            <w:shd w:fill="auto" w:val="clear"/>
            <w:vAlign w:val="bottom"/>
          </w:tcPr>
          <w:p>
            <w:pPr>
              <w:pStyle w:val="TableContents"/>
              <w:spacing w:lineRule="atLeast" w:line="160"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per unit</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3015" w:type="dxa"/>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r>
      <w:tr>
        <w:trPr/>
        <w:tc>
          <w:tcPr>
            <w:tcW w:w="30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May 15, 2006</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54.6</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7.4</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63.1</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0.7075</w:t>
            </w:r>
          </w:p>
        </w:tc>
        <w:tc>
          <w:tcPr>
            <w:tcW w:w="60" w:type="dxa"/>
            <w:tcBorders/>
            <w:shd w:fill="CCEEFF" w:val="clear"/>
            <w:vAlign w:val="bottom"/>
          </w:tcPr>
          <w:p>
            <w:pPr>
              <w:pStyle w:val="TableContents"/>
              <w:spacing w:before="0" w:after="0"/>
              <w:ind w:left="0" w:right="0" w:hanging="0"/>
              <w:rPr/>
            </w:pPr>
            <w:r>
              <w:rPr/>
              <w:t> </w:t>
            </w:r>
          </w:p>
        </w:tc>
      </w:tr>
      <w:tr>
        <w:trPr/>
        <w:tc>
          <w:tcPr>
            <w:tcW w:w="30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February 14, 2006</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50.7</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5.6</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57.3</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0.6875</w:t>
            </w:r>
          </w:p>
        </w:tc>
        <w:tc>
          <w:tcPr>
            <w:tcW w:w="60" w:type="dxa"/>
            <w:tcBorders/>
            <w:shd w:fill="auto" w:val="clear"/>
            <w:vAlign w:val="bottom"/>
          </w:tcPr>
          <w:p>
            <w:pPr>
              <w:pStyle w:val="TableContents"/>
              <w:spacing w:before="0" w:after="0"/>
              <w:ind w:left="0" w:right="0" w:hanging="0"/>
              <w:rPr/>
            </w:pPr>
            <w:r>
              <w:rPr/>
              <w:t> </w:t>
            </w:r>
          </w:p>
        </w:tc>
      </w:tr>
      <w:tr>
        <w:trPr/>
        <w:tc>
          <w:tcPr>
            <w:tcW w:w="30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2006 total</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105.3</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13.0</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2.1</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120.4</w:t>
            </w:r>
          </w:p>
        </w:tc>
        <w:tc>
          <w:tcPr>
            <w:tcW w:w="24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r>
      <w:tr>
        <w:trPr/>
        <w:tc>
          <w:tcPr>
            <w:tcW w:w="3015" w:type="dxa"/>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r>
      <w:tr>
        <w:trPr/>
        <w:tc>
          <w:tcPr>
            <w:tcW w:w="30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May 13, 2005</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43.3</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3.5</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0.9</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47.7</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0.6375</w:t>
            </w:r>
          </w:p>
        </w:tc>
        <w:tc>
          <w:tcPr>
            <w:tcW w:w="60" w:type="dxa"/>
            <w:tcBorders/>
            <w:shd w:fill="CCEEFF" w:val="clear"/>
            <w:vAlign w:val="bottom"/>
          </w:tcPr>
          <w:p>
            <w:pPr>
              <w:pStyle w:val="TableContents"/>
              <w:spacing w:before="0" w:after="0"/>
              <w:ind w:left="0" w:right="0" w:hanging="0"/>
              <w:rPr/>
            </w:pPr>
            <w:r>
              <w:rPr/>
              <w:t> </w:t>
            </w:r>
          </w:p>
        </w:tc>
      </w:tr>
      <w:tr>
        <w:trPr/>
        <w:tc>
          <w:tcPr>
            <w:tcW w:w="30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February 14, 2005</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41.2</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3.0</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0.8</w:t>
            </w:r>
          </w:p>
        </w:tc>
        <w:tc>
          <w:tcPr>
            <w:tcW w:w="240"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45.0</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0.6125</w:t>
            </w:r>
          </w:p>
        </w:tc>
        <w:tc>
          <w:tcPr>
            <w:tcW w:w="60" w:type="dxa"/>
            <w:tcBorders/>
            <w:shd w:fill="auto" w:val="clear"/>
            <w:vAlign w:val="bottom"/>
          </w:tcPr>
          <w:p>
            <w:pPr>
              <w:pStyle w:val="TableContents"/>
              <w:spacing w:before="0" w:after="0"/>
              <w:ind w:left="0" w:right="0" w:hanging="0"/>
              <w:rPr/>
            </w:pPr>
            <w:r>
              <w:rPr/>
              <w:t> </w:t>
            </w:r>
          </w:p>
        </w:tc>
      </w:tr>
      <w:tr>
        <w:trPr/>
        <w:tc>
          <w:tcPr>
            <w:tcW w:w="301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2005 total</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84.5</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6.5</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1.7</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92.7</w:t>
            </w:r>
          </w:p>
        </w:tc>
        <w:tc>
          <w:tcPr>
            <w:tcW w:w="240"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rPr/>
            </w:pPr>
            <w:r>
              <w:rPr/>
              <w:t> </w:t>
            </w:r>
          </w:p>
        </w:tc>
        <w:tc>
          <w:tcPr>
            <w:tcW w:w="6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240"/>
        <w:ind w:left="0" w:right="0" w:firstLine="400"/>
        <w:rPr>
          <w:rFonts w:ascii="Times New Roman" w:hAnsi="Times New Roman"/>
          <w:sz w:val="17"/>
        </w:rPr>
      </w:pPr>
      <w:r>
        <w:rPr>
          <w:rFonts w:ascii="Times New Roman" w:hAnsi="Times New Roman"/>
          <w:sz w:val="17"/>
        </w:rPr>
        <w:t>On July 14, 2006, we declared a cash distribution of $0.7250 per unit on our outstanding common units. The distribution is payable on August 14, 2006, to unitholders of record on August 4, 2006, for the period April 1, 2006, through June 30, 2006. The total distribution to be paid is approximately $69 million, with approximately $59 million to be paid to our common unitholders and approximately $1 million and $9 million to be paid to our general partner for its general partner and incentive distribution interests, respectively.</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Note 8Long-Term Incentive Plans</w:t>
      </w:r>
    </w:p>
    <w:p>
      <w:pPr>
        <w:pStyle w:val="TextBody"/>
        <w:spacing w:before="0" w:after="240"/>
        <w:ind w:left="0" w:right="0" w:firstLine="400"/>
        <w:rPr>
          <w:rFonts w:ascii="Times New Roman" w:hAnsi="Times New Roman"/>
          <w:sz w:val="17"/>
        </w:rPr>
      </w:pPr>
      <w:r>
        <w:rPr>
          <w:rFonts w:ascii="Times New Roman" w:hAnsi="Times New Roman"/>
          <w:sz w:val="17"/>
        </w:rPr>
        <w:t>Our general partner has adopted the Plains All American GP LLC 1998 Long-Term Incentive Plan and the 2005 Long-Term Incentive Plan, collectively referred to as our Long-Term Incentive Plans (LTIP), for employees and directors of our general partner and its affiliates who perform services for us.  Awards contemplated by our LTIP include phantom units, restricted units, unit appreciation rights and unit options, as determined by the compensation committee or the board of directors (each an Award). Under our LTIP, up to 4.4 million units may be issued in satisfaction of Awards.  Certain Awards may also include distribution equivalent rights (DERs) at the discretion of the compensation committee or the board of directors.  Subject to applicable vesting criteria, a DER entitles the grantee to a cash payment equal to cash distributions paid on an outstanding common unit. Upon vesting, certain of the Awards may be settled in common units or equivalent cash value at the election of our general partner. Our general partner will be entitled to reimbursement by us for any costs incurred in settling obligations under our LTIP.</w:t>
      </w:r>
    </w:p>
    <w:p>
      <w:pPr>
        <w:pStyle w:val="TextBody"/>
        <w:spacing w:before="0" w:after="240"/>
        <w:ind w:left="0" w:right="0" w:firstLine="400"/>
        <w:rPr>
          <w:rFonts w:ascii="Times New Roman" w:hAnsi="Times New Roman"/>
          <w:sz w:val="17"/>
        </w:rPr>
      </w:pPr>
      <w:r>
        <w:rPr>
          <w:rFonts w:ascii="Times New Roman" w:hAnsi="Times New Roman"/>
          <w:sz w:val="17"/>
        </w:rPr>
        <w:t>As of June 30, 2006, there were approximately 2.2 million unvested phantom units outstanding with a weighted average grant-date fair value of approximately $32.22 per unit.  In addition, approximately 1.6 million of these Awards include DERs. Approximately 1.5 million of the Awards vest over a six-year period (with performance accelerators), while the remaining awards vest over time only if certain performance conditions are met and are forfeited after six years if the performance conditions are not met. The DERs vest over time (with performance accelerators) and terminate with the vesting or forfeiture of the related phantom units.</w:t>
      </w:r>
    </w:p>
    <w:p>
      <w:pPr>
        <w:pStyle w:val="TextBody"/>
        <w:spacing w:before="0" w:after="240"/>
        <w:ind w:left="0" w:right="0" w:firstLine="400"/>
        <w:rPr>
          <w:rFonts w:ascii="Times New Roman" w:hAnsi="Times New Roman"/>
          <w:sz w:val="17"/>
        </w:rPr>
      </w:pPr>
      <w:r>
        <w:rPr>
          <w:rFonts w:ascii="Times New Roman" w:hAnsi="Times New Roman"/>
          <w:sz w:val="17"/>
        </w:rPr>
        <w:t>In addition, four of our six non-employee directors each have received an LTIP award of 5,000 units. These awards vest annually in 25% increments (1,250 units each). The Awards have an automatic re-grant feature such that as they vest, an equivalent amount is granted. For the other two non-employee directors, any</w:t>
      </w:r>
    </w:p>
    <w:p>
      <w:pPr>
        <w:pStyle w:val="TextBody"/>
        <w:spacing w:before="480" w:after="480"/>
        <w:ind w:left="0" w:right="0" w:hanging="0"/>
        <w:rPr>
          <w:rFonts w:ascii="Times New Roman" w:hAnsi="Times New Roman"/>
          <w:sz w:val="17"/>
        </w:rPr>
      </w:pPr>
      <w:r>
        <w:rPr>
          <w:rFonts w:ascii="Times New Roman" w:hAnsi="Times New Roman"/>
          <w:sz w:val="17"/>
        </w:rPr>
        <w:t>14</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240"/>
        <w:ind w:left="0" w:right="0" w:hanging="0"/>
        <w:rPr>
          <w:rFonts w:ascii="Times New Roman" w:hAnsi="Times New Roman"/>
          <w:sz w:val="17"/>
        </w:rPr>
      </w:pPr>
      <w:r>
        <w:rPr>
          <w:rFonts w:ascii="Times New Roman" w:hAnsi="Times New Roman"/>
          <w:sz w:val="17"/>
        </w:rPr>
        <w:t>director compensation is assigned to the entity that designated them as directors. In those cases, no LTIP award was granted, but in lieu thereof, an equivalent cash payment is made.</w:t>
      </w:r>
    </w:p>
    <w:p>
      <w:pPr>
        <w:pStyle w:val="TextBody"/>
        <w:spacing w:before="0" w:after="240"/>
        <w:ind w:left="0" w:right="0" w:firstLine="400"/>
        <w:rPr>
          <w:rFonts w:ascii="Times New Roman" w:hAnsi="Times New Roman"/>
          <w:sz w:val="17"/>
        </w:rPr>
      </w:pPr>
      <w:r>
        <w:rPr>
          <w:rFonts w:ascii="Times New Roman" w:hAnsi="Times New Roman"/>
          <w:sz w:val="17"/>
        </w:rPr>
        <w:t>We adopted Statement of Financial Accounting Standards No.123(R) (revised 2004), Share Based Payment (SFAS 123(R)) on January 1, 2006 (See Note 13 for a discussion of recent accounting pronouncements). Under SFAS 123(R) the fair value of the Awards, which are subject to liability classification, is calculated based on the market price of our units at the balance sheet date adjusted for (i) the present value of any distributions that are probable of occurring on the underlying units over the vesting period that will not be received by the award recipients and (ii) an estimated forfeiture rate when appropriate. This fair value is then expensed over the period the Awards are earned. In addition, we recognize compensation expense for DER payments in the period the payment is earned.</w:t>
      </w:r>
    </w:p>
    <w:p>
      <w:pPr>
        <w:pStyle w:val="TextBody"/>
        <w:spacing w:before="0" w:after="240"/>
        <w:ind w:left="0" w:right="0" w:firstLine="400"/>
        <w:rPr>
          <w:rFonts w:ascii="Times New Roman" w:hAnsi="Times New Roman"/>
          <w:sz w:val="17"/>
        </w:rPr>
      </w:pPr>
      <w:r>
        <w:rPr>
          <w:rFonts w:ascii="Times New Roman" w:hAnsi="Times New Roman"/>
          <w:sz w:val="17"/>
        </w:rPr>
        <w:t>We recognized expense related to our LTIP of approximately $6 and $8 million during the second quarter, and $17 million and $10 million during the first six months of 2006 and 2005, respectively.  Additionally, we have an accrued liability of approximately $35 million associated with our LTIP as of June 30, 2006.</w:t>
      </w:r>
    </w:p>
    <w:p>
      <w:pPr>
        <w:pStyle w:val="TextBody"/>
        <w:keepNext w:val="true"/>
        <w:spacing w:before="0" w:after="240"/>
        <w:ind w:left="0" w:right="0" w:firstLine="400"/>
        <w:rPr>
          <w:rFonts w:ascii="Times New Roman" w:hAnsi="Times New Roman"/>
          <w:sz w:val="17"/>
        </w:rPr>
      </w:pPr>
      <w:r>
        <w:rPr>
          <w:rFonts w:ascii="Times New Roman" w:hAnsi="Times New Roman"/>
          <w:sz w:val="17"/>
        </w:rPr>
        <w:t>As of June 30, 2006, the weighted average contractual life of our outstanding Awards was approximately five years. Based on the June 30, 2006 fair value measurement, we expect to recognize an additional $56 million of expense over the life of our outstanding Awards related to the remaining unrecognized fair value. This estimate is based on the market price of our limited partner units at the end of the period and actual amounts may differ materially as a result of a change in market price. We estimate that the remaining fair value will be recognized in expense as shown below (in millions):</w:t>
      </w:r>
    </w:p>
    <w:tbl>
      <w:tblPr>
        <w:tblW w:w="4925" w:type="dxa"/>
        <w:jc w:val="left"/>
        <w:tblInd w:w="0" w:type="dxa"/>
        <w:tblCellMar>
          <w:top w:w="0" w:type="dxa"/>
          <w:left w:w="0" w:type="dxa"/>
          <w:bottom w:w="0" w:type="dxa"/>
          <w:right w:w="0" w:type="dxa"/>
        </w:tblCellMar>
      </w:tblPr>
      <w:tblGrid>
        <w:gridCol w:w="3690"/>
        <w:gridCol w:w="240"/>
        <w:gridCol w:w="110"/>
        <w:gridCol w:w="825"/>
        <w:gridCol w:w="60"/>
      </w:tblGrid>
      <w:tr>
        <w:trPr/>
        <w:tc>
          <w:tcPr>
            <w:tcW w:w="3690" w:type="dxa"/>
            <w:tcBorders/>
            <w:shd w:fill="auto" w:val="clear"/>
            <w:vAlign w:val="bottom"/>
          </w:tcPr>
          <w:p>
            <w:pPr>
              <w:pStyle w:val="TableContents"/>
              <w:spacing w:before="0" w:after="283"/>
              <w:ind w:left="0" w:right="0" w:hanging="0"/>
              <w:rPr>
                <w:sz w:val="4"/>
                <w:szCs w:val="4"/>
              </w:rPr>
            </w:pPr>
            <w:r>
              <w:rPr>
                <w:sz w:val="4"/>
                <w:szCs w:val="4"/>
              </w:rPr>
            </w:r>
          </w:p>
        </w:tc>
        <w:tc>
          <w:tcPr>
            <w:tcW w:w="240" w:type="dxa"/>
            <w:tcBorders/>
            <w:shd w:fill="auto" w:val="clear"/>
            <w:vAlign w:val="bottom"/>
          </w:tcPr>
          <w:p>
            <w:pPr>
              <w:pStyle w:val="TableContents"/>
              <w:spacing w:lineRule="atLeast" w:line="160" w:before="0" w:after="0"/>
              <w:ind w:left="0" w:right="0" w:hanging="0"/>
              <w:rPr/>
            </w:pPr>
            <w:r>
              <w:rPr/>
              <w:t> </w:t>
            </w:r>
          </w:p>
        </w:tc>
        <w:tc>
          <w:tcPr>
            <w:tcW w:w="935"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LTIP</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369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35"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Fair Value</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3690"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jc w:val="left"/>
              <w:rPr>
                <w:rFonts w:ascii="Times New Roman" w:hAnsi="Times New Roman"/>
                <w:b/>
                <w:sz w:val="13"/>
              </w:rPr>
            </w:pPr>
            <w:r>
              <w:rPr>
                <w:rFonts w:ascii="Times New Roman" w:hAnsi="Times New Roman"/>
                <w:b/>
                <w:sz w:val="13"/>
              </w:rPr>
              <w:t>Year</w:t>
            </w:r>
          </w:p>
        </w:tc>
        <w:tc>
          <w:tcPr>
            <w:tcW w:w="240" w:type="dxa"/>
            <w:tcBorders/>
            <w:shd w:fill="auto" w:val="clear"/>
            <w:vAlign w:val="bottom"/>
          </w:tcPr>
          <w:p>
            <w:pPr>
              <w:pStyle w:val="TableContents"/>
              <w:spacing w:lineRule="atLeast" w:line="160" w:before="0" w:after="0"/>
              <w:ind w:left="0" w:right="0" w:hanging="0"/>
              <w:rPr/>
            </w:pPr>
            <w:r>
              <w:rPr/>
              <w:t> </w:t>
            </w:r>
          </w:p>
        </w:tc>
        <w:tc>
          <w:tcPr>
            <w:tcW w:w="93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Amortization</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3690" w:type="dxa"/>
            <w:tcBorders/>
            <w:shd w:fill="CCEEFF" w:val="clear"/>
          </w:tcPr>
          <w:p>
            <w:pPr>
              <w:pStyle w:val="TableContents"/>
              <w:spacing w:before="0" w:after="0"/>
              <w:ind w:left="0" w:right="0" w:hanging="0"/>
              <w:rPr/>
            </w:pPr>
            <w:r>
              <w:rPr>
                <w:rFonts w:ascii="Times New Roman" w:hAnsi="Times New Roman"/>
                <w:sz w:val="17"/>
              </w:rPr>
              <w:t xml:space="preserve">2006 </w:t>
            </w:r>
            <w:r>
              <w:rPr>
                <w:sz w:val="11"/>
              </w:rPr>
              <w:t>(1)</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13.5</w:t>
            </w:r>
          </w:p>
        </w:tc>
        <w:tc>
          <w:tcPr>
            <w:tcW w:w="60" w:type="dxa"/>
            <w:tcBorders/>
            <w:shd w:fill="CCEEFF" w:val="clear"/>
            <w:vAlign w:val="bottom"/>
          </w:tcPr>
          <w:p>
            <w:pPr>
              <w:pStyle w:val="TableContents"/>
              <w:spacing w:before="0" w:after="0"/>
              <w:ind w:left="0" w:right="0" w:hanging="0"/>
              <w:rPr/>
            </w:pPr>
            <w:r>
              <w:rPr/>
              <w:t> </w:t>
            </w:r>
          </w:p>
        </w:tc>
      </w:tr>
      <w:tr>
        <w:trPr/>
        <w:tc>
          <w:tcPr>
            <w:tcW w:w="36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2007</w:t>
            </w:r>
          </w:p>
        </w:tc>
        <w:tc>
          <w:tcPr>
            <w:tcW w:w="240"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19.1</w:t>
            </w:r>
          </w:p>
        </w:tc>
        <w:tc>
          <w:tcPr>
            <w:tcW w:w="60" w:type="dxa"/>
            <w:tcBorders/>
            <w:shd w:fill="auto" w:val="clear"/>
            <w:vAlign w:val="bottom"/>
          </w:tcPr>
          <w:p>
            <w:pPr>
              <w:pStyle w:val="TableContents"/>
              <w:spacing w:before="0" w:after="0"/>
              <w:ind w:left="0" w:right="0" w:hanging="0"/>
              <w:rPr/>
            </w:pPr>
            <w:r>
              <w:rPr/>
              <w:t> </w:t>
            </w:r>
          </w:p>
        </w:tc>
      </w:tr>
      <w:tr>
        <w:trPr/>
        <w:tc>
          <w:tcPr>
            <w:tcW w:w="369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2008</w:t>
            </w:r>
          </w:p>
        </w:tc>
        <w:tc>
          <w:tcPr>
            <w:tcW w:w="240"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12.9</w:t>
            </w:r>
          </w:p>
        </w:tc>
        <w:tc>
          <w:tcPr>
            <w:tcW w:w="60" w:type="dxa"/>
            <w:tcBorders/>
            <w:shd w:fill="CCEEFF" w:val="clear"/>
            <w:vAlign w:val="bottom"/>
          </w:tcPr>
          <w:p>
            <w:pPr>
              <w:pStyle w:val="TableContents"/>
              <w:spacing w:before="0" w:after="0"/>
              <w:ind w:left="0" w:right="0" w:hanging="0"/>
              <w:rPr/>
            </w:pPr>
            <w:r>
              <w:rPr/>
              <w:t> </w:t>
            </w:r>
          </w:p>
        </w:tc>
      </w:tr>
      <w:tr>
        <w:trPr/>
        <w:tc>
          <w:tcPr>
            <w:tcW w:w="36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2009</w:t>
            </w:r>
          </w:p>
        </w:tc>
        <w:tc>
          <w:tcPr>
            <w:tcW w:w="240"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8.4</w:t>
            </w:r>
          </w:p>
        </w:tc>
        <w:tc>
          <w:tcPr>
            <w:tcW w:w="60" w:type="dxa"/>
            <w:tcBorders/>
            <w:shd w:fill="auto" w:val="clear"/>
            <w:vAlign w:val="bottom"/>
          </w:tcPr>
          <w:p>
            <w:pPr>
              <w:pStyle w:val="TableContents"/>
              <w:spacing w:before="0" w:after="0"/>
              <w:ind w:left="0" w:right="0" w:hanging="0"/>
              <w:rPr/>
            </w:pPr>
            <w:r>
              <w:rPr/>
              <w:t> </w:t>
            </w:r>
          </w:p>
        </w:tc>
      </w:tr>
      <w:tr>
        <w:trPr/>
        <w:tc>
          <w:tcPr>
            <w:tcW w:w="369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2010</w:t>
            </w:r>
          </w:p>
        </w:tc>
        <w:tc>
          <w:tcPr>
            <w:tcW w:w="240" w:type="dxa"/>
            <w:tcBorders/>
            <w:shd w:fill="CCEEFF" w:val="clear"/>
            <w:vAlign w:val="bottom"/>
          </w:tcPr>
          <w:p>
            <w:pPr>
              <w:pStyle w:val="TableContents"/>
              <w:spacing w:before="0" w:after="0"/>
              <w:ind w:left="0" w:right="0" w:hanging="0"/>
              <w:rPr/>
            </w:pPr>
            <w:r>
              <w:rPr/>
              <w:t> </w:t>
            </w:r>
          </w:p>
        </w:tc>
        <w:tc>
          <w:tcPr>
            <w:tcW w:w="93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2.3</w:t>
            </w:r>
          </w:p>
        </w:tc>
        <w:tc>
          <w:tcPr>
            <w:tcW w:w="60" w:type="dxa"/>
            <w:tcBorders/>
            <w:shd w:fill="CCEEFF" w:val="clear"/>
            <w:vAlign w:val="bottom"/>
          </w:tcPr>
          <w:p>
            <w:pPr>
              <w:pStyle w:val="TableContents"/>
              <w:spacing w:before="0" w:after="0"/>
              <w:ind w:left="0" w:right="0" w:hanging="0"/>
              <w:rPr/>
            </w:pPr>
            <w:r>
              <w:rPr/>
              <w:t> </w:t>
            </w:r>
          </w:p>
        </w:tc>
      </w:tr>
      <w:tr>
        <w:trPr/>
        <w:tc>
          <w:tcPr>
            <w:tcW w:w="36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2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56.2</w:t>
            </w:r>
          </w:p>
        </w:tc>
        <w:tc>
          <w:tcPr>
            <w:tcW w:w="6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rPr/>
      </w:pPr>
      <w:r>
        <w:rPr/>
      </w:r>
    </w:p>
    <w:p>
      <w:pPr>
        <w:pStyle w:val="TextBody"/>
        <w:keepNext w:val="true"/>
        <w:spacing w:before="0" w:after="240"/>
        <w:ind w:left="0" w:right="0" w:firstLine="400"/>
        <w:rPr>
          <w:rFonts w:ascii="Times New Roman" w:hAnsi="Times New Roman"/>
          <w:sz w:val="17"/>
        </w:rPr>
      </w:pPr>
      <w:r>
        <w:rPr>
          <w:rFonts w:ascii="Times New Roman" w:hAnsi="Times New Roman"/>
          <w:sz w:val="11"/>
        </w:rPr>
        <w:t>(1)</w:t>
      </w:r>
      <w:r>
        <w:rPr>
          <w:rFonts w:ascii="Times New Roman" w:hAnsi="Times New Roman"/>
          <w:sz w:val="17"/>
        </w:rPr>
        <w:t> Includes LTIP fair value amortization for the remaining six months of 2006.</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Note 9Derivative Instruments and Hedging Activities</w:t>
      </w:r>
    </w:p>
    <w:p>
      <w:pPr>
        <w:pStyle w:val="TextBody"/>
        <w:spacing w:before="0" w:after="240"/>
        <w:ind w:left="0" w:right="0" w:firstLine="400"/>
        <w:rPr>
          <w:rFonts w:ascii="Times New Roman" w:hAnsi="Times New Roman"/>
          <w:sz w:val="17"/>
        </w:rPr>
      </w:pPr>
      <w:r>
        <w:rPr>
          <w:rFonts w:ascii="Times New Roman" w:hAnsi="Times New Roman"/>
          <w:sz w:val="17"/>
        </w:rPr>
        <w:t>We utilize various derivative instruments to (i) manage our exposure to commodity price risk, (ii) engage in a controlled trading program, (iii) manage our exposure to interest rate risk and (iv) manage our exposure to currency exchange rate risk. Our risk management policies and procedures are designed to monitor interest rates, currency exchange rates, NYMEX, IPE and over-the-counter positions, as well as physical volumes, grades, locations and delivery schedules to ensure that our hedging activities address our market risks. Our policy is to formally document all relationships between hedging instruments and hedged items, as well as our risk management objectives and strategy for undertaking the hedge. We calculate hedge effectiveness on a quarterly basis.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that are used in hedging transactions are highly effective in offsetting changes in cash flows of the hedged items.</w:t>
      </w:r>
    </w:p>
    <w:p>
      <w:pPr>
        <w:pStyle w:val="TextBody"/>
        <w:spacing w:before="0" w:after="240"/>
        <w:ind w:left="0" w:right="0" w:firstLine="400"/>
        <w:rPr>
          <w:rFonts w:ascii="Times New Roman" w:hAnsi="Times New Roman"/>
          <w:i/>
          <w:sz w:val="17"/>
        </w:rPr>
      </w:pPr>
      <w:r>
        <w:rPr>
          <w:rFonts w:ascii="Times New Roman" w:hAnsi="Times New Roman"/>
          <w:i/>
          <w:sz w:val="17"/>
        </w:rPr>
        <w:t>Summary of Financial Impact</w:t>
      </w:r>
    </w:p>
    <w:p>
      <w:pPr>
        <w:pStyle w:val="TextBody"/>
        <w:spacing w:before="0" w:after="240"/>
        <w:ind w:left="0" w:right="0" w:firstLine="400"/>
        <w:rPr>
          <w:rFonts w:ascii="Times New Roman" w:hAnsi="Times New Roman"/>
          <w:sz w:val="17"/>
        </w:rPr>
      </w:pPr>
      <w:r>
        <w:rPr>
          <w:rFonts w:ascii="Times New Roman" w:hAnsi="Times New Roman"/>
          <w:sz w:val="17"/>
        </w:rPr>
        <w:t>The majority of our derivative activity is related to our commodity price risk hedging activities. Through these activities, we hedge our exposure to price fluctuations with respect to crude oil, LPG and natural gas</w:t>
      </w:r>
    </w:p>
    <w:p>
      <w:pPr>
        <w:pStyle w:val="TextBody"/>
        <w:spacing w:before="480" w:after="480"/>
        <w:ind w:left="0" w:right="0" w:hanging="0"/>
        <w:rPr>
          <w:rFonts w:ascii="Times New Roman" w:hAnsi="Times New Roman"/>
          <w:sz w:val="17"/>
        </w:rPr>
      </w:pPr>
      <w:r>
        <w:rPr>
          <w:rFonts w:ascii="Times New Roman" w:hAnsi="Times New Roman"/>
          <w:sz w:val="17"/>
        </w:rPr>
        <w:t>15</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240"/>
        <w:ind w:left="0" w:right="0" w:hanging="0"/>
        <w:rPr>
          <w:rFonts w:ascii="Times New Roman" w:hAnsi="Times New Roman"/>
          <w:sz w:val="17"/>
        </w:rPr>
      </w:pPr>
      <w:r>
        <w:rPr>
          <w:rFonts w:ascii="Times New Roman" w:hAnsi="Times New Roman"/>
          <w:sz w:val="17"/>
        </w:rPr>
        <w:t>as well as with respect to expected purchases, sales and transportation of these commodities. The derivative instruments we use consist primarily of futures and options contracts traded on the NYMEX, IPE and over-the-counter transactions, including commodity swap and option contracts entered into with financial institutions and other energy companies.</w:t>
      </w:r>
    </w:p>
    <w:p>
      <w:pPr>
        <w:pStyle w:val="TextBody"/>
        <w:spacing w:before="0" w:after="240"/>
        <w:ind w:left="0" w:right="0" w:firstLine="400"/>
        <w:rPr>
          <w:rFonts w:ascii="Times New Roman" w:hAnsi="Times New Roman"/>
          <w:sz w:val="17"/>
        </w:rPr>
      </w:pPr>
      <w:r>
        <w:rPr>
          <w:rFonts w:ascii="Times New Roman" w:hAnsi="Times New Roman"/>
          <w:sz w:val="17"/>
        </w:rPr>
        <w:t>The majority of the instruments that qualify for hedge accounting are cash flow hedges. Therefore, the corresponding changes in fair value for the effective portion of the hedges are deferred to Accumulated Other Comprehensive Income (OCI) and recognized in revenues or crude oil and LPG purchases and related costs in the periods during which the underlying physical transactions occur. Derivatives that do not qualify for hedge accounting and the portion of cash flow hedges that is not highly effective (as defined in SFAS No. 133, Accounting For Derivative Instruments and Hedging Activities, as amended (SFAS 133)) in offsetting changes in cash flows of the hedged items are marked-to-market in revenues each period.</w:t>
      </w:r>
    </w:p>
    <w:p>
      <w:pPr>
        <w:pStyle w:val="TextBody"/>
        <w:spacing w:before="0" w:after="240"/>
        <w:ind w:left="0" w:right="0" w:firstLine="400"/>
        <w:rPr>
          <w:rFonts w:ascii="Times New Roman" w:hAnsi="Times New Roman"/>
          <w:sz w:val="17"/>
        </w:rPr>
      </w:pPr>
      <w:r>
        <w:rPr>
          <w:rFonts w:ascii="Times New Roman" w:hAnsi="Times New Roman"/>
          <w:sz w:val="17"/>
        </w:rPr>
        <w:t>During the first half of 2006, our earnings include a net loss of approximately $8 million resulting from all derivative activities, including the change in fair value of open derivatives and settled derivatives taken to earnings during the period. This loss includes:</w:t>
      </w:r>
    </w:p>
    <w:p>
      <w:pPr>
        <w:pStyle w:val="TextBody"/>
        <w:spacing w:before="0" w:after="240"/>
        <w:ind w:left="720" w:right="0" w:hanging="360"/>
        <w:rPr>
          <w:rFonts w:ascii="Times New Roman" w:hAnsi="Times New Roman"/>
          <w:sz w:val="17"/>
        </w:rPr>
      </w:pPr>
      <w:r>
        <w:rPr>
          <w:rFonts w:ascii="Times New Roman" w:hAnsi="Times New Roman"/>
          <w:sz w:val="17"/>
        </w:rPr>
        <w:t>a)              A net mark-to-market loss of approximately $3 million (a $1 million and $2 million loss in each of the the first and second quarters of 2006, respectively), which is primarily comprised of the net change in fair value during the period of open derivatives used to hedge price exposure that do not qualify for hedge accounting and</w:t>
      </w:r>
    </w:p>
    <w:p>
      <w:pPr>
        <w:pStyle w:val="TextBody"/>
        <w:spacing w:before="0" w:after="240"/>
        <w:ind w:left="720" w:right="0" w:hanging="360"/>
        <w:rPr>
          <w:rFonts w:ascii="Times New Roman" w:hAnsi="Times New Roman"/>
          <w:sz w:val="17"/>
        </w:rPr>
      </w:pPr>
      <w:r>
        <w:rPr>
          <w:rFonts w:ascii="Times New Roman" w:hAnsi="Times New Roman"/>
          <w:sz w:val="17"/>
        </w:rPr>
        <w:t>b)             A net loss of approximately $5 million related to settled derivatives taken to earnings during the period. The majority of this net loss is related to cash flow hedges that were recognized in earnings in conjunction with the underlying physical transactions that occurred during the first half of 2006.</w:t>
      </w:r>
    </w:p>
    <w:p>
      <w:pPr>
        <w:pStyle w:val="TextBody"/>
        <w:keepNext w:val="true"/>
        <w:spacing w:before="0" w:after="240"/>
        <w:ind w:left="0" w:right="0" w:firstLine="400"/>
        <w:rPr>
          <w:rFonts w:ascii="Times New Roman" w:hAnsi="Times New Roman"/>
          <w:sz w:val="17"/>
        </w:rPr>
      </w:pPr>
      <w:r>
        <w:rPr>
          <w:rFonts w:ascii="Times New Roman" w:hAnsi="Times New Roman"/>
          <w:sz w:val="17"/>
        </w:rPr>
        <w:t>The following table summarizes the net assets and liabilities related to the fair value of our open derivative positions on our consolidated balance sheet as of June 30, 2006 and December 31, 2005, respectively (in millions):</w:t>
      </w:r>
    </w:p>
    <w:tbl>
      <w:tblPr>
        <w:tblW w:w="7720" w:type="dxa"/>
        <w:jc w:val="left"/>
        <w:tblInd w:w="0" w:type="dxa"/>
        <w:tblCellMar>
          <w:top w:w="0" w:type="dxa"/>
          <w:left w:w="0" w:type="dxa"/>
          <w:bottom w:w="0" w:type="dxa"/>
          <w:right w:w="0" w:type="dxa"/>
        </w:tblCellMar>
      </w:tblPr>
      <w:tblGrid>
        <w:gridCol w:w="5250"/>
        <w:gridCol w:w="240"/>
        <w:gridCol w:w="110"/>
        <w:gridCol w:w="840"/>
        <w:gridCol w:w="240"/>
        <w:gridCol w:w="110"/>
        <w:gridCol w:w="840"/>
        <w:gridCol w:w="90"/>
      </w:tblGrid>
      <w:tr>
        <w:trPr/>
        <w:tc>
          <w:tcPr>
            <w:tcW w:w="5250" w:type="dxa"/>
            <w:tcBorders/>
            <w:shd w:fill="auto" w:val="clear"/>
            <w:vAlign w:val="bottom"/>
          </w:tcPr>
          <w:p>
            <w:pPr>
              <w:pStyle w:val="TableContents"/>
              <w:spacing w:before="0" w:after="283"/>
              <w:ind w:left="0" w:right="0" w:hanging="0"/>
              <w:rPr>
                <w:sz w:val="4"/>
                <w:szCs w:val="4"/>
              </w:rPr>
            </w:pPr>
            <w:r>
              <w:rPr>
                <w:sz w:val="4"/>
                <w:szCs w:val="4"/>
              </w:rPr>
            </w:r>
          </w:p>
        </w:tc>
        <w:tc>
          <w:tcPr>
            <w:tcW w:w="240" w:type="dxa"/>
            <w:tcBorders/>
            <w:shd w:fill="auto" w:val="clear"/>
            <w:vAlign w:val="bottom"/>
          </w:tcPr>
          <w:p>
            <w:pPr>
              <w:pStyle w:val="TableContents"/>
              <w:spacing w:lineRule="atLeast" w:line="160" w:before="0" w:after="0"/>
              <w:ind w:left="0" w:right="0" w:hanging="0"/>
              <w:rPr/>
            </w:pPr>
            <w:r>
              <w:rPr/>
              <w:t> </w:t>
            </w:r>
          </w:p>
        </w:tc>
        <w:tc>
          <w:tcPr>
            <w:tcW w:w="950"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w:t>
            </w:r>
          </w:p>
        </w:tc>
        <w:tc>
          <w:tcPr>
            <w:tcW w:w="240" w:type="dxa"/>
            <w:tcBorders/>
            <w:shd w:fill="auto" w:val="clear"/>
            <w:vAlign w:val="bottom"/>
          </w:tcPr>
          <w:p>
            <w:pPr>
              <w:pStyle w:val="TableContents"/>
              <w:spacing w:lineRule="atLeast" w:line="160" w:before="0" w:after="0"/>
              <w:ind w:left="0" w:right="0" w:hanging="0"/>
              <w:rPr/>
            </w:pPr>
            <w:r>
              <w:rPr/>
              <w:t> </w:t>
            </w:r>
          </w:p>
        </w:tc>
        <w:tc>
          <w:tcPr>
            <w:tcW w:w="950"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December 31,</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25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5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240" w:type="dxa"/>
            <w:tcBorders/>
            <w:shd w:fill="auto" w:val="clear"/>
            <w:vAlign w:val="bottom"/>
          </w:tcPr>
          <w:p>
            <w:pPr>
              <w:pStyle w:val="TableContents"/>
              <w:spacing w:lineRule="atLeast" w:line="160" w:before="0" w:after="0"/>
              <w:ind w:left="0" w:right="0" w:hanging="0"/>
              <w:rPr/>
            </w:pPr>
            <w:r>
              <w:rPr/>
              <w:t> </w:t>
            </w:r>
          </w:p>
        </w:tc>
        <w:tc>
          <w:tcPr>
            <w:tcW w:w="95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250" w:type="dxa"/>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950"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950" w:type="dxa"/>
            <w:gridSpan w:val="2"/>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52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56.1</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45.7</w:t>
            </w:r>
          </w:p>
        </w:tc>
        <w:tc>
          <w:tcPr>
            <w:tcW w:w="90" w:type="dxa"/>
            <w:tcBorders/>
            <w:shd w:fill="CCEEFF" w:val="clear"/>
            <w:vAlign w:val="bottom"/>
          </w:tcPr>
          <w:p>
            <w:pPr>
              <w:pStyle w:val="TableContents"/>
              <w:spacing w:before="0" w:after="0"/>
              <w:ind w:left="0" w:right="0" w:hanging="0"/>
              <w:rPr/>
            </w:pPr>
            <w:r>
              <w:rPr/>
              <w:t> </w:t>
            </w:r>
          </w:p>
        </w:tc>
      </w:tr>
      <w:tr>
        <w:trPr/>
        <w:tc>
          <w:tcPr>
            <w:tcW w:w="5250" w:type="dxa"/>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950"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950" w:type="dxa"/>
            <w:gridSpan w:val="2"/>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52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long-term assets</w:t>
            </w:r>
          </w:p>
        </w:tc>
        <w:tc>
          <w:tcPr>
            <w:tcW w:w="240" w:type="dxa"/>
            <w:tcBorders/>
            <w:shd w:fill="CCEEFF" w:val="clear"/>
            <w:vAlign w:val="bottom"/>
          </w:tcPr>
          <w:p>
            <w:pPr>
              <w:pStyle w:val="TableContents"/>
              <w:spacing w:before="0" w:after="0"/>
              <w:ind w:left="0" w:right="0" w:hanging="0"/>
              <w:rPr/>
            </w:pPr>
            <w:r>
              <w:rPr/>
              <w:t> </w:t>
            </w:r>
          </w:p>
        </w:tc>
        <w:tc>
          <w:tcPr>
            <w:tcW w:w="95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8.3</w:t>
            </w:r>
          </w:p>
        </w:tc>
        <w:tc>
          <w:tcPr>
            <w:tcW w:w="240" w:type="dxa"/>
            <w:tcBorders/>
            <w:shd w:fill="CCEEFF" w:val="clear"/>
            <w:vAlign w:val="bottom"/>
          </w:tcPr>
          <w:p>
            <w:pPr>
              <w:pStyle w:val="TableContents"/>
              <w:spacing w:before="0" w:after="0"/>
              <w:ind w:left="0" w:right="0" w:hanging="0"/>
              <w:rPr/>
            </w:pPr>
            <w:r>
              <w:rPr/>
              <w:t> </w:t>
            </w:r>
          </w:p>
        </w:tc>
        <w:tc>
          <w:tcPr>
            <w:tcW w:w="95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5.5</w:t>
            </w:r>
          </w:p>
        </w:tc>
        <w:tc>
          <w:tcPr>
            <w:tcW w:w="90" w:type="dxa"/>
            <w:tcBorders/>
            <w:shd w:fill="CCEEFF" w:val="clear"/>
            <w:vAlign w:val="bottom"/>
          </w:tcPr>
          <w:p>
            <w:pPr>
              <w:pStyle w:val="TableContents"/>
              <w:spacing w:before="0" w:after="0"/>
              <w:ind w:left="0" w:right="0" w:hanging="0"/>
              <w:rPr/>
            </w:pPr>
            <w:r>
              <w:rPr/>
              <w:t> </w:t>
            </w:r>
          </w:p>
        </w:tc>
      </w:tr>
      <w:tr>
        <w:trPr/>
        <w:tc>
          <w:tcPr>
            <w:tcW w:w="5250" w:type="dxa"/>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950"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950" w:type="dxa"/>
            <w:gridSpan w:val="2"/>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52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240" w:type="dxa"/>
            <w:tcBorders/>
            <w:shd w:fill="CCEEFF" w:val="clear"/>
            <w:vAlign w:val="bottom"/>
          </w:tcPr>
          <w:p>
            <w:pPr>
              <w:pStyle w:val="TableContents"/>
              <w:spacing w:before="0" w:after="0"/>
              <w:ind w:left="0" w:right="0" w:hanging="0"/>
              <w:rPr/>
            </w:pPr>
            <w:r>
              <w:rPr/>
              <w:t> </w:t>
            </w:r>
          </w:p>
        </w:tc>
        <w:tc>
          <w:tcPr>
            <w:tcW w:w="95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(80.4</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(72.5</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50" w:type="dxa"/>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950"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950" w:type="dxa"/>
            <w:gridSpan w:val="2"/>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52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40" w:type="dxa"/>
            <w:tcBorders/>
            <w:shd w:fill="CCEEFF" w:val="clear"/>
            <w:vAlign w:val="bottom"/>
          </w:tcPr>
          <w:p>
            <w:pPr>
              <w:pStyle w:val="TableContents"/>
              <w:spacing w:before="0" w:after="0"/>
              <w:ind w:left="0" w:right="0" w:hanging="0"/>
              <w:rPr/>
            </w:pPr>
            <w:r>
              <w:rPr/>
              <w:t> </w:t>
            </w:r>
          </w:p>
        </w:tc>
        <w:tc>
          <w:tcPr>
            <w:tcW w:w="95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(9.6</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0"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(6.5</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50" w:type="dxa"/>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950"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950" w:type="dxa"/>
            <w:gridSpan w:val="2"/>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525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asset (liability)</w:t>
            </w:r>
          </w:p>
        </w:tc>
        <w:tc>
          <w:tcPr>
            <w:tcW w:w="24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(25.6</w:t>
            </w:r>
          </w:p>
        </w:tc>
        <w:tc>
          <w:tcPr>
            <w:tcW w:w="2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8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(27.8</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lineRule="atLeast" w:line="141" w:before="0" w:after="240"/>
        <w:ind w:left="0" w:right="0" w:hanging="0"/>
        <w:rPr/>
      </w:pPr>
      <w:r>
        <w:rPr/>
        <w:t> </w:t>
      </w:r>
    </w:p>
    <w:p>
      <w:pPr>
        <w:pStyle w:val="TextBody"/>
        <w:spacing w:before="0" w:after="240"/>
        <w:ind w:left="0" w:right="0" w:firstLine="400"/>
        <w:rPr>
          <w:rFonts w:ascii="Times New Roman" w:hAnsi="Times New Roman"/>
          <w:sz w:val="17"/>
        </w:rPr>
      </w:pPr>
      <w:r>
        <w:rPr>
          <w:rFonts w:ascii="Times New Roman" w:hAnsi="Times New Roman"/>
          <w:sz w:val="17"/>
        </w:rPr>
        <w:t>The net liability as of June 30, 2006 includes approximately $20 million of unrealized losses recognized in earnings and $6 million of unrealized losses on effective cash flow hedges that are deferred to OCI. The majority of the $20 million of unrealized losses that have been recognized in earnings relate to activities associated with our storage assets. In general, revenue from storing crude oil is reduced in a backwardated market (when oil prices for future deliveries are lower than for current deliveries) as there is less incentive to store crude oil from month to month. We enter into derivative contracts, including futures and options, that will offset the reduction in revenue by generating offsetting gains in a backwardated market structure. These derivatives do not qualify for hedge accounting because the contracts will not necessarily result in physical delivery.</w:t>
      </w:r>
    </w:p>
    <w:p>
      <w:pPr>
        <w:pStyle w:val="TextBody"/>
        <w:spacing w:before="480" w:after="480"/>
        <w:ind w:left="0" w:right="0" w:hanging="0"/>
        <w:rPr>
          <w:rFonts w:ascii="Times New Roman" w:hAnsi="Times New Roman"/>
          <w:sz w:val="17"/>
        </w:rPr>
      </w:pPr>
      <w:r>
        <w:rPr>
          <w:rFonts w:ascii="Times New Roman" w:hAnsi="Times New Roman"/>
          <w:sz w:val="17"/>
        </w:rPr>
        <w:t>16</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240"/>
        <w:ind w:left="0" w:right="0" w:firstLine="400"/>
        <w:rPr>
          <w:rFonts w:ascii="Times New Roman" w:hAnsi="Times New Roman"/>
          <w:sz w:val="17"/>
        </w:rPr>
      </w:pPr>
      <w:r>
        <w:rPr>
          <w:rFonts w:ascii="Times New Roman" w:hAnsi="Times New Roman"/>
          <w:sz w:val="17"/>
        </w:rPr>
        <w:t>At June 30, 2006, there was a total unrealized net loss of approximately $10 million deferred to OCI. This included approximately $6 million (referenced above), which predominantly related to unrealized losses on derivatives used to hedge physical inventory in storage that receive hedge accounting, and approximately $4 million relating to terminated interest rate swaps, which are being amortized to interest expense over the original terms of the terminated instruments. The inventory hedges are mostly short derivative positions that will result in losses when prices rise. These hedge losses are offset by an increase in the physical inventory value and will be reclassed into earnings from OCI in the same period that the underlying physical inventory is sold. The total amount of deferred net losses recorded in OCI are expected to be reclassified to future earnings contemporaneously with the related physical purchase or delivery of the underlying commodity or payments of interest.</w:t>
      </w:r>
    </w:p>
    <w:p>
      <w:pPr>
        <w:pStyle w:val="TextBody"/>
        <w:spacing w:before="0" w:after="240"/>
        <w:ind w:left="0" w:right="0" w:firstLine="400"/>
        <w:rPr>
          <w:rFonts w:ascii="Times New Roman" w:hAnsi="Times New Roman"/>
          <w:sz w:val="17"/>
        </w:rPr>
      </w:pPr>
      <w:r>
        <w:rPr>
          <w:rFonts w:ascii="Times New Roman" w:hAnsi="Times New Roman"/>
          <w:sz w:val="17"/>
        </w:rPr>
        <w:t>Of the total net loss deferred in OCI at June 30, 2006, a net loss of approximately $6 million will be reclassified into earnings in the next twelve months and the remaining net loss at various intervals (ending in 2016 for amounts related to our terminated interest rate swaps and 2009 for amounts related to our commodity price-risk hedging). Because a portion of these amounts is based on market prices at the current period end, actual amounts to be reclassified will differ and could vary materially as a result of changes in market conditions.</w:t>
      </w:r>
    </w:p>
    <w:p>
      <w:pPr>
        <w:pStyle w:val="TextBody"/>
        <w:spacing w:before="0" w:after="240"/>
        <w:ind w:left="0" w:right="0" w:firstLine="400"/>
        <w:rPr>
          <w:rFonts w:ascii="Times New Roman" w:hAnsi="Times New Roman"/>
          <w:sz w:val="17"/>
        </w:rPr>
      </w:pPr>
      <w:r>
        <w:rPr>
          <w:rFonts w:ascii="Times New Roman" w:hAnsi="Times New Roman"/>
          <w:sz w:val="17"/>
        </w:rPr>
        <w:t>During the six months ended June 30, 2006, no amounts were reclassified to earnings from OCI in connection with forecasted transactions that were no longer considered probable of occurring.</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Note 10Related Party Transactions</w:t>
      </w:r>
    </w:p>
    <w:p>
      <w:pPr>
        <w:pStyle w:val="TextBody"/>
        <w:spacing w:before="0" w:after="240"/>
        <w:ind w:left="0" w:right="0" w:firstLine="400"/>
        <w:rPr>
          <w:rFonts w:ascii="Times New Roman" w:hAnsi="Times New Roman"/>
          <w:sz w:val="17"/>
        </w:rPr>
      </w:pPr>
      <w:r>
        <w:rPr>
          <w:rFonts w:ascii="Times New Roman" w:hAnsi="Times New Roman"/>
          <w:sz w:val="17"/>
        </w:rPr>
        <w:t>PAA/Vulcan is developing a natural gas storage facility through its wholly owned subsidiary, Pine Prairie Energy Center, LLC (Pine Prairie). Proper functioning of the Pine Prairie storage caverns will require a minimum operating inventory contained in the caverns at all times (referred to as base gas). It is estimated that it will require approximately 7.3 billion cubic feet of base gas. During the first quarter of 2006, we arranged to provide the base gas for the storage facility to Pine Prairie at a price not to exceed $8.50 per million cubic feet. In conjunction with this arrangement, we executed hedges on the NYMEX for the relevant delivery periods of 2007, 2008 and 2009. We received a fee of approximately $1 million for our services to own and manage the hedge positions and to deliver the natural gas.</w:t>
      </w:r>
    </w:p>
    <w:p>
      <w:pPr>
        <w:pStyle w:val="TextBody"/>
        <w:spacing w:before="0" w:after="240"/>
        <w:ind w:left="0" w:right="0" w:firstLine="400"/>
        <w:rPr>
          <w:rFonts w:ascii="Times New Roman" w:hAnsi="Times New Roman"/>
          <w:sz w:val="17"/>
        </w:rPr>
      </w:pPr>
      <w:r>
        <w:rPr>
          <w:rFonts w:ascii="Times New Roman" w:hAnsi="Times New Roman"/>
          <w:sz w:val="17"/>
        </w:rPr>
        <w:t>In the first half of 2006, we sold 3,504,672 common units, approximately 20% of which were sold to investment funds affiliated with Kayne Anderson Capital Advisors, L.P. (KACALP). The net proceeds were used to fund a portion of the Andrews acquisition, to reduce indebtedness and for general partnership purposes. In addition, in July and August 2006, we sold a total of 3,720,930 common units, approximately 12.5% and 18.7% of which were sold to investment funds affiliated with KACALP and Vulcan Capital, respectively. KAFU Holdings, L.P., which owns 20.3% of our general partner and has a representative on our board of directors, is managed by KACALP. Vulcan Capital, the investment arm of Paul G. Allen, and its subsidiaries own approximately 54% of our general partner interest and has a representative on our board of directors. The proceeds from the third quarter offering will be used to fund a recently closed acquisition, a portion of a pending acquisition, repay indebtedness under our credit facilities and for general partnership purposes.</w:t>
      </w:r>
    </w:p>
    <w:p>
      <w:pPr>
        <w:pStyle w:val="TextBody"/>
        <w:spacing w:before="0" w:after="240"/>
        <w:ind w:left="0" w:right="0" w:firstLine="400"/>
        <w:rPr>
          <w:rFonts w:ascii="Times New Roman" w:hAnsi="Times New Roman"/>
          <w:sz w:val="17"/>
        </w:rPr>
      </w:pPr>
      <w:r>
        <w:rPr>
          <w:rFonts w:ascii="Times New Roman" w:hAnsi="Times New Roman"/>
          <w:sz w:val="17"/>
        </w:rPr>
        <w:t>On February 25, 2005, we issued 575,000 common units in a private placement to a subsidiary of Vulcan Energy.  The sale price was $38.13 per unit, which represented a 2.8% discount to the closing price of the units on February 24, 2005.  The sale resulted in net proceeds, including the general partners proportionate capital contribution ($0.5 million) and net of expenses associated with the sale, of approximately $22.3 million.</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Note 11Commitments and Contingencies</w:t>
      </w:r>
    </w:p>
    <w:p>
      <w:pPr>
        <w:pStyle w:val="TextBody"/>
        <w:spacing w:before="0" w:after="240"/>
        <w:ind w:left="0" w:right="0" w:firstLine="400"/>
        <w:rPr>
          <w:rFonts w:ascii="Times New Roman" w:hAnsi="Times New Roman"/>
          <w:strike w:val="false"/>
          <w:dstrike w:val="false"/>
          <w:sz w:val="17"/>
          <w:u w:val="none"/>
          <w:effect w:val="none"/>
        </w:rPr>
      </w:pPr>
      <w:r>
        <w:rPr>
          <w:rFonts w:ascii="Times New Roman" w:hAnsi="Times New Roman"/>
          <w:i/>
          <w:strike w:val="false"/>
          <w:dstrike w:val="false"/>
          <w:sz w:val="17"/>
          <w:u w:val="none"/>
          <w:effect w:val="none"/>
        </w:rPr>
        <w:t>Export License Matter.</w:t>
      </w:r>
      <w:r>
        <w:rPr>
          <w:rFonts w:ascii="Times New Roman" w:hAnsi="Times New Roman"/>
          <w:strike w:val="false"/>
          <w:dstrike w:val="false"/>
          <w:sz w:val="17"/>
          <w:u w:val="none"/>
          <w:effect w:val="none"/>
        </w:rPr>
        <w:t>   In our gathering and marketing activities, we import and export crude oil from and to Canada. Exports of crude oil are subject to the short supply controls of the Export Administration Regulations (EAR) and must be licensed by the Bureau of Industry and Security (the BIS) of the U.S. Commerce Department. In 2002, we determined that we may have violated the terms of our licenses with respect to the quantity of crude oil exported and the end-users in Canada. Export of crude oil except as authorized by license is a violation of the EAR. In October 2002, we submitted to the BIS an initial notification of voluntary disclosure. We subsequently supplemented the information in response to internal reviews and requests from the BIS. In March 2006, the BIS opened discussion regarding the settlement of any fines and penalties associated with the potential violations of the EAR. In June 2006, we settled this matter with the payment of approximately $82,000.</w:t>
      </w:r>
    </w:p>
    <w:p>
      <w:pPr>
        <w:pStyle w:val="TextBody"/>
        <w:spacing w:before="0" w:after="240"/>
        <w:ind w:left="0" w:right="0" w:firstLine="400"/>
        <w:rPr>
          <w:rFonts w:ascii="Times New Roman" w:hAnsi="Times New Roman"/>
          <w:strike w:val="false"/>
          <w:dstrike w:val="false"/>
          <w:sz w:val="17"/>
          <w:u w:val="none"/>
          <w:effect w:val="none"/>
        </w:rPr>
      </w:pPr>
      <w:r>
        <w:rPr>
          <w:rFonts w:ascii="Times New Roman" w:hAnsi="Times New Roman"/>
          <w:i/>
          <w:strike w:val="false"/>
          <w:dstrike w:val="false"/>
          <w:sz w:val="17"/>
          <w:u w:val="none"/>
          <w:effect w:val="none"/>
        </w:rPr>
        <w:t>Pipeline Releases.</w:t>
      </w:r>
      <w:r>
        <w:rPr>
          <w:rFonts w:ascii="Times New Roman" w:hAnsi="Times New Roman"/>
          <w:strike w:val="false"/>
          <w:dstrike w:val="false"/>
          <w:sz w:val="17"/>
          <w:u w:val="none"/>
          <w:effect w:val="none"/>
        </w:rPr>
        <w:t xml:space="preserve">   In January 2005 and December 2004, we experienced two unrelated releases of crude oil that reached rivers located near the sites where the releases originated. In early January 2005, an overflow from a temporary storage tank located in East Texas resulted in the release of approximately 1,200 barrels of crude oil, a portion of which reached the Sabine River. In late December 2004, one of our pipelines in West Texas experienced a rupture that resulted in the release of approximately 4,500 barrels of crude oil, a portion of which reached a remote location of the Pecos River. In both cases, emergency response personnel under the supervision of a unified command structure consisting of representatives of Plains Pipeline, the U.S. Environmental Protection Agency (EPA), the Texas Commission on Environmental Quality and the Texas Railroad Commission conducted clean-up operations at each site. Approximately 980 and 4,200 barrels were recovered from the two respective sites. The unrecovered oil was removed or otherwise addressed by us in the </w:t>
      </w:r>
    </w:p>
    <w:p>
      <w:pPr>
        <w:pStyle w:val="TextBody"/>
        <w:spacing w:before="480" w:after="480"/>
        <w:ind w:left="0" w:right="0" w:hanging="0"/>
        <w:rPr>
          <w:rFonts w:ascii="Times New Roman" w:hAnsi="Times New Roman"/>
          <w:sz w:val="17"/>
        </w:rPr>
      </w:pPr>
      <w:r>
        <w:rPr>
          <w:rFonts w:ascii="Times New Roman" w:hAnsi="Times New Roman"/>
          <w:sz w:val="17"/>
        </w:rPr>
        <w:t>17</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240"/>
        <w:ind w:left="0" w:right="0" w:hanging="0"/>
        <w:rPr>
          <w:rFonts w:ascii="Times New Roman" w:hAnsi="Times New Roman"/>
          <w:strike w:val="false"/>
          <w:dstrike w:val="false"/>
          <w:sz w:val="17"/>
          <w:u w:val="none"/>
          <w:effect w:val="none"/>
        </w:rPr>
      </w:pPr>
      <w:r>
        <w:rPr>
          <w:rFonts w:ascii="Times New Roman" w:hAnsi="Times New Roman"/>
          <w:strike w:val="false"/>
          <w:dstrike w:val="false"/>
          <w:sz w:val="17"/>
          <w:u w:val="none"/>
          <w:effect w:val="none"/>
        </w:rPr>
        <w:t>course of site remediation. Aggregate costs associated with the releases, including estimated remediation costs, are estimated to be approximately $4.5 million to $5.0 million. In cooperation with the appropriate state and federal environmental authorities, we have substantially completed our work with respect to site restoration, subject to some ongoing remediation at the Pecos River site. We have been informed by EPA that it has referred these two crude oil releases, as well as several other smaller releases, to the U.S. Department of Justice for further investigation in connection with a possible civil penalty enforcement action under the Federal Clean Water Act. Our assessment is that it is probable we will pay penalties related to the two releases. We have accrued the estimated loss contingency, which is included in the estimated aggregate costs set forth above. It is reasonably possible that the loss contingency may exceed our estimate with respect to penalties assessed by EPA; however, we have no indication from EPA or the Department of Justice of what penalties might be sought. As a result, we are unable to estimate the range of a reasonably possible loss contingency in excess of our accrual.</w:t>
      </w:r>
    </w:p>
    <w:p>
      <w:pPr>
        <w:pStyle w:val="TextBody"/>
        <w:spacing w:before="0" w:after="240"/>
        <w:ind w:left="0" w:right="0" w:firstLine="400"/>
        <w:rPr>
          <w:rFonts w:ascii="Times New Roman" w:hAnsi="Times New Roman"/>
          <w:sz w:val="17"/>
        </w:rPr>
      </w:pPr>
      <w:r>
        <w:rPr>
          <w:rFonts w:ascii="Times New Roman" w:hAnsi="Times New Roman"/>
          <w:i/>
          <w:sz w:val="17"/>
        </w:rPr>
        <w:t>General.</w:t>
      </w:r>
      <w:r>
        <w:rPr>
          <w:rFonts w:ascii="Times New Roman" w:hAnsi="Times New Roman"/>
          <w:sz w:val="17"/>
        </w:rPr>
        <w:t>   We, in the ordinary course of business, are a claimant and /or a defendant in various legal proceedings. To the extent we are able to assess the 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and in the aggregate, will have a materially adverse effect on our financial condition, results of operations or cash flows.</w:t>
      </w:r>
    </w:p>
    <w:p>
      <w:pPr>
        <w:pStyle w:val="TextBody"/>
        <w:keepNext w:val="true"/>
        <w:spacing w:before="0" w:after="240"/>
        <w:ind w:left="0" w:right="0" w:firstLine="400"/>
        <w:rPr>
          <w:rFonts w:ascii="Times New Roman" w:hAnsi="Times New Roman"/>
          <w:i/>
          <w:sz w:val="17"/>
        </w:rPr>
      </w:pPr>
      <w:r>
        <w:rPr>
          <w:rFonts w:ascii="Times New Roman" w:hAnsi="Times New Roman"/>
          <w:i/>
          <w:sz w:val="17"/>
        </w:rPr>
        <w:t xml:space="preserve">Other.  </w:t>
      </w:r>
      <w:r>
        <w:rPr>
          <w:rFonts w:ascii="Times New Roman" w:hAnsi="Times New Roman"/>
          <w:i w:val="false"/>
          <w:caps w:val="false"/>
          <w:smallCaps w:val="false"/>
          <w:sz w:val="17"/>
        </w:rPr>
        <w:t>A pipeline, terminal or other facility may experience damage as a result of an accident or natural disaster. These hazards can cause personal injury and loss of life, severe damage to and destruction of property and equipment, pollution or environmental damage and suspension of operations. We maintain insurance of various types that we consider adequate to cover our operations and properties. The insurance covers our assets in amounts considered reasonable. The insurance policies are subject to deductibles that we consider reasonable and not excessive. Our insurance does not cover every potential risk associated with operating pipelines, terminals and other facilities, including the potential loss of significant revenues. The overall trend in the environmental insurance industry appears to be a contraction in the breadth and depth of available coverage, while costs, deductibles and retention levels have increased. As a result of the significant wind damage claims filed following hurricanes Katrina, Rita and Wilma, the insurance industry has indicated that it will materially reduce the amount of coverage available for windstorm damages. Absent a material favorable change in the insurance markets, these trends are expected to continue as we continue to grow and expand. As a result, we anticipate that we will elect to self-insure more of our activities or incorporate higher retention in our insurance arrangements.</w:t>
      </w:r>
    </w:p>
    <w:p>
      <w:pPr>
        <w:pStyle w:val="TextBody"/>
        <w:spacing w:before="0" w:after="240"/>
        <w:ind w:left="0" w:right="0" w:firstLine="400"/>
        <w:rPr>
          <w:rFonts w:ascii="Times New Roman" w:hAnsi="Times New Roman"/>
          <w:sz w:val="17"/>
        </w:rPr>
      </w:pPr>
      <w:r>
        <w:rPr>
          <w:rFonts w:ascii="Times New Roman" w:hAnsi="Times New Roman"/>
          <w:sz w:val="17"/>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no assurance can be given that we will be able to maintain adequate insurance in the future at rates we consider reasonable, or that we have established adequate reserves to the extent that such risks are not insured.</w:t>
      </w:r>
    </w:p>
    <w:p>
      <w:pPr>
        <w:pStyle w:val="TextBody"/>
        <w:keepNext w:val="false"/>
        <w:pageBreakBefore w:val="false"/>
        <w:spacing w:before="0" w:after="240"/>
        <w:ind w:left="0" w:right="0" w:firstLine="400"/>
        <w:rPr>
          <w:rFonts w:ascii="Times New Roman" w:hAnsi="Times New Roman"/>
          <w:i w:val="false"/>
          <w:caps w:val="false"/>
          <w:smallCaps w:val="false"/>
          <w:sz w:val="17"/>
        </w:rPr>
      </w:pPr>
      <w:r>
        <w:rPr>
          <w:rFonts w:ascii="Times New Roman" w:hAnsi="Times New Roman"/>
          <w:i w:val="false"/>
          <w:caps w:val="false"/>
          <w:smallCaps w:val="false"/>
          <w:sz w:val="17"/>
        </w:rPr>
        <w:t>Effective May 1, 2006, we entered into a five-year agreement with a third party marine towing company to charter 22 inland tugboats and 22 tank barges.  Annual charter costs are projected to be approximately $22 million, subject to escalation limited by the increase in the Producer Price IndexFinished Goods.</w:t>
      </w:r>
    </w:p>
    <w:p>
      <w:pPr>
        <w:pStyle w:val="TextBody"/>
        <w:spacing w:before="0" w:after="240"/>
        <w:ind w:left="0" w:right="0" w:firstLine="400"/>
        <w:rPr/>
      </w:pPr>
      <w:r>
        <w:rPr/>
        <w:t> </w:t>
      </w:r>
    </w:p>
    <w:p>
      <w:pPr>
        <w:pStyle w:val="TextBody"/>
        <w:spacing w:before="480" w:after="480"/>
        <w:ind w:left="0" w:right="0" w:hanging="0"/>
        <w:rPr>
          <w:rFonts w:ascii="Times New Roman" w:hAnsi="Times New Roman"/>
          <w:sz w:val="17"/>
        </w:rPr>
      </w:pPr>
      <w:r>
        <w:rPr>
          <w:rFonts w:ascii="Times New Roman" w:hAnsi="Times New Roman"/>
          <w:sz w:val="17"/>
        </w:rPr>
        <w:t>18</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Note 12Operating Segments</w:t>
      </w:r>
    </w:p>
    <w:p>
      <w:pPr>
        <w:pStyle w:val="TextBody"/>
        <w:keepNext w:val="true"/>
        <w:spacing w:before="0" w:after="240"/>
        <w:ind w:left="0" w:right="0" w:firstLine="400"/>
        <w:rPr>
          <w:rFonts w:ascii="Times New Roman" w:hAnsi="Times New Roman"/>
          <w:sz w:val="17"/>
        </w:rPr>
      </w:pPr>
      <w:r>
        <w:rPr>
          <w:rFonts w:ascii="Times New Roman" w:hAnsi="Times New Roman"/>
          <w:sz w:val="17"/>
        </w:rPr>
        <w:t>Our operations consist of two operating segments: (i) pipeline transportation operations (Pipeline) and (ii) GMT&amp;S. Through our Pipeline segment, we engage in interstate and intrastate crude oil pipeline transportation and certain related margin activities. Through our GMT&amp;S segment, we engage in purchases and resales of crude oil and LPG at various points along the distribution chain, and we operate certain terminalling and storage assets. The following tables reflect certain financial data for each segment for the periods indicated:</w:t>
      </w:r>
    </w:p>
    <w:tbl>
      <w:tblPr>
        <w:tblW w:w="5000" w:type="pct"/>
        <w:jc w:val="left"/>
        <w:tblInd w:w="0" w:type="dxa"/>
        <w:tblCellMar>
          <w:top w:w="0" w:type="dxa"/>
          <w:left w:w="0" w:type="dxa"/>
          <w:bottom w:w="0" w:type="dxa"/>
          <w:right w:w="0" w:type="dxa"/>
        </w:tblCellMar>
      </w:tblPr>
      <w:tblGrid>
        <w:gridCol w:w="6606"/>
        <w:gridCol w:w="203"/>
        <w:gridCol w:w="117"/>
        <w:gridCol w:w="755"/>
        <w:gridCol w:w="203"/>
        <w:gridCol w:w="118"/>
        <w:gridCol w:w="789"/>
        <w:gridCol w:w="207"/>
        <w:gridCol w:w="117"/>
        <w:gridCol w:w="782"/>
        <w:gridCol w:w="308"/>
      </w:tblGrid>
      <w:tr>
        <w:trPr/>
        <w:tc>
          <w:tcPr>
            <w:tcW w:w="6606" w:type="dxa"/>
            <w:tcBorders/>
            <w:shd w:fill="auto" w:val="clear"/>
            <w:vAlign w:val="bottom"/>
          </w:tcPr>
          <w:p>
            <w:pPr>
              <w:pStyle w:val="TableContents"/>
              <w:spacing w:lineRule="atLeast" w:line="160" w:before="0" w:after="0"/>
              <w:ind w:left="0" w:right="0" w:hanging="0"/>
              <w:rPr/>
            </w:pPr>
            <w:r>
              <w:rPr/>
              <w:t> </w:t>
            </w:r>
          </w:p>
        </w:tc>
        <w:tc>
          <w:tcPr>
            <w:tcW w:w="203" w:type="dxa"/>
            <w:tcBorders/>
            <w:shd w:fill="auto" w:val="clear"/>
            <w:vAlign w:val="bottom"/>
          </w:tcPr>
          <w:p>
            <w:pPr>
              <w:pStyle w:val="TableContents"/>
              <w:spacing w:lineRule="atLeast" w:line="160"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Pipeline</w:t>
            </w:r>
          </w:p>
        </w:tc>
        <w:tc>
          <w:tcPr>
            <w:tcW w:w="203" w:type="dxa"/>
            <w:tcBorders/>
            <w:shd w:fill="auto" w:val="clear"/>
            <w:vAlign w:val="bottom"/>
          </w:tcPr>
          <w:p>
            <w:pPr>
              <w:pStyle w:val="TableContents"/>
              <w:spacing w:lineRule="atLeast" w:line="160" w:before="0" w:after="0"/>
              <w:ind w:left="0" w:right="0" w:hanging="0"/>
              <w:rPr/>
            </w:pPr>
            <w:r>
              <w:rPr/>
              <w:t> </w:t>
            </w:r>
          </w:p>
        </w:tc>
        <w:tc>
          <w:tcPr>
            <w:tcW w:w="907"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GMT&amp;S</w:t>
            </w:r>
          </w:p>
        </w:tc>
        <w:tc>
          <w:tcPr>
            <w:tcW w:w="207" w:type="dxa"/>
            <w:tcBorders/>
            <w:shd w:fill="auto" w:val="clear"/>
            <w:vAlign w:val="bottom"/>
          </w:tcPr>
          <w:p>
            <w:pPr>
              <w:pStyle w:val="TableContents"/>
              <w:spacing w:lineRule="atLeast" w:line="160" w:before="0" w:after="0"/>
              <w:ind w:left="0" w:right="0" w:hanging="0"/>
              <w:rPr/>
            </w:pPr>
            <w:r>
              <w:rPr/>
              <w:t> </w:t>
            </w:r>
          </w:p>
        </w:tc>
        <w:tc>
          <w:tcPr>
            <w:tcW w:w="899"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Total</w:t>
            </w:r>
          </w:p>
        </w:tc>
        <w:tc>
          <w:tcPr>
            <w:tcW w:w="308" w:type="dxa"/>
            <w:tcBorders/>
            <w:shd w:fill="auto" w:val="clear"/>
            <w:vAlign w:val="bottom"/>
          </w:tcPr>
          <w:p>
            <w:pPr>
              <w:pStyle w:val="TableContents"/>
              <w:spacing w:lineRule="atLeast" w:line="160" w:before="0" w:after="0"/>
              <w:ind w:left="0" w:right="0" w:hanging="0"/>
              <w:rPr/>
            </w:pPr>
            <w:r>
              <w:rPr/>
              <w:t> </w:t>
            </w:r>
          </w:p>
        </w:tc>
      </w:tr>
      <w:tr>
        <w:trPr/>
        <w:tc>
          <w:tcPr>
            <w:tcW w:w="6606" w:type="dxa"/>
            <w:tcBorders/>
            <w:shd w:fill="auto" w:val="clear"/>
            <w:vAlign w:val="bottom"/>
          </w:tcPr>
          <w:p>
            <w:pPr>
              <w:pStyle w:val="TableContents"/>
              <w:spacing w:lineRule="atLeast" w:line="160" w:before="0" w:after="0"/>
              <w:ind w:left="0" w:right="0" w:hanging="0"/>
              <w:rPr/>
            </w:pPr>
            <w:r>
              <w:rPr/>
              <w:t> </w:t>
            </w:r>
          </w:p>
        </w:tc>
        <w:tc>
          <w:tcPr>
            <w:tcW w:w="203" w:type="dxa"/>
            <w:tcBorders/>
            <w:shd w:fill="auto" w:val="clear"/>
            <w:vAlign w:val="bottom"/>
          </w:tcPr>
          <w:p>
            <w:pPr>
              <w:pStyle w:val="TableContents"/>
              <w:spacing w:lineRule="atLeast" w:line="160" w:before="0" w:after="0"/>
              <w:ind w:left="0" w:right="0" w:hanging="0"/>
              <w:rPr/>
            </w:pPr>
            <w:r>
              <w:rPr/>
              <w:t> </w:t>
            </w:r>
          </w:p>
        </w:tc>
        <w:tc>
          <w:tcPr>
            <w:tcW w:w="872" w:type="dxa"/>
            <w:gridSpan w:val="2"/>
            <w:tcBorders/>
            <w:shd w:fill="auto" w:val="clear"/>
            <w:vAlign w:val="bottom"/>
          </w:tcPr>
          <w:p>
            <w:pPr>
              <w:pStyle w:val="TableContents"/>
              <w:spacing w:lineRule="atLeast" w:line="160" w:before="0" w:after="0"/>
              <w:ind w:left="0" w:right="0" w:hanging="0"/>
              <w:rPr/>
            </w:pPr>
            <w:r>
              <w:rPr/>
              <w:t> </w:t>
            </w:r>
          </w:p>
        </w:tc>
        <w:tc>
          <w:tcPr>
            <w:tcW w:w="203" w:type="dxa"/>
            <w:tcBorders/>
            <w:shd w:fill="auto" w:val="clear"/>
            <w:vAlign w:val="bottom"/>
          </w:tcPr>
          <w:p>
            <w:pPr>
              <w:pStyle w:val="TableContents"/>
              <w:spacing w:lineRule="atLeast" w:line="160" w:before="0" w:after="0"/>
              <w:ind w:left="0" w:right="0" w:hanging="0"/>
              <w:rPr/>
            </w:pPr>
            <w:r>
              <w:rPr/>
              <w:t> </w:t>
            </w:r>
          </w:p>
        </w:tc>
        <w:tc>
          <w:tcPr>
            <w:tcW w:w="907"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w:t>
            </w:r>
          </w:p>
        </w:tc>
        <w:tc>
          <w:tcPr>
            <w:tcW w:w="207" w:type="dxa"/>
            <w:tcBorders/>
            <w:shd w:fill="auto" w:val="clear"/>
            <w:vAlign w:val="bottom"/>
          </w:tcPr>
          <w:p>
            <w:pPr>
              <w:pStyle w:val="TableContents"/>
              <w:spacing w:lineRule="atLeast" w:line="160" w:before="0" w:after="0"/>
              <w:ind w:left="0" w:right="0" w:hanging="0"/>
              <w:rPr/>
            </w:pPr>
            <w:r>
              <w:rPr/>
              <w:t> </w:t>
            </w:r>
          </w:p>
        </w:tc>
        <w:tc>
          <w:tcPr>
            <w:tcW w:w="899" w:type="dxa"/>
            <w:gridSpan w:val="2"/>
            <w:tcBorders/>
            <w:shd w:fill="auto" w:val="clear"/>
            <w:vAlign w:val="bottom"/>
          </w:tcPr>
          <w:p>
            <w:pPr>
              <w:pStyle w:val="TableContents"/>
              <w:spacing w:lineRule="atLeast" w:line="160" w:before="0" w:after="0"/>
              <w:ind w:left="0" w:right="0" w:hanging="0"/>
              <w:rPr/>
            </w:pPr>
            <w:r>
              <w:rPr/>
              <w:t> </w:t>
            </w:r>
          </w:p>
        </w:tc>
        <w:tc>
          <w:tcPr>
            <w:tcW w:w="308" w:type="dxa"/>
            <w:tcBorders/>
            <w:shd w:fill="auto" w:val="clear"/>
            <w:vAlign w:val="bottom"/>
          </w:tcPr>
          <w:p>
            <w:pPr>
              <w:pStyle w:val="TableContents"/>
              <w:spacing w:lineRule="atLeast" w:line="160" w:before="0" w:after="0"/>
              <w:ind w:left="0" w:right="0" w:hanging="0"/>
              <w:rPr/>
            </w:pPr>
            <w:r>
              <w:rPr/>
              <w:t> </w:t>
            </w:r>
          </w:p>
        </w:tc>
      </w:tr>
      <w:tr>
        <w:trPr/>
        <w:tc>
          <w:tcPr>
            <w:tcW w:w="660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June 30, 2006</w:t>
            </w:r>
          </w:p>
        </w:tc>
        <w:tc>
          <w:tcPr>
            <w:tcW w:w="203"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907" w:type="dxa"/>
            <w:gridSpan w:val="2"/>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rPr/>
            </w:pPr>
            <w:r>
              <w:rPr/>
              <w:t> </w:t>
            </w:r>
          </w:p>
        </w:tc>
        <w:tc>
          <w:tcPr>
            <w:tcW w:w="308" w:type="dxa"/>
            <w:tcBorders/>
            <w:shd w:fill="CCEEFF" w:val="clear"/>
            <w:vAlign w:val="bottom"/>
          </w:tcPr>
          <w:p>
            <w:pPr>
              <w:pStyle w:val="TableContents"/>
              <w:spacing w:before="0" w:after="0"/>
              <w:ind w:left="0" w:right="0" w:hanging="0"/>
              <w:rPr/>
            </w:pPr>
            <w:r>
              <w:rPr/>
              <w:t> </w:t>
            </w:r>
          </w:p>
        </w:tc>
      </w:tr>
      <w:tr>
        <w:trPr/>
        <w:tc>
          <w:tcPr>
            <w:tcW w:w="660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203"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907" w:type="dxa"/>
            <w:gridSpan w:val="2"/>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rPr/>
            </w:pPr>
            <w:r>
              <w:rPr/>
              <w:t> </w:t>
            </w:r>
          </w:p>
        </w:tc>
      </w:tr>
      <w:tr>
        <w:trPr/>
        <w:tc>
          <w:tcPr>
            <w:tcW w:w="66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External Customers (1)</w:t>
            </w:r>
          </w:p>
        </w:tc>
        <w:tc>
          <w:tcPr>
            <w:tcW w:w="203"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237.3</w:t>
            </w:r>
          </w:p>
        </w:tc>
        <w:tc>
          <w:tcPr>
            <w:tcW w:w="203"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4,655.1</w:t>
            </w:r>
          </w:p>
        </w:tc>
        <w:tc>
          <w:tcPr>
            <w:tcW w:w="207"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4,892.4</w:t>
            </w:r>
          </w:p>
        </w:tc>
        <w:tc>
          <w:tcPr>
            <w:tcW w:w="308" w:type="dxa"/>
            <w:tcBorders/>
            <w:shd w:fill="CCEEFF" w:val="clear"/>
            <w:vAlign w:val="bottom"/>
          </w:tcPr>
          <w:p>
            <w:pPr>
              <w:pStyle w:val="TableContents"/>
              <w:spacing w:before="0" w:after="0"/>
              <w:ind w:left="0" w:right="0" w:hanging="0"/>
              <w:rPr/>
            </w:pPr>
            <w:r>
              <w:rPr/>
              <w:t> </w:t>
            </w:r>
          </w:p>
        </w:tc>
      </w:tr>
      <w:tr>
        <w:trPr/>
        <w:tc>
          <w:tcPr>
            <w:tcW w:w="660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Intersegment (2)</w:t>
            </w:r>
          </w:p>
        </w:tc>
        <w:tc>
          <w:tcPr>
            <w:tcW w:w="203"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37.6</w:t>
            </w:r>
          </w:p>
        </w:tc>
        <w:tc>
          <w:tcPr>
            <w:tcW w:w="203" w:type="dxa"/>
            <w:tcBorders/>
            <w:shd w:fill="auto" w:val="clear"/>
            <w:vAlign w:val="bottom"/>
          </w:tcPr>
          <w:p>
            <w:pPr>
              <w:pStyle w:val="TableContents"/>
              <w:spacing w:before="0" w:after="0"/>
              <w:ind w:left="0" w:right="0" w:hanging="0"/>
              <w:rPr/>
            </w:pPr>
            <w:r>
              <w:rPr/>
              <w:t> </w:t>
            </w:r>
          </w:p>
        </w:tc>
        <w:tc>
          <w:tcPr>
            <w:tcW w:w="907"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0.2</w:t>
            </w:r>
          </w:p>
        </w:tc>
        <w:tc>
          <w:tcPr>
            <w:tcW w:w="207" w:type="dxa"/>
            <w:tcBorders/>
            <w:shd w:fill="auto" w:val="clear"/>
            <w:vAlign w:val="bottom"/>
          </w:tcPr>
          <w:p>
            <w:pPr>
              <w:pStyle w:val="TableContents"/>
              <w:spacing w:before="0" w:after="0"/>
              <w:ind w:left="0" w:right="0" w:hanging="0"/>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37.8</w:t>
            </w:r>
          </w:p>
        </w:tc>
        <w:tc>
          <w:tcPr>
            <w:tcW w:w="308" w:type="dxa"/>
            <w:tcBorders/>
            <w:shd w:fill="auto" w:val="clear"/>
            <w:vAlign w:val="bottom"/>
          </w:tcPr>
          <w:p>
            <w:pPr>
              <w:pStyle w:val="TableContents"/>
              <w:spacing w:before="0" w:after="0"/>
              <w:ind w:left="0" w:right="0" w:hanging="0"/>
              <w:rPr/>
            </w:pPr>
            <w:r>
              <w:rPr/>
              <w:t> </w:t>
            </w:r>
          </w:p>
        </w:tc>
      </w:tr>
      <w:tr>
        <w:trPr/>
        <w:tc>
          <w:tcPr>
            <w:tcW w:w="66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203"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274.9</w:t>
            </w:r>
          </w:p>
        </w:tc>
        <w:tc>
          <w:tcPr>
            <w:tcW w:w="203"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4,655.3</w:t>
            </w:r>
          </w:p>
        </w:tc>
        <w:tc>
          <w:tcPr>
            <w:tcW w:w="207"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4,930.2</w:t>
            </w:r>
          </w:p>
        </w:tc>
        <w:tc>
          <w:tcPr>
            <w:tcW w:w="308" w:type="dxa"/>
            <w:tcBorders/>
            <w:shd w:fill="CCEEFF" w:val="clear"/>
            <w:vAlign w:val="bottom"/>
          </w:tcPr>
          <w:p>
            <w:pPr>
              <w:pStyle w:val="TableContents"/>
              <w:spacing w:before="0" w:after="0"/>
              <w:ind w:left="0" w:right="0" w:hanging="0"/>
              <w:rPr/>
            </w:pPr>
            <w:r>
              <w:rPr/>
              <w:t> </w:t>
            </w:r>
          </w:p>
        </w:tc>
      </w:tr>
      <w:tr>
        <w:trPr/>
        <w:tc>
          <w:tcPr>
            <w:tcW w:w="6606"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907" w:type="dxa"/>
            <w:gridSpan w:val="2"/>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rPr/>
            </w:pPr>
            <w:r>
              <w:rPr/>
              <w:t> </w:t>
            </w:r>
          </w:p>
        </w:tc>
      </w:tr>
      <w:tr>
        <w:trPr/>
        <w:tc>
          <w:tcPr>
            <w:tcW w:w="6606" w:type="dxa"/>
            <w:tcBorders/>
            <w:shd w:fill="CCEEFF" w:val="clear"/>
          </w:tcPr>
          <w:p>
            <w:pPr>
              <w:pStyle w:val="TableContents"/>
              <w:spacing w:before="0" w:after="0"/>
              <w:ind w:left="0" w:right="0" w:hanging="0"/>
              <w:rPr/>
            </w:pPr>
            <w:r>
              <w:rPr>
                <w:rFonts w:ascii="Times New Roman" w:hAnsi="Times New Roman"/>
                <w:sz w:val="17"/>
              </w:rPr>
              <w:t xml:space="preserve">Segment profit </w:t>
            </w:r>
            <w:r>
              <w:rPr>
                <w:sz w:val="11"/>
              </w:rPr>
              <w:t>(3)(4)(5)</w:t>
            </w:r>
          </w:p>
        </w:tc>
        <w:tc>
          <w:tcPr>
            <w:tcW w:w="203"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53.1</w:t>
            </w:r>
          </w:p>
        </w:tc>
        <w:tc>
          <w:tcPr>
            <w:tcW w:w="203"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65.3</w:t>
            </w:r>
          </w:p>
        </w:tc>
        <w:tc>
          <w:tcPr>
            <w:tcW w:w="207"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118.4</w:t>
            </w:r>
          </w:p>
        </w:tc>
        <w:tc>
          <w:tcPr>
            <w:tcW w:w="308" w:type="dxa"/>
            <w:tcBorders/>
            <w:shd w:fill="CCEEFF" w:val="clear"/>
            <w:vAlign w:val="bottom"/>
          </w:tcPr>
          <w:p>
            <w:pPr>
              <w:pStyle w:val="TableContents"/>
              <w:spacing w:before="0" w:after="0"/>
              <w:ind w:left="0" w:right="0" w:hanging="0"/>
              <w:rPr/>
            </w:pPr>
            <w:r>
              <w:rPr/>
              <w:t> </w:t>
            </w:r>
          </w:p>
        </w:tc>
      </w:tr>
      <w:tr>
        <w:trPr/>
        <w:tc>
          <w:tcPr>
            <w:tcW w:w="6606"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907" w:type="dxa"/>
            <w:gridSpan w:val="2"/>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rPr/>
            </w:pPr>
            <w:r>
              <w:rPr/>
              <w:t> </w:t>
            </w:r>
          </w:p>
        </w:tc>
      </w:tr>
      <w:tr>
        <w:trPr/>
        <w:tc>
          <w:tcPr>
            <w:tcW w:w="66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SFAS 133 impact (3)</w:t>
            </w:r>
          </w:p>
        </w:tc>
        <w:tc>
          <w:tcPr>
            <w:tcW w:w="203"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3"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(2.4</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(2.4</w:t>
            </w:r>
          </w:p>
        </w:tc>
        <w:tc>
          <w:tcPr>
            <w:tcW w:w="3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606"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907" w:type="dxa"/>
            <w:gridSpan w:val="2"/>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rPr/>
            </w:pPr>
            <w:r>
              <w:rPr/>
              <w:t> </w:t>
            </w:r>
          </w:p>
        </w:tc>
      </w:tr>
      <w:tr>
        <w:trPr/>
        <w:tc>
          <w:tcPr>
            <w:tcW w:w="66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3"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203"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1.1</w:t>
            </w:r>
          </w:p>
        </w:tc>
        <w:tc>
          <w:tcPr>
            <w:tcW w:w="207"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4.4</w:t>
            </w:r>
          </w:p>
        </w:tc>
        <w:tc>
          <w:tcPr>
            <w:tcW w:w="308" w:type="dxa"/>
            <w:tcBorders/>
            <w:shd w:fill="CCEEFF" w:val="clear"/>
            <w:vAlign w:val="bottom"/>
          </w:tcPr>
          <w:p>
            <w:pPr>
              <w:pStyle w:val="TableContents"/>
              <w:spacing w:before="0" w:after="0"/>
              <w:ind w:left="0" w:right="0" w:hanging="0"/>
              <w:rPr/>
            </w:pPr>
            <w:r>
              <w:rPr/>
              <w:t> </w:t>
            </w:r>
          </w:p>
        </w:tc>
      </w:tr>
      <w:tr>
        <w:trPr/>
        <w:tc>
          <w:tcPr>
            <w:tcW w:w="6606"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907" w:type="dxa"/>
            <w:gridSpan w:val="2"/>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rPr/>
            </w:pPr>
            <w:r>
              <w:rPr/>
              <w:t> </w:t>
            </w:r>
          </w:p>
        </w:tc>
      </w:tr>
      <w:tr>
        <w:trPr/>
        <w:tc>
          <w:tcPr>
            <w:tcW w:w="6606"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Three Months Ended June 30, 2005</w:t>
            </w:r>
          </w:p>
        </w:tc>
        <w:tc>
          <w:tcPr>
            <w:tcW w:w="203"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907" w:type="dxa"/>
            <w:gridSpan w:val="2"/>
            <w:tcBorders/>
            <w:shd w:fill="CCEEFF" w:val="clear"/>
            <w:vAlign w:val="bottom"/>
          </w:tcPr>
          <w:p>
            <w:pPr>
              <w:pStyle w:val="TableContents"/>
              <w:spacing w:before="0" w:after="0"/>
              <w:ind w:left="0" w:right="0" w:hanging="0"/>
              <w:rPr/>
            </w:pPr>
            <w:r>
              <w:rPr/>
              <w:t> </w:t>
            </w:r>
          </w:p>
        </w:tc>
        <w:tc>
          <w:tcPr>
            <w:tcW w:w="207"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rPr/>
            </w:pPr>
            <w:r>
              <w:rPr/>
              <w:t> </w:t>
            </w:r>
          </w:p>
        </w:tc>
        <w:tc>
          <w:tcPr>
            <w:tcW w:w="308" w:type="dxa"/>
            <w:tcBorders/>
            <w:shd w:fill="CCEEFF" w:val="clear"/>
            <w:vAlign w:val="bottom"/>
          </w:tcPr>
          <w:p>
            <w:pPr>
              <w:pStyle w:val="TableContents"/>
              <w:spacing w:before="0" w:after="0"/>
              <w:ind w:left="0" w:right="0" w:hanging="0"/>
              <w:rPr/>
            </w:pPr>
            <w:r>
              <w:rPr/>
              <w:t> </w:t>
            </w:r>
          </w:p>
        </w:tc>
      </w:tr>
      <w:tr>
        <w:trPr/>
        <w:tc>
          <w:tcPr>
            <w:tcW w:w="660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203"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907" w:type="dxa"/>
            <w:gridSpan w:val="2"/>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rPr/>
            </w:pPr>
            <w:r>
              <w:rPr/>
              <w:t> </w:t>
            </w:r>
          </w:p>
        </w:tc>
      </w:tr>
      <w:tr>
        <w:trPr/>
        <w:tc>
          <w:tcPr>
            <w:tcW w:w="66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External Customers (includes buy/sell revenues of $40.0, $3,706.1, and $3,746.1, for Pipeline, GMT&amp;S and Total, respectively)</w:t>
            </w:r>
          </w:p>
        </w:tc>
        <w:tc>
          <w:tcPr>
            <w:tcW w:w="203"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229.9</w:t>
            </w:r>
          </w:p>
        </w:tc>
        <w:tc>
          <w:tcPr>
            <w:tcW w:w="203" w:type="dxa"/>
            <w:tcBorders/>
            <w:shd w:fill="CCEEFF" w:val="clear"/>
            <w:vAlign w:val="bottom"/>
          </w:tcPr>
          <w:p>
            <w:pPr>
              <w:pStyle w:val="TableContents"/>
              <w:spacing w:before="0" w:after="0"/>
              <w:ind w:left="0" w:right="0" w:hanging="0"/>
              <w:rPr/>
            </w:pPr>
            <w:r>
              <w:rPr/>
              <w:t> </w:t>
            </w:r>
          </w:p>
        </w:tc>
        <w:tc>
          <w:tcPr>
            <w:tcW w:w="118"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6,930.8</w:t>
            </w:r>
          </w:p>
        </w:tc>
        <w:tc>
          <w:tcPr>
            <w:tcW w:w="207"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7,160.7</w:t>
            </w:r>
          </w:p>
        </w:tc>
        <w:tc>
          <w:tcPr>
            <w:tcW w:w="308" w:type="dxa"/>
            <w:tcBorders/>
            <w:shd w:fill="CCEEFF" w:val="clear"/>
            <w:vAlign w:val="bottom"/>
          </w:tcPr>
          <w:p>
            <w:pPr>
              <w:pStyle w:val="TableContents"/>
              <w:spacing w:before="0" w:after="0"/>
              <w:ind w:left="0" w:right="0" w:hanging="0"/>
              <w:rPr/>
            </w:pPr>
            <w:r>
              <w:rPr/>
              <w:t> </w:t>
            </w:r>
          </w:p>
        </w:tc>
      </w:tr>
      <w:tr>
        <w:trPr/>
        <w:tc>
          <w:tcPr>
            <w:tcW w:w="6606" w:type="dxa"/>
            <w:tcBorders/>
            <w:shd w:fill="auto" w:val="clear"/>
          </w:tcPr>
          <w:p>
            <w:pPr>
              <w:pStyle w:val="TableContents"/>
              <w:spacing w:before="0" w:after="0"/>
              <w:ind w:left="0" w:right="0" w:hanging="0"/>
              <w:rPr/>
            </w:pPr>
            <w:r>
              <w:rPr>
                <w:rFonts w:ascii="Times New Roman" w:hAnsi="Times New Roman"/>
                <w:sz w:val="17"/>
              </w:rPr>
              <w:t xml:space="preserve">Intersegment </w:t>
            </w:r>
            <w:r>
              <w:rPr>
                <w:sz w:val="11"/>
              </w:rPr>
              <w:t>(2)</w:t>
            </w:r>
          </w:p>
        </w:tc>
        <w:tc>
          <w:tcPr>
            <w:tcW w:w="203"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30.6</w:t>
            </w:r>
          </w:p>
        </w:tc>
        <w:tc>
          <w:tcPr>
            <w:tcW w:w="203" w:type="dxa"/>
            <w:tcBorders/>
            <w:shd w:fill="auto" w:val="clear"/>
            <w:vAlign w:val="bottom"/>
          </w:tcPr>
          <w:p>
            <w:pPr>
              <w:pStyle w:val="TableContents"/>
              <w:spacing w:before="0" w:after="0"/>
              <w:ind w:left="0" w:right="0" w:hanging="0"/>
              <w:rPr/>
            </w:pPr>
            <w:r>
              <w:rPr/>
              <w:t> </w:t>
            </w:r>
          </w:p>
        </w:tc>
        <w:tc>
          <w:tcPr>
            <w:tcW w:w="907"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0.2</w:t>
            </w:r>
          </w:p>
        </w:tc>
        <w:tc>
          <w:tcPr>
            <w:tcW w:w="207" w:type="dxa"/>
            <w:tcBorders/>
            <w:shd w:fill="auto" w:val="clear"/>
            <w:vAlign w:val="bottom"/>
          </w:tcPr>
          <w:p>
            <w:pPr>
              <w:pStyle w:val="TableContents"/>
              <w:spacing w:before="0" w:after="0"/>
              <w:ind w:left="0" w:right="0" w:hanging="0"/>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30.8</w:t>
            </w:r>
          </w:p>
        </w:tc>
        <w:tc>
          <w:tcPr>
            <w:tcW w:w="308" w:type="dxa"/>
            <w:tcBorders/>
            <w:shd w:fill="auto" w:val="clear"/>
            <w:vAlign w:val="bottom"/>
          </w:tcPr>
          <w:p>
            <w:pPr>
              <w:pStyle w:val="TableContents"/>
              <w:spacing w:before="0" w:after="0"/>
              <w:ind w:left="0" w:right="0" w:hanging="0"/>
              <w:rPr/>
            </w:pPr>
            <w:r>
              <w:rPr/>
              <w:t> </w:t>
            </w:r>
          </w:p>
        </w:tc>
      </w:tr>
      <w:tr>
        <w:trPr/>
        <w:tc>
          <w:tcPr>
            <w:tcW w:w="66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203"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260.5</w:t>
            </w:r>
          </w:p>
        </w:tc>
        <w:tc>
          <w:tcPr>
            <w:tcW w:w="203"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6,931.0</w:t>
            </w:r>
          </w:p>
        </w:tc>
        <w:tc>
          <w:tcPr>
            <w:tcW w:w="207"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7,191.5</w:t>
            </w:r>
          </w:p>
        </w:tc>
        <w:tc>
          <w:tcPr>
            <w:tcW w:w="308" w:type="dxa"/>
            <w:tcBorders/>
            <w:shd w:fill="CCEEFF" w:val="clear"/>
            <w:vAlign w:val="bottom"/>
          </w:tcPr>
          <w:p>
            <w:pPr>
              <w:pStyle w:val="TableContents"/>
              <w:spacing w:before="0" w:after="0"/>
              <w:ind w:left="0" w:right="0" w:hanging="0"/>
              <w:rPr/>
            </w:pPr>
            <w:r>
              <w:rPr/>
              <w:t> </w:t>
            </w:r>
          </w:p>
        </w:tc>
      </w:tr>
      <w:tr>
        <w:trPr/>
        <w:tc>
          <w:tcPr>
            <w:tcW w:w="6606"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907" w:type="dxa"/>
            <w:gridSpan w:val="2"/>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rPr/>
            </w:pPr>
            <w:r>
              <w:rPr/>
              <w:t> </w:t>
            </w:r>
          </w:p>
        </w:tc>
      </w:tr>
      <w:tr>
        <w:trPr/>
        <w:tc>
          <w:tcPr>
            <w:tcW w:w="66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profit (3)(4)(5)</w:t>
            </w:r>
          </w:p>
        </w:tc>
        <w:tc>
          <w:tcPr>
            <w:tcW w:w="203"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41.4</w:t>
            </w:r>
          </w:p>
        </w:tc>
        <w:tc>
          <w:tcPr>
            <w:tcW w:w="203"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53.7</w:t>
            </w:r>
          </w:p>
        </w:tc>
        <w:tc>
          <w:tcPr>
            <w:tcW w:w="207"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95.1</w:t>
            </w:r>
          </w:p>
        </w:tc>
        <w:tc>
          <w:tcPr>
            <w:tcW w:w="308" w:type="dxa"/>
            <w:tcBorders/>
            <w:shd w:fill="CCEEFF" w:val="clear"/>
            <w:vAlign w:val="bottom"/>
          </w:tcPr>
          <w:p>
            <w:pPr>
              <w:pStyle w:val="TableContents"/>
              <w:spacing w:before="0" w:after="0"/>
              <w:ind w:left="0" w:right="0" w:hanging="0"/>
              <w:rPr/>
            </w:pPr>
            <w:r>
              <w:rPr/>
              <w:t> </w:t>
            </w:r>
          </w:p>
        </w:tc>
      </w:tr>
      <w:tr>
        <w:trPr/>
        <w:tc>
          <w:tcPr>
            <w:tcW w:w="6606"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907" w:type="dxa"/>
            <w:gridSpan w:val="2"/>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rPr/>
            </w:pPr>
            <w:r>
              <w:rPr/>
              <w:t> </w:t>
            </w:r>
          </w:p>
        </w:tc>
      </w:tr>
      <w:tr>
        <w:trPr/>
        <w:tc>
          <w:tcPr>
            <w:tcW w:w="66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SFAS 133 impact (3)</w:t>
            </w:r>
          </w:p>
        </w:tc>
        <w:tc>
          <w:tcPr>
            <w:tcW w:w="203"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3"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(12.9</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(12.9</w:t>
            </w:r>
          </w:p>
        </w:tc>
        <w:tc>
          <w:tcPr>
            <w:tcW w:w="3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606"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907" w:type="dxa"/>
            <w:gridSpan w:val="2"/>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rPr/>
            </w:pPr>
            <w:r>
              <w:rPr/>
              <w:t> </w:t>
            </w:r>
          </w:p>
        </w:tc>
        <w:tc>
          <w:tcPr>
            <w:tcW w:w="308" w:type="dxa"/>
            <w:tcBorders/>
            <w:shd w:fill="auto" w:val="clear"/>
            <w:vAlign w:val="bottom"/>
          </w:tcPr>
          <w:p>
            <w:pPr>
              <w:pStyle w:val="TableContents"/>
              <w:spacing w:before="0" w:after="0"/>
              <w:ind w:left="0" w:right="0" w:hanging="0"/>
              <w:rPr/>
            </w:pPr>
            <w:r>
              <w:rPr/>
              <w:t> </w:t>
            </w:r>
          </w:p>
        </w:tc>
      </w:tr>
      <w:tr>
        <w:trPr/>
        <w:tc>
          <w:tcPr>
            <w:tcW w:w="660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3"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5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2.5</w:t>
            </w:r>
          </w:p>
        </w:tc>
        <w:tc>
          <w:tcPr>
            <w:tcW w:w="203" w:type="dxa"/>
            <w:tcBorders/>
            <w:shd w:fill="CCEEFF" w:val="clear"/>
            <w:vAlign w:val="bottom"/>
          </w:tcPr>
          <w:p>
            <w:pPr>
              <w:pStyle w:val="TableContents"/>
              <w:spacing w:before="0" w:after="0"/>
              <w:ind w:left="0" w:right="0" w:hanging="0"/>
              <w:rPr/>
            </w:pPr>
            <w:r>
              <w:rPr/>
              <w:t> </w:t>
            </w:r>
          </w:p>
        </w:tc>
        <w:tc>
          <w:tcPr>
            <w:tcW w:w="118"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1.5</w:t>
            </w:r>
          </w:p>
        </w:tc>
        <w:tc>
          <w:tcPr>
            <w:tcW w:w="207" w:type="dxa"/>
            <w:tcBorders/>
            <w:shd w:fill="CCEEFF" w:val="clear"/>
            <w:vAlign w:val="bottom"/>
          </w:tcPr>
          <w:p>
            <w:pPr>
              <w:pStyle w:val="TableContents"/>
              <w:spacing w:before="0" w:after="0"/>
              <w:ind w:left="0" w:right="0" w:hanging="0"/>
              <w:rPr/>
            </w:pPr>
            <w:r>
              <w:rPr/>
              <w:t> </w:t>
            </w:r>
          </w:p>
        </w:tc>
        <w:tc>
          <w:tcPr>
            <w:tcW w:w="11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8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4.0</w:t>
            </w:r>
          </w:p>
        </w:tc>
        <w:tc>
          <w:tcPr>
            <w:tcW w:w="308" w:type="dxa"/>
            <w:tcBorders/>
            <w:shd w:fill="CCEEFF"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19</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678"/>
        <w:gridCol w:w="203"/>
        <w:gridCol w:w="111"/>
        <w:gridCol w:w="739"/>
        <w:gridCol w:w="203"/>
        <w:gridCol w:w="111"/>
        <w:gridCol w:w="767"/>
        <w:gridCol w:w="205"/>
        <w:gridCol w:w="111"/>
        <w:gridCol w:w="766"/>
        <w:gridCol w:w="311"/>
      </w:tblGrid>
      <w:tr>
        <w:trPr/>
        <w:tc>
          <w:tcPr>
            <w:tcW w:w="6678" w:type="dxa"/>
            <w:tcBorders/>
            <w:shd w:fill="auto" w:val="clear"/>
            <w:vAlign w:val="bottom"/>
          </w:tcPr>
          <w:p>
            <w:pPr>
              <w:pStyle w:val="TableContents"/>
              <w:spacing w:lineRule="atLeast" w:line="160" w:before="0" w:after="0"/>
              <w:ind w:left="0" w:right="0" w:hanging="0"/>
              <w:rPr/>
            </w:pPr>
            <w:r>
              <w:rPr/>
              <w:t> </w:t>
            </w:r>
          </w:p>
        </w:tc>
        <w:tc>
          <w:tcPr>
            <w:tcW w:w="203" w:type="dxa"/>
            <w:tcBorders/>
            <w:shd w:fill="auto" w:val="clear"/>
            <w:vAlign w:val="bottom"/>
          </w:tcPr>
          <w:p>
            <w:pPr>
              <w:pStyle w:val="TableContents"/>
              <w:spacing w:lineRule="atLeast" w:line="160" w:before="0" w:after="0"/>
              <w:ind w:left="0" w:right="0" w:hanging="0"/>
              <w:rPr/>
            </w:pPr>
            <w:r>
              <w:rPr/>
              <w:t> </w:t>
            </w:r>
          </w:p>
        </w:tc>
        <w:tc>
          <w:tcPr>
            <w:tcW w:w="85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Pipeline</w:t>
            </w:r>
          </w:p>
        </w:tc>
        <w:tc>
          <w:tcPr>
            <w:tcW w:w="203" w:type="dxa"/>
            <w:tcBorders/>
            <w:shd w:fill="auto" w:val="clear"/>
            <w:vAlign w:val="bottom"/>
          </w:tcPr>
          <w:p>
            <w:pPr>
              <w:pStyle w:val="TableContents"/>
              <w:spacing w:lineRule="atLeast" w:line="160" w:before="0" w:after="0"/>
              <w:ind w:left="0" w:right="0" w:hanging="0"/>
              <w:rPr/>
            </w:pPr>
            <w:r>
              <w:rPr/>
              <w:t> </w:t>
            </w:r>
          </w:p>
        </w:tc>
        <w:tc>
          <w:tcPr>
            <w:tcW w:w="878"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GMT&amp;S</w:t>
            </w:r>
          </w:p>
        </w:tc>
        <w:tc>
          <w:tcPr>
            <w:tcW w:w="205" w:type="dxa"/>
            <w:tcBorders/>
            <w:shd w:fill="auto" w:val="clear"/>
            <w:vAlign w:val="bottom"/>
          </w:tcPr>
          <w:p>
            <w:pPr>
              <w:pStyle w:val="TableContents"/>
              <w:spacing w:lineRule="atLeast" w:line="160" w:before="0" w:after="0"/>
              <w:ind w:left="0" w:right="0" w:hanging="0"/>
              <w:rPr/>
            </w:pPr>
            <w:r>
              <w:rPr/>
              <w:t> </w:t>
            </w:r>
          </w:p>
        </w:tc>
        <w:tc>
          <w:tcPr>
            <w:tcW w:w="877"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Total</w:t>
            </w:r>
          </w:p>
        </w:tc>
        <w:tc>
          <w:tcPr>
            <w:tcW w:w="311" w:type="dxa"/>
            <w:tcBorders/>
            <w:shd w:fill="auto" w:val="clear"/>
            <w:vAlign w:val="bottom"/>
          </w:tcPr>
          <w:p>
            <w:pPr>
              <w:pStyle w:val="TableContents"/>
              <w:spacing w:lineRule="atLeast" w:line="160" w:before="0" w:after="0"/>
              <w:ind w:left="0" w:right="0" w:hanging="0"/>
              <w:rPr/>
            </w:pPr>
            <w:r>
              <w:rPr/>
              <w:t> </w:t>
            </w:r>
          </w:p>
        </w:tc>
      </w:tr>
      <w:tr>
        <w:trPr/>
        <w:tc>
          <w:tcPr>
            <w:tcW w:w="6678" w:type="dxa"/>
            <w:tcBorders/>
            <w:shd w:fill="auto" w:val="clear"/>
            <w:vAlign w:val="bottom"/>
          </w:tcPr>
          <w:p>
            <w:pPr>
              <w:pStyle w:val="TableContents"/>
              <w:spacing w:lineRule="atLeast" w:line="160" w:before="0" w:after="0"/>
              <w:ind w:left="0" w:right="0" w:hanging="0"/>
              <w:rPr/>
            </w:pPr>
            <w:r>
              <w:rPr/>
              <w:t> </w:t>
            </w:r>
          </w:p>
        </w:tc>
        <w:tc>
          <w:tcPr>
            <w:tcW w:w="203" w:type="dxa"/>
            <w:tcBorders/>
            <w:shd w:fill="auto" w:val="clear"/>
            <w:vAlign w:val="bottom"/>
          </w:tcPr>
          <w:p>
            <w:pPr>
              <w:pStyle w:val="TableContents"/>
              <w:spacing w:lineRule="atLeast" w:line="160" w:before="0" w:after="0"/>
              <w:ind w:left="0" w:right="0" w:hanging="0"/>
              <w:rPr/>
            </w:pPr>
            <w:r>
              <w:rPr/>
              <w:t> </w:t>
            </w:r>
          </w:p>
        </w:tc>
        <w:tc>
          <w:tcPr>
            <w:tcW w:w="850" w:type="dxa"/>
            <w:gridSpan w:val="2"/>
            <w:tcBorders/>
            <w:shd w:fill="auto" w:val="clear"/>
            <w:vAlign w:val="bottom"/>
          </w:tcPr>
          <w:p>
            <w:pPr>
              <w:pStyle w:val="TableContents"/>
              <w:spacing w:lineRule="atLeast" w:line="160" w:before="0" w:after="0"/>
              <w:ind w:left="0" w:right="0" w:hanging="0"/>
              <w:rPr/>
            </w:pPr>
            <w:r>
              <w:rPr/>
              <w:t> </w:t>
            </w:r>
          </w:p>
        </w:tc>
        <w:tc>
          <w:tcPr>
            <w:tcW w:w="203" w:type="dxa"/>
            <w:tcBorders/>
            <w:shd w:fill="auto" w:val="clear"/>
            <w:vAlign w:val="bottom"/>
          </w:tcPr>
          <w:p>
            <w:pPr>
              <w:pStyle w:val="TableContents"/>
              <w:spacing w:lineRule="atLeast" w:line="160" w:before="0" w:after="0"/>
              <w:ind w:left="0" w:right="0" w:hanging="0"/>
              <w:rPr/>
            </w:pPr>
            <w:r>
              <w:rPr/>
              <w:t> </w:t>
            </w:r>
          </w:p>
        </w:tc>
        <w:tc>
          <w:tcPr>
            <w:tcW w:w="878"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w:t>
            </w:r>
          </w:p>
        </w:tc>
        <w:tc>
          <w:tcPr>
            <w:tcW w:w="205" w:type="dxa"/>
            <w:tcBorders/>
            <w:shd w:fill="auto" w:val="clear"/>
            <w:vAlign w:val="bottom"/>
          </w:tcPr>
          <w:p>
            <w:pPr>
              <w:pStyle w:val="TableContents"/>
              <w:spacing w:lineRule="atLeast" w:line="160" w:before="0" w:after="0"/>
              <w:ind w:left="0" w:right="0" w:hanging="0"/>
              <w:rPr/>
            </w:pPr>
            <w:r>
              <w:rPr/>
              <w:t> </w:t>
            </w:r>
          </w:p>
        </w:tc>
        <w:tc>
          <w:tcPr>
            <w:tcW w:w="877" w:type="dxa"/>
            <w:gridSpan w:val="2"/>
            <w:tcBorders/>
            <w:shd w:fill="auto" w:val="clear"/>
            <w:vAlign w:val="bottom"/>
          </w:tcPr>
          <w:p>
            <w:pPr>
              <w:pStyle w:val="TableContents"/>
              <w:spacing w:lineRule="atLeast" w:line="160" w:before="0" w:after="0"/>
              <w:ind w:left="0" w:right="0" w:hanging="0"/>
              <w:rPr/>
            </w:pPr>
            <w:r>
              <w:rPr/>
              <w:t> </w:t>
            </w:r>
          </w:p>
        </w:tc>
        <w:tc>
          <w:tcPr>
            <w:tcW w:w="311" w:type="dxa"/>
            <w:tcBorders/>
            <w:shd w:fill="auto" w:val="clear"/>
            <w:vAlign w:val="bottom"/>
          </w:tcPr>
          <w:p>
            <w:pPr>
              <w:pStyle w:val="TableContents"/>
              <w:spacing w:lineRule="atLeast" w:line="160" w:before="0" w:after="0"/>
              <w:ind w:left="0" w:right="0" w:hanging="0"/>
              <w:rPr/>
            </w:pPr>
            <w:r>
              <w:rPr/>
              <w:t> </w:t>
            </w:r>
          </w:p>
        </w:tc>
      </w:tr>
      <w:tr>
        <w:trPr/>
        <w:tc>
          <w:tcPr>
            <w:tcW w:w="6678"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78"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77" w:type="dxa"/>
            <w:gridSpan w:val="2"/>
            <w:tcBorders/>
            <w:shd w:fill="auto" w:val="clear"/>
            <w:vAlign w:val="bottom"/>
          </w:tcPr>
          <w:p>
            <w:pPr>
              <w:pStyle w:val="TableContents"/>
              <w:spacing w:before="0" w:after="0"/>
              <w:ind w:left="0" w:right="0" w:hanging="0"/>
              <w:rPr/>
            </w:pPr>
            <w:r>
              <w:rPr/>
              <w:t> </w:t>
            </w:r>
          </w:p>
        </w:tc>
        <w:tc>
          <w:tcPr>
            <w:tcW w:w="311" w:type="dxa"/>
            <w:tcBorders/>
            <w:shd w:fill="auto" w:val="clear"/>
            <w:vAlign w:val="bottom"/>
          </w:tcPr>
          <w:p>
            <w:pPr>
              <w:pStyle w:val="TableContents"/>
              <w:spacing w:before="0" w:after="0"/>
              <w:ind w:left="0" w:right="0" w:hanging="0"/>
              <w:rPr/>
            </w:pPr>
            <w:r>
              <w:rPr/>
              <w:t> </w:t>
            </w:r>
          </w:p>
        </w:tc>
      </w:tr>
      <w:tr>
        <w:trPr/>
        <w:tc>
          <w:tcPr>
            <w:tcW w:w="667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Six Months Ended June 30, 2006</w:t>
            </w:r>
          </w:p>
        </w:tc>
        <w:tc>
          <w:tcPr>
            <w:tcW w:w="203" w:type="dxa"/>
            <w:tcBorders/>
            <w:shd w:fill="CCEEFF" w:val="clear"/>
            <w:vAlign w:val="bottom"/>
          </w:tcPr>
          <w:p>
            <w:pPr>
              <w:pStyle w:val="TableContents"/>
              <w:spacing w:before="0" w:after="0"/>
              <w:ind w:left="0" w:right="0" w:hanging="0"/>
              <w:rPr/>
            </w:pPr>
            <w:r>
              <w:rPr/>
              <w:t> </w:t>
            </w:r>
          </w:p>
        </w:tc>
        <w:tc>
          <w:tcPr>
            <w:tcW w:w="850" w:type="dxa"/>
            <w:gridSpan w:val="2"/>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878" w:type="dxa"/>
            <w:gridSpan w:val="2"/>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877" w:type="dxa"/>
            <w:gridSpan w:val="2"/>
            <w:tcBorders/>
            <w:shd w:fill="CCEEFF" w:val="clear"/>
            <w:vAlign w:val="bottom"/>
          </w:tcPr>
          <w:p>
            <w:pPr>
              <w:pStyle w:val="TableContents"/>
              <w:spacing w:before="0" w:after="0"/>
              <w:ind w:left="0" w:right="0" w:hanging="0"/>
              <w:rPr/>
            </w:pPr>
            <w:r>
              <w:rPr/>
              <w:t> </w:t>
            </w:r>
          </w:p>
        </w:tc>
        <w:tc>
          <w:tcPr>
            <w:tcW w:w="311" w:type="dxa"/>
            <w:tcBorders/>
            <w:shd w:fill="CCEEFF" w:val="clear"/>
            <w:vAlign w:val="bottom"/>
          </w:tcPr>
          <w:p>
            <w:pPr>
              <w:pStyle w:val="TableContents"/>
              <w:spacing w:before="0" w:after="0"/>
              <w:ind w:left="0" w:right="0" w:hanging="0"/>
              <w:rPr/>
            </w:pPr>
            <w:r>
              <w:rPr/>
              <w:t> </w:t>
            </w:r>
          </w:p>
        </w:tc>
      </w:tr>
      <w:tr>
        <w:trPr/>
        <w:tc>
          <w:tcPr>
            <w:tcW w:w="66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203"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78"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77" w:type="dxa"/>
            <w:gridSpan w:val="2"/>
            <w:tcBorders/>
            <w:shd w:fill="auto" w:val="clear"/>
            <w:vAlign w:val="bottom"/>
          </w:tcPr>
          <w:p>
            <w:pPr>
              <w:pStyle w:val="TableContents"/>
              <w:spacing w:before="0" w:after="0"/>
              <w:ind w:left="0" w:right="0" w:hanging="0"/>
              <w:rPr/>
            </w:pPr>
            <w:r>
              <w:rPr/>
              <w:t> </w:t>
            </w:r>
          </w:p>
        </w:tc>
        <w:tc>
          <w:tcPr>
            <w:tcW w:w="311" w:type="dxa"/>
            <w:tcBorders/>
            <w:shd w:fill="auto" w:val="clear"/>
            <w:vAlign w:val="bottom"/>
          </w:tcPr>
          <w:p>
            <w:pPr>
              <w:pStyle w:val="TableContents"/>
              <w:spacing w:before="0" w:after="0"/>
              <w:ind w:left="0" w:right="0" w:hanging="0"/>
              <w:rPr/>
            </w:pPr>
            <w:r>
              <w:rPr/>
              <w:t> </w:t>
            </w:r>
          </w:p>
        </w:tc>
      </w:tr>
      <w:tr>
        <w:trPr/>
        <w:tc>
          <w:tcPr>
            <w:tcW w:w="667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External Customers (includes buy/sell revenues of $45.3, $4,717.7, and $4,763.0, for Pipeline, GMT&amp;S and Total, respectively)</w:t>
            </w:r>
          </w:p>
        </w:tc>
        <w:tc>
          <w:tcPr>
            <w:tcW w:w="203"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484.3</w:t>
            </w:r>
          </w:p>
        </w:tc>
        <w:tc>
          <w:tcPr>
            <w:tcW w:w="203"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13,043.5</w:t>
            </w:r>
          </w:p>
        </w:tc>
        <w:tc>
          <w:tcPr>
            <w:tcW w:w="205"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13,527.8</w:t>
            </w:r>
          </w:p>
        </w:tc>
        <w:tc>
          <w:tcPr>
            <w:tcW w:w="311" w:type="dxa"/>
            <w:tcBorders/>
            <w:shd w:fill="CCEEFF" w:val="clear"/>
            <w:vAlign w:val="bottom"/>
          </w:tcPr>
          <w:p>
            <w:pPr>
              <w:pStyle w:val="TableContents"/>
              <w:spacing w:before="0" w:after="0"/>
              <w:ind w:left="0" w:right="0" w:hanging="0"/>
              <w:rPr/>
            </w:pPr>
            <w:r>
              <w:rPr/>
              <w:t> </w:t>
            </w:r>
          </w:p>
        </w:tc>
      </w:tr>
      <w:tr>
        <w:trPr/>
        <w:tc>
          <w:tcPr>
            <w:tcW w:w="66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Intersegment (2)</w:t>
            </w:r>
          </w:p>
        </w:tc>
        <w:tc>
          <w:tcPr>
            <w:tcW w:w="203" w:type="dxa"/>
            <w:tcBorders/>
            <w:shd w:fill="auto" w:val="clear"/>
            <w:vAlign w:val="bottom"/>
          </w:tcPr>
          <w:p>
            <w:pPr>
              <w:pStyle w:val="TableContents"/>
              <w:spacing w:before="0" w:after="0"/>
              <w:ind w:left="0" w:right="0" w:hanging="0"/>
              <w:rPr/>
            </w:pPr>
            <w:r>
              <w:rPr/>
              <w:t> </w:t>
            </w:r>
          </w:p>
        </w:tc>
        <w:tc>
          <w:tcPr>
            <w:tcW w:w="85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75.6</w:t>
            </w:r>
          </w:p>
        </w:tc>
        <w:tc>
          <w:tcPr>
            <w:tcW w:w="203" w:type="dxa"/>
            <w:tcBorders/>
            <w:shd w:fill="auto" w:val="clear"/>
            <w:vAlign w:val="bottom"/>
          </w:tcPr>
          <w:p>
            <w:pPr>
              <w:pStyle w:val="TableContents"/>
              <w:spacing w:before="0" w:after="0"/>
              <w:ind w:left="0" w:right="0" w:hanging="0"/>
              <w:rPr/>
            </w:pPr>
            <w:r>
              <w:rPr/>
              <w:t> </w:t>
            </w:r>
          </w:p>
        </w:tc>
        <w:tc>
          <w:tcPr>
            <w:tcW w:w="878"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0.4</w:t>
            </w:r>
          </w:p>
        </w:tc>
        <w:tc>
          <w:tcPr>
            <w:tcW w:w="205" w:type="dxa"/>
            <w:tcBorders/>
            <w:shd w:fill="auto" w:val="clear"/>
            <w:vAlign w:val="bottom"/>
          </w:tcPr>
          <w:p>
            <w:pPr>
              <w:pStyle w:val="TableContents"/>
              <w:spacing w:before="0" w:after="0"/>
              <w:ind w:left="0" w:right="0" w:hanging="0"/>
              <w:rPr/>
            </w:pPr>
            <w:r>
              <w:rPr/>
              <w:t> </w:t>
            </w:r>
          </w:p>
        </w:tc>
        <w:tc>
          <w:tcPr>
            <w:tcW w:w="877"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76.0</w:t>
            </w:r>
          </w:p>
        </w:tc>
        <w:tc>
          <w:tcPr>
            <w:tcW w:w="311" w:type="dxa"/>
            <w:tcBorders/>
            <w:shd w:fill="auto" w:val="clear"/>
            <w:vAlign w:val="bottom"/>
          </w:tcPr>
          <w:p>
            <w:pPr>
              <w:pStyle w:val="TableContents"/>
              <w:spacing w:before="0" w:after="0"/>
              <w:ind w:left="0" w:right="0" w:hanging="0"/>
              <w:rPr/>
            </w:pPr>
            <w:r>
              <w:rPr/>
              <w:t> </w:t>
            </w:r>
          </w:p>
        </w:tc>
      </w:tr>
      <w:tr>
        <w:trPr/>
        <w:tc>
          <w:tcPr>
            <w:tcW w:w="667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20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3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559.9</w:t>
            </w:r>
          </w:p>
        </w:tc>
        <w:tc>
          <w:tcPr>
            <w:tcW w:w="20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13,043.9</w:t>
            </w:r>
          </w:p>
        </w:tc>
        <w:tc>
          <w:tcPr>
            <w:tcW w:w="205"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13,603.8</w:t>
            </w:r>
          </w:p>
        </w:tc>
        <w:tc>
          <w:tcPr>
            <w:tcW w:w="311" w:type="dxa"/>
            <w:tcBorders/>
            <w:shd w:fill="CCEEFF" w:val="clear"/>
            <w:vAlign w:val="bottom"/>
          </w:tcPr>
          <w:p>
            <w:pPr>
              <w:pStyle w:val="TableContents"/>
              <w:spacing w:before="0" w:after="0"/>
              <w:ind w:left="0" w:right="0" w:hanging="0"/>
              <w:rPr/>
            </w:pPr>
            <w:r>
              <w:rPr/>
              <w:t> </w:t>
            </w:r>
          </w:p>
        </w:tc>
      </w:tr>
      <w:tr>
        <w:trPr/>
        <w:tc>
          <w:tcPr>
            <w:tcW w:w="6678"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78"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77" w:type="dxa"/>
            <w:gridSpan w:val="2"/>
            <w:tcBorders/>
            <w:shd w:fill="auto" w:val="clear"/>
            <w:vAlign w:val="bottom"/>
          </w:tcPr>
          <w:p>
            <w:pPr>
              <w:pStyle w:val="TableContents"/>
              <w:spacing w:before="0" w:after="0"/>
              <w:ind w:left="0" w:right="0" w:hanging="0"/>
              <w:rPr/>
            </w:pPr>
            <w:r>
              <w:rPr/>
              <w:t> </w:t>
            </w:r>
          </w:p>
        </w:tc>
        <w:tc>
          <w:tcPr>
            <w:tcW w:w="311" w:type="dxa"/>
            <w:tcBorders/>
            <w:shd w:fill="auto" w:val="clear"/>
            <w:vAlign w:val="bottom"/>
          </w:tcPr>
          <w:p>
            <w:pPr>
              <w:pStyle w:val="TableContents"/>
              <w:spacing w:before="0" w:after="0"/>
              <w:ind w:left="0" w:right="0" w:hanging="0"/>
              <w:rPr/>
            </w:pPr>
            <w:r>
              <w:rPr/>
              <w:t> </w:t>
            </w:r>
          </w:p>
        </w:tc>
      </w:tr>
      <w:tr>
        <w:trPr/>
        <w:tc>
          <w:tcPr>
            <w:tcW w:w="667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profit (3)(4)(5)</w:t>
            </w:r>
          </w:p>
        </w:tc>
        <w:tc>
          <w:tcPr>
            <w:tcW w:w="20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91.1</w:t>
            </w:r>
          </w:p>
        </w:tc>
        <w:tc>
          <w:tcPr>
            <w:tcW w:w="20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121.2</w:t>
            </w:r>
          </w:p>
        </w:tc>
        <w:tc>
          <w:tcPr>
            <w:tcW w:w="205"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212.3</w:t>
            </w:r>
          </w:p>
        </w:tc>
        <w:tc>
          <w:tcPr>
            <w:tcW w:w="311" w:type="dxa"/>
            <w:tcBorders/>
            <w:shd w:fill="CCEEFF" w:val="clear"/>
            <w:vAlign w:val="bottom"/>
          </w:tcPr>
          <w:p>
            <w:pPr>
              <w:pStyle w:val="TableContents"/>
              <w:spacing w:before="0" w:after="0"/>
              <w:ind w:left="0" w:right="0" w:hanging="0"/>
              <w:rPr/>
            </w:pPr>
            <w:r>
              <w:rPr/>
              <w:t> </w:t>
            </w:r>
          </w:p>
        </w:tc>
      </w:tr>
      <w:tr>
        <w:trPr/>
        <w:tc>
          <w:tcPr>
            <w:tcW w:w="6678"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78"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77" w:type="dxa"/>
            <w:gridSpan w:val="2"/>
            <w:tcBorders/>
            <w:shd w:fill="auto" w:val="clear"/>
            <w:vAlign w:val="bottom"/>
          </w:tcPr>
          <w:p>
            <w:pPr>
              <w:pStyle w:val="TableContents"/>
              <w:spacing w:before="0" w:after="0"/>
              <w:ind w:left="0" w:right="0" w:hanging="0"/>
              <w:rPr/>
            </w:pPr>
            <w:r>
              <w:rPr/>
              <w:t> </w:t>
            </w:r>
          </w:p>
        </w:tc>
        <w:tc>
          <w:tcPr>
            <w:tcW w:w="311" w:type="dxa"/>
            <w:tcBorders/>
            <w:shd w:fill="auto" w:val="clear"/>
            <w:vAlign w:val="bottom"/>
          </w:tcPr>
          <w:p>
            <w:pPr>
              <w:pStyle w:val="TableContents"/>
              <w:spacing w:before="0" w:after="0"/>
              <w:ind w:left="0" w:right="0" w:hanging="0"/>
              <w:rPr/>
            </w:pPr>
            <w:r>
              <w:rPr/>
              <w:t> </w:t>
            </w:r>
          </w:p>
        </w:tc>
      </w:tr>
      <w:tr>
        <w:trPr/>
        <w:tc>
          <w:tcPr>
            <w:tcW w:w="667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SFAS 133 impact (3)</w:t>
            </w:r>
          </w:p>
        </w:tc>
        <w:tc>
          <w:tcPr>
            <w:tcW w:w="20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3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678"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78"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77" w:type="dxa"/>
            <w:gridSpan w:val="2"/>
            <w:tcBorders/>
            <w:shd w:fill="auto" w:val="clear"/>
            <w:vAlign w:val="bottom"/>
          </w:tcPr>
          <w:p>
            <w:pPr>
              <w:pStyle w:val="TableContents"/>
              <w:spacing w:before="0" w:after="0"/>
              <w:ind w:left="0" w:right="0" w:hanging="0"/>
              <w:rPr/>
            </w:pPr>
            <w:r>
              <w:rPr/>
              <w:t> </w:t>
            </w:r>
          </w:p>
        </w:tc>
        <w:tc>
          <w:tcPr>
            <w:tcW w:w="311" w:type="dxa"/>
            <w:tcBorders/>
            <w:shd w:fill="auto" w:val="clear"/>
            <w:vAlign w:val="bottom"/>
          </w:tcPr>
          <w:p>
            <w:pPr>
              <w:pStyle w:val="TableContents"/>
              <w:spacing w:before="0" w:after="0"/>
              <w:ind w:left="0" w:right="0" w:hanging="0"/>
              <w:rPr/>
            </w:pPr>
            <w:r>
              <w:rPr/>
              <w:t> </w:t>
            </w:r>
          </w:p>
        </w:tc>
      </w:tr>
      <w:tr>
        <w:trPr/>
        <w:tc>
          <w:tcPr>
            <w:tcW w:w="667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6.2</w:t>
            </w:r>
          </w:p>
        </w:tc>
        <w:tc>
          <w:tcPr>
            <w:tcW w:w="20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2.9</w:t>
            </w:r>
          </w:p>
        </w:tc>
        <w:tc>
          <w:tcPr>
            <w:tcW w:w="205"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9.1</w:t>
            </w:r>
          </w:p>
        </w:tc>
        <w:tc>
          <w:tcPr>
            <w:tcW w:w="311" w:type="dxa"/>
            <w:tcBorders/>
            <w:shd w:fill="CCEEFF" w:val="clear"/>
            <w:vAlign w:val="bottom"/>
          </w:tcPr>
          <w:p>
            <w:pPr>
              <w:pStyle w:val="TableContents"/>
              <w:spacing w:before="0" w:after="0"/>
              <w:ind w:left="0" w:right="0" w:hanging="0"/>
              <w:rPr/>
            </w:pPr>
            <w:r>
              <w:rPr/>
              <w:t> </w:t>
            </w:r>
          </w:p>
        </w:tc>
      </w:tr>
      <w:tr>
        <w:trPr/>
        <w:tc>
          <w:tcPr>
            <w:tcW w:w="6678"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78"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77" w:type="dxa"/>
            <w:gridSpan w:val="2"/>
            <w:tcBorders/>
            <w:shd w:fill="auto" w:val="clear"/>
            <w:vAlign w:val="bottom"/>
          </w:tcPr>
          <w:p>
            <w:pPr>
              <w:pStyle w:val="TableContents"/>
              <w:spacing w:before="0" w:after="0"/>
              <w:ind w:left="0" w:right="0" w:hanging="0"/>
              <w:rPr/>
            </w:pPr>
            <w:r>
              <w:rPr/>
              <w:t> </w:t>
            </w:r>
          </w:p>
        </w:tc>
        <w:tc>
          <w:tcPr>
            <w:tcW w:w="311" w:type="dxa"/>
            <w:tcBorders/>
            <w:shd w:fill="auto" w:val="clear"/>
            <w:vAlign w:val="bottom"/>
          </w:tcPr>
          <w:p>
            <w:pPr>
              <w:pStyle w:val="TableContents"/>
              <w:spacing w:before="0" w:after="0"/>
              <w:ind w:left="0" w:right="0" w:hanging="0"/>
              <w:rPr/>
            </w:pPr>
            <w:r>
              <w:rPr/>
              <w:t> </w:t>
            </w:r>
          </w:p>
        </w:tc>
      </w:tr>
      <w:tr>
        <w:trPr/>
        <w:tc>
          <w:tcPr>
            <w:tcW w:w="6678"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Six Months Ended June 30, 2005</w:t>
            </w:r>
          </w:p>
        </w:tc>
        <w:tc>
          <w:tcPr>
            <w:tcW w:w="203" w:type="dxa"/>
            <w:tcBorders/>
            <w:shd w:fill="CCEEFF" w:val="clear"/>
            <w:vAlign w:val="bottom"/>
          </w:tcPr>
          <w:p>
            <w:pPr>
              <w:pStyle w:val="TableContents"/>
              <w:spacing w:before="0" w:after="0"/>
              <w:ind w:left="0" w:right="0" w:hanging="0"/>
              <w:rPr/>
            </w:pPr>
            <w:r>
              <w:rPr/>
              <w:t> </w:t>
            </w:r>
          </w:p>
        </w:tc>
        <w:tc>
          <w:tcPr>
            <w:tcW w:w="850" w:type="dxa"/>
            <w:gridSpan w:val="2"/>
            <w:tcBorders/>
            <w:shd w:fill="CCEEFF" w:val="clear"/>
            <w:vAlign w:val="bottom"/>
          </w:tcPr>
          <w:p>
            <w:pPr>
              <w:pStyle w:val="TableContents"/>
              <w:spacing w:before="0" w:after="0"/>
              <w:ind w:left="0" w:right="0" w:hanging="0"/>
              <w:rPr/>
            </w:pPr>
            <w:r>
              <w:rPr/>
              <w:t> </w:t>
            </w:r>
          </w:p>
        </w:tc>
        <w:tc>
          <w:tcPr>
            <w:tcW w:w="203" w:type="dxa"/>
            <w:tcBorders/>
            <w:shd w:fill="CCEEFF" w:val="clear"/>
            <w:vAlign w:val="bottom"/>
          </w:tcPr>
          <w:p>
            <w:pPr>
              <w:pStyle w:val="TableContents"/>
              <w:spacing w:before="0" w:after="0"/>
              <w:ind w:left="0" w:right="0" w:hanging="0"/>
              <w:rPr/>
            </w:pPr>
            <w:r>
              <w:rPr/>
              <w:t> </w:t>
            </w:r>
          </w:p>
        </w:tc>
        <w:tc>
          <w:tcPr>
            <w:tcW w:w="878" w:type="dxa"/>
            <w:gridSpan w:val="2"/>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877" w:type="dxa"/>
            <w:gridSpan w:val="2"/>
            <w:tcBorders/>
            <w:shd w:fill="CCEEFF" w:val="clear"/>
            <w:vAlign w:val="bottom"/>
          </w:tcPr>
          <w:p>
            <w:pPr>
              <w:pStyle w:val="TableContents"/>
              <w:spacing w:before="0" w:after="0"/>
              <w:ind w:left="0" w:right="0" w:hanging="0"/>
              <w:rPr/>
            </w:pPr>
            <w:r>
              <w:rPr/>
              <w:t> </w:t>
            </w:r>
          </w:p>
        </w:tc>
        <w:tc>
          <w:tcPr>
            <w:tcW w:w="311" w:type="dxa"/>
            <w:tcBorders/>
            <w:shd w:fill="CCEEFF" w:val="clear"/>
            <w:vAlign w:val="bottom"/>
          </w:tcPr>
          <w:p>
            <w:pPr>
              <w:pStyle w:val="TableContents"/>
              <w:spacing w:before="0" w:after="0"/>
              <w:ind w:left="0" w:right="0" w:hanging="0"/>
              <w:rPr/>
            </w:pPr>
            <w:r>
              <w:rPr/>
              <w:t> </w:t>
            </w:r>
          </w:p>
        </w:tc>
      </w:tr>
      <w:tr>
        <w:trPr/>
        <w:tc>
          <w:tcPr>
            <w:tcW w:w="66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203"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78"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77" w:type="dxa"/>
            <w:gridSpan w:val="2"/>
            <w:tcBorders/>
            <w:shd w:fill="auto" w:val="clear"/>
            <w:vAlign w:val="bottom"/>
          </w:tcPr>
          <w:p>
            <w:pPr>
              <w:pStyle w:val="TableContents"/>
              <w:spacing w:before="0" w:after="0"/>
              <w:ind w:left="0" w:right="0" w:hanging="0"/>
              <w:rPr/>
            </w:pPr>
            <w:r>
              <w:rPr/>
              <w:t> </w:t>
            </w:r>
          </w:p>
        </w:tc>
        <w:tc>
          <w:tcPr>
            <w:tcW w:w="311" w:type="dxa"/>
            <w:tcBorders/>
            <w:shd w:fill="auto" w:val="clear"/>
            <w:vAlign w:val="bottom"/>
          </w:tcPr>
          <w:p>
            <w:pPr>
              <w:pStyle w:val="TableContents"/>
              <w:spacing w:before="0" w:after="0"/>
              <w:ind w:left="0" w:right="0" w:hanging="0"/>
              <w:rPr/>
            </w:pPr>
            <w:r>
              <w:rPr/>
              <w:t> </w:t>
            </w:r>
          </w:p>
        </w:tc>
      </w:tr>
      <w:tr>
        <w:trPr/>
        <w:tc>
          <w:tcPr>
            <w:tcW w:w="667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External Customers (includes buy/sell revenues of $73.6, $7,125.2, and $7,198.8, for Pipeline, GMT&amp;S and Total, respectively)</w:t>
            </w:r>
          </w:p>
        </w:tc>
        <w:tc>
          <w:tcPr>
            <w:tcW w:w="203"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442.4</w:t>
            </w:r>
          </w:p>
        </w:tc>
        <w:tc>
          <w:tcPr>
            <w:tcW w:w="203"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13,356.8</w:t>
            </w:r>
          </w:p>
        </w:tc>
        <w:tc>
          <w:tcPr>
            <w:tcW w:w="205"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13,799.2</w:t>
            </w:r>
          </w:p>
        </w:tc>
        <w:tc>
          <w:tcPr>
            <w:tcW w:w="311" w:type="dxa"/>
            <w:tcBorders/>
            <w:shd w:fill="CCEEFF" w:val="clear"/>
            <w:vAlign w:val="bottom"/>
          </w:tcPr>
          <w:p>
            <w:pPr>
              <w:pStyle w:val="TableContents"/>
              <w:spacing w:before="0" w:after="0"/>
              <w:ind w:left="0" w:right="0" w:hanging="0"/>
              <w:rPr/>
            </w:pPr>
            <w:r>
              <w:rPr/>
              <w:t> </w:t>
            </w:r>
          </w:p>
        </w:tc>
      </w:tr>
      <w:tr>
        <w:trPr/>
        <w:tc>
          <w:tcPr>
            <w:tcW w:w="66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Intersegment (2)</w:t>
            </w:r>
          </w:p>
        </w:tc>
        <w:tc>
          <w:tcPr>
            <w:tcW w:w="203" w:type="dxa"/>
            <w:tcBorders/>
            <w:shd w:fill="auto" w:val="clear"/>
            <w:vAlign w:val="bottom"/>
          </w:tcPr>
          <w:p>
            <w:pPr>
              <w:pStyle w:val="TableContents"/>
              <w:spacing w:before="0" w:after="0"/>
              <w:ind w:left="0" w:right="0" w:hanging="0"/>
              <w:rPr/>
            </w:pPr>
            <w:r>
              <w:rPr/>
              <w:t> </w:t>
            </w:r>
          </w:p>
        </w:tc>
        <w:tc>
          <w:tcPr>
            <w:tcW w:w="850"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65.3</w:t>
            </w:r>
          </w:p>
        </w:tc>
        <w:tc>
          <w:tcPr>
            <w:tcW w:w="203" w:type="dxa"/>
            <w:tcBorders/>
            <w:shd w:fill="auto" w:val="clear"/>
            <w:vAlign w:val="bottom"/>
          </w:tcPr>
          <w:p>
            <w:pPr>
              <w:pStyle w:val="TableContents"/>
              <w:spacing w:before="0" w:after="0"/>
              <w:ind w:left="0" w:right="0" w:hanging="0"/>
              <w:rPr/>
            </w:pPr>
            <w:r>
              <w:rPr/>
              <w:t> </w:t>
            </w:r>
          </w:p>
        </w:tc>
        <w:tc>
          <w:tcPr>
            <w:tcW w:w="878"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0.4</w:t>
            </w:r>
          </w:p>
        </w:tc>
        <w:tc>
          <w:tcPr>
            <w:tcW w:w="205" w:type="dxa"/>
            <w:tcBorders/>
            <w:shd w:fill="auto" w:val="clear"/>
            <w:vAlign w:val="bottom"/>
          </w:tcPr>
          <w:p>
            <w:pPr>
              <w:pStyle w:val="TableContents"/>
              <w:spacing w:before="0" w:after="0"/>
              <w:ind w:left="0" w:right="0" w:hanging="0"/>
              <w:rPr/>
            </w:pPr>
            <w:r>
              <w:rPr/>
              <w:t> </w:t>
            </w:r>
          </w:p>
        </w:tc>
        <w:tc>
          <w:tcPr>
            <w:tcW w:w="877"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65.7</w:t>
            </w:r>
          </w:p>
        </w:tc>
        <w:tc>
          <w:tcPr>
            <w:tcW w:w="311" w:type="dxa"/>
            <w:tcBorders/>
            <w:shd w:fill="auto" w:val="clear"/>
            <w:vAlign w:val="bottom"/>
          </w:tcPr>
          <w:p>
            <w:pPr>
              <w:pStyle w:val="TableContents"/>
              <w:spacing w:before="0" w:after="0"/>
              <w:ind w:left="0" w:right="0" w:hanging="0"/>
              <w:rPr/>
            </w:pPr>
            <w:r>
              <w:rPr/>
              <w:t> </w:t>
            </w:r>
          </w:p>
        </w:tc>
      </w:tr>
      <w:tr>
        <w:trPr/>
        <w:tc>
          <w:tcPr>
            <w:tcW w:w="667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revenues of reportable segments</w:t>
            </w:r>
          </w:p>
        </w:tc>
        <w:tc>
          <w:tcPr>
            <w:tcW w:w="20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3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507.7</w:t>
            </w:r>
          </w:p>
        </w:tc>
        <w:tc>
          <w:tcPr>
            <w:tcW w:w="20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13,357.2</w:t>
            </w:r>
          </w:p>
        </w:tc>
        <w:tc>
          <w:tcPr>
            <w:tcW w:w="205"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13,864.9</w:t>
            </w:r>
          </w:p>
        </w:tc>
        <w:tc>
          <w:tcPr>
            <w:tcW w:w="311" w:type="dxa"/>
            <w:tcBorders/>
            <w:shd w:fill="CCEEFF" w:val="clear"/>
            <w:vAlign w:val="bottom"/>
          </w:tcPr>
          <w:p>
            <w:pPr>
              <w:pStyle w:val="TableContents"/>
              <w:spacing w:before="0" w:after="0"/>
              <w:ind w:left="0" w:right="0" w:hanging="0"/>
              <w:rPr/>
            </w:pPr>
            <w:r>
              <w:rPr/>
              <w:t> </w:t>
            </w:r>
          </w:p>
        </w:tc>
      </w:tr>
      <w:tr>
        <w:trPr/>
        <w:tc>
          <w:tcPr>
            <w:tcW w:w="6678"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78"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77" w:type="dxa"/>
            <w:gridSpan w:val="2"/>
            <w:tcBorders/>
            <w:shd w:fill="auto" w:val="clear"/>
            <w:vAlign w:val="bottom"/>
          </w:tcPr>
          <w:p>
            <w:pPr>
              <w:pStyle w:val="TableContents"/>
              <w:spacing w:before="0" w:after="0"/>
              <w:ind w:left="0" w:right="0" w:hanging="0"/>
              <w:rPr/>
            </w:pPr>
            <w:r>
              <w:rPr/>
              <w:t> </w:t>
            </w:r>
          </w:p>
        </w:tc>
        <w:tc>
          <w:tcPr>
            <w:tcW w:w="311" w:type="dxa"/>
            <w:tcBorders/>
            <w:shd w:fill="auto" w:val="clear"/>
            <w:vAlign w:val="bottom"/>
          </w:tcPr>
          <w:p>
            <w:pPr>
              <w:pStyle w:val="TableContents"/>
              <w:spacing w:before="0" w:after="0"/>
              <w:ind w:left="0" w:right="0" w:hanging="0"/>
              <w:rPr/>
            </w:pPr>
            <w:r>
              <w:rPr/>
              <w:t> </w:t>
            </w:r>
          </w:p>
        </w:tc>
      </w:tr>
      <w:tr>
        <w:trPr/>
        <w:tc>
          <w:tcPr>
            <w:tcW w:w="667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profit (3)(4)(5)</w:t>
            </w:r>
          </w:p>
        </w:tc>
        <w:tc>
          <w:tcPr>
            <w:tcW w:w="20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91.4</w:t>
            </w:r>
          </w:p>
        </w:tc>
        <w:tc>
          <w:tcPr>
            <w:tcW w:w="20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70.0</w:t>
            </w:r>
          </w:p>
        </w:tc>
        <w:tc>
          <w:tcPr>
            <w:tcW w:w="205"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161.4</w:t>
            </w:r>
          </w:p>
        </w:tc>
        <w:tc>
          <w:tcPr>
            <w:tcW w:w="311" w:type="dxa"/>
            <w:tcBorders/>
            <w:shd w:fill="CCEEFF" w:val="clear"/>
            <w:vAlign w:val="bottom"/>
          </w:tcPr>
          <w:p>
            <w:pPr>
              <w:pStyle w:val="TableContents"/>
              <w:spacing w:before="0" w:after="0"/>
              <w:ind w:left="0" w:right="0" w:hanging="0"/>
              <w:rPr/>
            </w:pPr>
            <w:r>
              <w:rPr/>
              <w:t> </w:t>
            </w:r>
          </w:p>
        </w:tc>
      </w:tr>
      <w:tr>
        <w:trPr/>
        <w:tc>
          <w:tcPr>
            <w:tcW w:w="6678"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78"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77" w:type="dxa"/>
            <w:gridSpan w:val="2"/>
            <w:tcBorders/>
            <w:shd w:fill="auto" w:val="clear"/>
            <w:vAlign w:val="bottom"/>
          </w:tcPr>
          <w:p>
            <w:pPr>
              <w:pStyle w:val="TableContents"/>
              <w:spacing w:before="0" w:after="0"/>
              <w:ind w:left="0" w:right="0" w:hanging="0"/>
              <w:rPr/>
            </w:pPr>
            <w:r>
              <w:rPr/>
              <w:t> </w:t>
            </w:r>
          </w:p>
        </w:tc>
        <w:tc>
          <w:tcPr>
            <w:tcW w:w="311" w:type="dxa"/>
            <w:tcBorders/>
            <w:shd w:fill="auto" w:val="clear"/>
            <w:vAlign w:val="bottom"/>
          </w:tcPr>
          <w:p>
            <w:pPr>
              <w:pStyle w:val="TableContents"/>
              <w:spacing w:before="0" w:after="0"/>
              <w:ind w:left="0" w:right="0" w:hanging="0"/>
              <w:rPr/>
            </w:pPr>
            <w:r>
              <w:rPr/>
              <w:t> </w:t>
            </w:r>
          </w:p>
        </w:tc>
      </w:tr>
      <w:tr>
        <w:trPr/>
        <w:tc>
          <w:tcPr>
            <w:tcW w:w="667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SFAS 133 impact (3)</w:t>
            </w:r>
          </w:p>
        </w:tc>
        <w:tc>
          <w:tcPr>
            <w:tcW w:w="20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(26.3</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(26.3</w:t>
            </w:r>
          </w:p>
        </w:tc>
        <w:tc>
          <w:tcPr>
            <w:tcW w:w="3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678" w:type="dxa"/>
            <w:tcBorders/>
            <w:shd w:fill="auto" w:val="clear"/>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50" w:type="dxa"/>
            <w:gridSpan w:val="2"/>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rPr/>
            </w:pPr>
            <w:r>
              <w:rPr/>
              <w:t> </w:t>
            </w:r>
          </w:p>
        </w:tc>
        <w:tc>
          <w:tcPr>
            <w:tcW w:w="878"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77" w:type="dxa"/>
            <w:gridSpan w:val="2"/>
            <w:tcBorders/>
            <w:shd w:fill="auto" w:val="clear"/>
            <w:vAlign w:val="bottom"/>
          </w:tcPr>
          <w:p>
            <w:pPr>
              <w:pStyle w:val="TableContents"/>
              <w:spacing w:before="0" w:after="0"/>
              <w:ind w:left="0" w:right="0" w:hanging="0"/>
              <w:rPr/>
            </w:pPr>
            <w:r>
              <w:rPr/>
              <w:t> </w:t>
            </w:r>
          </w:p>
        </w:tc>
        <w:tc>
          <w:tcPr>
            <w:tcW w:w="311" w:type="dxa"/>
            <w:tcBorders/>
            <w:shd w:fill="auto" w:val="clear"/>
            <w:vAlign w:val="bottom"/>
          </w:tcPr>
          <w:p>
            <w:pPr>
              <w:pStyle w:val="TableContents"/>
              <w:spacing w:before="0" w:after="0"/>
              <w:ind w:left="0" w:right="0" w:hanging="0"/>
              <w:rPr/>
            </w:pPr>
            <w:r>
              <w:rPr/>
              <w:t> </w:t>
            </w:r>
          </w:p>
        </w:tc>
      </w:tr>
      <w:tr>
        <w:trPr/>
        <w:tc>
          <w:tcPr>
            <w:tcW w:w="667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5.3</w:t>
            </w:r>
          </w:p>
        </w:tc>
        <w:tc>
          <w:tcPr>
            <w:tcW w:w="20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2.7</w:t>
            </w:r>
          </w:p>
        </w:tc>
        <w:tc>
          <w:tcPr>
            <w:tcW w:w="205"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8.0</w:t>
            </w:r>
          </w:p>
        </w:tc>
        <w:tc>
          <w:tcPr>
            <w:tcW w:w="31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rPr/>
      </w:pPr>
      <w:r>
        <w:rPr/>
      </w:r>
    </w:p>
    <w:p>
      <w:pPr>
        <w:pStyle w:val="TextBody"/>
        <w:spacing w:before="0" w:after="240"/>
        <w:ind w:left="400" w:right="0" w:hanging="400"/>
        <w:rPr>
          <w:rFonts w:ascii="Times New Roman" w:hAnsi="Times New Roman"/>
          <w:sz w:val="17"/>
        </w:rPr>
      </w:pPr>
      <w:r>
        <w:rPr>
          <w:rFonts w:ascii="Times New Roman" w:hAnsi="Times New Roman"/>
          <w:sz w:val="17"/>
        </w:rPr>
        <w:t>(1)             The adoption of EITF 04-13 resulted in inventory purchases and sales under buy/sell transactions, which historically would have been recorded gross as purchases and sales, to be treated as inventory exchanges in our consolidated statement of operations. See Note 13.</w:t>
      </w:r>
    </w:p>
    <w:p>
      <w:pPr>
        <w:pStyle w:val="TextBody"/>
        <w:spacing w:before="0" w:after="240"/>
        <w:ind w:left="400" w:right="0" w:hanging="400"/>
        <w:rPr>
          <w:rFonts w:ascii="Times New Roman" w:hAnsi="Times New Roman"/>
          <w:sz w:val="17"/>
        </w:rPr>
      </w:pPr>
      <w:r>
        <w:rPr>
          <w:rFonts w:ascii="Times New Roman" w:hAnsi="Times New Roman"/>
          <w:sz w:val="17"/>
        </w:rPr>
        <w:t>(2)             Intersegment sales are conducted at arms length.</w:t>
      </w:r>
    </w:p>
    <w:p>
      <w:pPr>
        <w:pStyle w:val="TextBody"/>
        <w:spacing w:before="0" w:after="240"/>
        <w:ind w:left="400" w:right="0" w:hanging="400"/>
        <w:rPr>
          <w:rFonts w:ascii="Times New Roman" w:hAnsi="Times New Roman"/>
          <w:sz w:val="17"/>
        </w:rPr>
      </w:pPr>
      <w:r>
        <w:rPr>
          <w:rFonts w:ascii="Times New Roman" w:hAnsi="Times New Roman"/>
          <w:sz w:val="17"/>
        </w:rPr>
        <w:t>(3)             Amounts related to SFAS 133 are included in revenues and impact segment profit.</w:t>
      </w:r>
    </w:p>
    <w:p>
      <w:pPr>
        <w:pStyle w:val="TextBody"/>
        <w:spacing w:before="0" w:after="240"/>
        <w:ind w:left="400" w:right="0" w:hanging="400"/>
        <w:rPr>
          <w:rFonts w:ascii="Times New Roman" w:hAnsi="Times New Roman"/>
          <w:sz w:val="17"/>
        </w:rPr>
      </w:pPr>
      <w:r>
        <w:rPr>
          <w:rFonts w:ascii="Times New Roman" w:hAnsi="Times New Roman"/>
          <w:sz w:val="17"/>
        </w:rPr>
        <w:t>(4)             GMT&amp;S segment profit includes interest expense on contango purchases of $13.3 million and $5.8 million for the quarter and $21.9 million and $9.2 million for the six months ended June 30, 2006 and 2005, respectively.</w:t>
      </w:r>
    </w:p>
    <w:p>
      <w:pPr>
        <w:pStyle w:val="TextBody"/>
        <w:keepNext w:val="true"/>
        <w:spacing w:before="0" w:after="240"/>
        <w:ind w:left="400" w:right="0" w:hanging="400"/>
        <w:rPr>
          <w:rFonts w:ascii="Times New Roman" w:hAnsi="Times New Roman"/>
          <w:sz w:val="17"/>
        </w:rPr>
      </w:pPr>
      <w:r>
        <w:rPr>
          <w:rFonts w:ascii="Times New Roman" w:hAnsi="Times New Roman"/>
          <w:sz w:val="17"/>
        </w:rPr>
        <w:t>(5)             The following table reconciles segment profit to consolidated income before cumulative effect of change in accounting principle (in millions):</w:t>
      </w:r>
    </w:p>
    <w:tbl>
      <w:tblPr>
        <w:tblW w:w="9275" w:type="dxa"/>
        <w:jc w:val="center"/>
        <w:tblInd w:w="0" w:type="dxa"/>
        <w:tblCellMar>
          <w:top w:w="0" w:type="dxa"/>
          <w:left w:w="0" w:type="dxa"/>
          <w:bottom w:w="0" w:type="dxa"/>
          <w:right w:w="0" w:type="dxa"/>
        </w:tblCellMar>
      </w:tblPr>
      <w:tblGrid>
        <w:gridCol w:w="5205"/>
        <w:gridCol w:w="240"/>
        <w:gridCol w:w="110"/>
        <w:gridCol w:w="645"/>
        <w:gridCol w:w="240"/>
        <w:gridCol w:w="110"/>
        <w:gridCol w:w="645"/>
        <w:gridCol w:w="240"/>
        <w:gridCol w:w="110"/>
        <w:gridCol w:w="645"/>
        <w:gridCol w:w="240"/>
        <w:gridCol w:w="110"/>
        <w:gridCol w:w="645"/>
        <w:gridCol w:w="90"/>
      </w:tblGrid>
      <w:tr>
        <w:trPr/>
        <w:tc>
          <w:tcPr>
            <w:tcW w:w="5205" w:type="dxa"/>
            <w:tcBorders/>
            <w:shd w:fill="auto" w:val="clear"/>
            <w:vAlign w:val="bottom"/>
          </w:tcPr>
          <w:p>
            <w:pPr>
              <w:pStyle w:val="TableContents"/>
              <w:spacing w:before="0" w:after="283"/>
              <w:ind w:left="0" w:right="0" w:hanging="0"/>
              <w:rPr>
                <w:sz w:val="4"/>
                <w:szCs w:val="4"/>
              </w:rPr>
            </w:pPr>
            <w:r>
              <w:rPr>
                <w:sz w:val="4"/>
                <w:szCs w:val="4"/>
              </w:rPr>
            </w:r>
          </w:p>
        </w:tc>
        <w:tc>
          <w:tcPr>
            <w:tcW w:w="240" w:type="dxa"/>
            <w:tcBorders/>
            <w:shd w:fill="auto" w:val="clear"/>
            <w:vAlign w:val="bottom"/>
          </w:tcPr>
          <w:p>
            <w:pPr>
              <w:pStyle w:val="TableContents"/>
              <w:spacing w:lineRule="atLeast" w:line="160" w:before="0" w:after="0"/>
              <w:ind w:left="0" w:right="0" w:hanging="0"/>
              <w:rPr/>
            </w:pPr>
            <w:r>
              <w:rPr/>
              <w:t> </w:t>
            </w:r>
          </w:p>
        </w:tc>
        <w:tc>
          <w:tcPr>
            <w:tcW w:w="175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For the three months</w:t>
              <w:br/>
              <w:t>ended June 30</w:t>
            </w:r>
          </w:p>
        </w:tc>
        <w:tc>
          <w:tcPr>
            <w:tcW w:w="240" w:type="dxa"/>
            <w:tcBorders/>
            <w:shd w:fill="auto" w:val="clear"/>
            <w:vAlign w:val="bottom"/>
          </w:tcPr>
          <w:p>
            <w:pPr>
              <w:pStyle w:val="TableContents"/>
              <w:spacing w:lineRule="atLeast" w:line="160" w:before="0" w:after="0"/>
              <w:ind w:left="0" w:right="0" w:hanging="0"/>
              <w:rPr/>
            </w:pPr>
            <w:r>
              <w:rPr/>
              <w:t> </w:t>
            </w:r>
          </w:p>
        </w:tc>
        <w:tc>
          <w:tcPr>
            <w:tcW w:w="175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For the six months</w:t>
              <w:br/>
              <w:t>ended June 30</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20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75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240" w:type="dxa"/>
            <w:tcBorders/>
            <w:shd w:fill="auto" w:val="clear"/>
            <w:vAlign w:val="bottom"/>
          </w:tcPr>
          <w:p>
            <w:pPr>
              <w:pStyle w:val="TableContents"/>
              <w:spacing w:lineRule="atLeast" w:line="160" w:before="0" w:after="0"/>
              <w:ind w:left="0" w:right="0" w:hanging="0"/>
              <w:rPr/>
            </w:pPr>
            <w:r>
              <w:rPr/>
              <w:t> </w:t>
            </w:r>
          </w:p>
        </w:tc>
        <w:tc>
          <w:tcPr>
            <w:tcW w:w="75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40" w:type="dxa"/>
            <w:tcBorders/>
            <w:shd w:fill="auto" w:val="clear"/>
            <w:vAlign w:val="bottom"/>
          </w:tcPr>
          <w:p>
            <w:pPr>
              <w:pStyle w:val="TableContents"/>
              <w:spacing w:lineRule="atLeast" w:line="160" w:before="0" w:after="0"/>
              <w:ind w:left="0" w:right="0" w:hanging="0"/>
              <w:rPr/>
            </w:pPr>
            <w:r>
              <w:rPr/>
              <w:t> </w:t>
            </w:r>
          </w:p>
        </w:tc>
        <w:tc>
          <w:tcPr>
            <w:tcW w:w="75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240" w:type="dxa"/>
            <w:tcBorders/>
            <w:shd w:fill="auto" w:val="clear"/>
            <w:vAlign w:val="bottom"/>
          </w:tcPr>
          <w:p>
            <w:pPr>
              <w:pStyle w:val="TableContents"/>
              <w:spacing w:lineRule="atLeast" w:line="160" w:before="0" w:after="0"/>
              <w:ind w:left="0" w:right="0" w:hanging="0"/>
              <w:rPr/>
            </w:pPr>
            <w:r>
              <w:rPr/>
              <w:t> </w:t>
            </w:r>
          </w:p>
        </w:tc>
        <w:tc>
          <w:tcPr>
            <w:tcW w:w="75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205" w:type="dxa"/>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755"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755"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755"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755" w:type="dxa"/>
            <w:gridSpan w:val="2"/>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52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118.4</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95.1</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212.3</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4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161.4</w:t>
            </w:r>
          </w:p>
        </w:tc>
        <w:tc>
          <w:tcPr>
            <w:tcW w:w="90" w:type="dxa"/>
            <w:tcBorders/>
            <w:shd w:fill="CCEEFF" w:val="clear"/>
            <w:vAlign w:val="bottom"/>
          </w:tcPr>
          <w:p>
            <w:pPr>
              <w:pStyle w:val="TableContents"/>
              <w:spacing w:before="0" w:after="0"/>
              <w:ind w:left="0" w:right="0" w:hanging="0"/>
              <w:rPr/>
            </w:pPr>
            <w:r>
              <w:rPr/>
              <w:t> </w:t>
            </w:r>
          </w:p>
        </w:tc>
      </w:tr>
      <w:tr>
        <w:trPr/>
        <w:tc>
          <w:tcPr>
            <w:tcW w:w="5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40" w:type="dxa"/>
            <w:tcBorders/>
            <w:shd w:fill="auto" w:val="clear"/>
            <w:vAlign w:val="bottom"/>
          </w:tcPr>
          <w:p>
            <w:pPr>
              <w:pStyle w:val="TableContents"/>
              <w:spacing w:before="0" w:after="0"/>
              <w:ind w:left="0" w:right="0" w:hanging="0"/>
              <w:rPr/>
            </w:pPr>
            <w:r>
              <w:rPr/>
              <w:t> </w:t>
            </w:r>
          </w:p>
        </w:tc>
        <w:tc>
          <w:tcPr>
            <w:tcW w:w="75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(21.3</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(19.0</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(42.9</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(38.1</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Equity earnings in PAA/Vulcan Gas Storage, LLC</w:t>
            </w:r>
          </w:p>
        </w:tc>
        <w:tc>
          <w:tcPr>
            <w:tcW w:w="240" w:type="dxa"/>
            <w:tcBorders/>
            <w:shd w:fill="CCEEFF" w:val="clear"/>
            <w:vAlign w:val="bottom"/>
          </w:tcPr>
          <w:p>
            <w:pPr>
              <w:pStyle w:val="TableContents"/>
              <w:spacing w:before="0" w:after="0"/>
              <w:ind w:left="0" w:right="0" w:hanging="0"/>
              <w:rPr/>
            </w:pPr>
            <w:r>
              <w:rPr/>
              <w:t> </w:t>
            </w:r>
          </w:p>
        </w:tc>
        <w:tc>
          <w:tcPr>
            <w:tcW w:w="75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w:t>
            </w:r>
          </w:p>
        </w:tc>
        <w:tc>
          <w:tcPr>
            <w:tcW w:w="240" w:type="dxa"/>
            <w:tcBorders/>
            <w:shd w:fill="CCEEFF" w:val="clear"/>
            <w:vAlign w:val="bottom"/>
          </w:tcPr>
          <w:p>
            <w:pPr>
              <w:pStyle w:val="TableContents"/>
              <w:spacing w:before="0" w:after="0"/>
              <w:ind w:left="0" w:right="0" w:hanging="0"/>
              <w:rPr/>
            </w:pPr>
            <w:r>
              <w:rPr/>
              <w:t> </w:t>
            </w:r>
          </w:p>
        </w:tc>
        <w:tc>
          <w:tcPr>
            <w:tcW w:w="75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40" w:type="dxa"/>
            <w:tcBorders/>
            <w:shd w:fill="CCEEFF" w:val="clear"/>
            <w:vAlign w:val="bottom"/>
          </w:tcPr>
          <w:p>
            <w:pPr>
              <w:pStyle w:val="TableContents"/>
              <w:spacing w:before="0" w:after="0"/>
              <w:ind w:left="0" w:right="0" w:hanging="0"/>
              <w:rPr/>
            </w:pPr>
            <w:r>
              <w:rPr/>
              <w:t> </w:t>
            </w:r>
          </w:p>
        </w:tc>
        <w:tc>
          <w:tcPr>
            <w:tcW w:w="75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0.9</w:t>
            </w:r>
          </w:p>
        </w:tc>
        <w:tc>
          <w:tcPr>
            <w:tcW w:w="240" w:type="dxa"/>
            <w:tcBorders/>
            <w:shd w:fill="CCEEFF" w:val="clear"/>
            <w:vAlign w:val="bottom"/>
          </w:tcPr>
          <w:p>
            <w:pPr>
              <w:pStyle w:val="TableContents"/>
              <w:spacing w:before="0" w:after="0"/>
              <w:ind w:left="0" w:right="0" w:hanging="0"/>
              <w:rPr/>
            </w:pPr>
            <w:r>
              <w:rPr/>
              <w:t> </w:t>
            </w:r>
          </w:p>
        </w:tc>
        <w:tc>
          <w:tcPr>
            <w:tcW w:w="75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 w:type="dxa"/>
            <w:tcBorders/>
            <w:shd w:fill="CCEEFF" w:val="clear"/>
            <w:vAlign w:val="bottom"/>
          </w:tcPr>
          <w:p>
            <w:pPr>
              <w:pStyle w:val="TableContents"/>
              <w:spacing w:before="0" w:after="0"/>
              <w:ind w:left="0" w:right="0" w:hanging="0"/>
              <w:rPr/>
            </w:pPr>
            <w:r>
              <w:rPr/>
              <w:t> </w:t>
            </w:r>
          </w:p>
        </w:tc>
      </w:tr>
      <w:tr>
        <w:trPr/>
        <w:tc>
          <w:tcPr>
            <w:tcW w:w="5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40" w:type="dxa"/>
            <w:tcBorders/>
            <w:shd w:fill="auto" w:val="clear"/>
            <w:vAlign w:val="bottom"/>
          </w:tcPr>
          <w:p>
            <w:pPr>
              <w:pStyle w:val="TableContents"/>
              <w:spacing w:before="0" w:after="0"/>
              <w:ind w:left="0" w:right="0" w:hanging="0"/>
              <w:rPr/>
            </w:pPr>
            <w:r>
              <w:rPr/>
              <w:t> </w:t>
            </w:r>
          </w:p>
        </w:tc>
        <w:tc>
          <w:tcPr>
            <w:tcW w:w="75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(18.0</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(14.3</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(33.3</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(28.8</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Interest income and other income (expense), net</w:t>
            </w:r>
          </w:p>
        </w:tc>
        <w:tc>
          <w:tcPr>
            <w:tcW w:w="240" w:type="dxa"/>
            <w:tcBorders/>
            <w:shd w:fill="CCEEFF" w:val="clear"/>
            <w:vAlign w:val="bottom"/>
          </w:tcPr>
          <w:p>
            <w:pPr>
              <w:pStyle w:val="TableContents"/>
              <w:spacing w:before="0" w:after="0"/>
              <w:ind w:left="0" w:right="0" w:hanging="0"/>
              <w:rPr/>
            </w:pPr>
            <w:r>
              <w:rPr/>
              <w:t> </w:t>
            </w:r>
          </w:p>
        </w:tc>
        <w:tc>
          <w:tcPr>
            <w:tcW w:w="75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0.1</w:t>
            </w:r>
          </w:p>
        </w:tc>
        <w:tc>
          <w:tcPr>
            <w:tcW w:w="240" w:type="dxa"/>
            <w:tcBorders/>
            <w:shd w:fill="CCEEFF" w:val="clear"/>
            <w:vAlign w:val="bottom"/>
          </w:tcPr>
          <w:p>
            <w:pPr>
              <w:pStyle w:val="TableContents"/>
              <w:spacing w:before="0" w:after="0"/>
              <w:ind w:left="0" w:right="0" w:hanging="0"/>
              <w:rPr/>
            </w:pPr>
            <w:r>
              <w:rPr/>
              <w:t> </w:t>
            </w:r>
          </w:p>
        </w:tc>
        <w:tc>
          <w:tcPr>
            <w:tcW w:w="75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0.5</w:t>
            </w:r>
          </w:p>
        </w:tc>
        <w:tc>
          <w:tcPr>
            <w:tcW w:w="240" w:type="dxa"/>
            <w:tcBorders/>
            <w:shd w:fill="CCEEFF" w:val="clear"/>
            <w:vAlign w:val="bottom"/>
          </w:tcPr>
          <w:p>
            <w:pPr>
              <w:pStyle w:val="TableContents"/>
              <w:spacing w:before="0" w:after="0"/>
              <w:ind w:left="0" w:right="0" w:hanging="0"/>
              <w:rPr/>
            </w:pPr>
            <w:r>
              <w:rPr/>
              <w:t> </w:t>
            </w:r>
          </w:p>
        </w:tc>
        <w:tc>
          <w:tcPr>
            <w:tcW w:w="75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0.4</w:t>
            </w:r>
          </w:p>
        </w:tc>
        <w:tc>
          <w:tcPr>
            <w:tcW w:w="240" w:type="dxa"/>
            <w:tcBorders/>
            <w:shd w:fill="CCEEFF" w:val="clear"/>
            <w:vAlign w:val="bottom"/>
          </w:tcPr>
          <w:p>
            <w:pPr>
              <w:pStyle w:val="TableContents"/>
              <w:spacing w:before="0" w:after="0"/>
              <w:ind w:left="0" w:right="0" w:hanging="0"/>
              <w:rPr/>
            </w:pPr>
            <w:r>
              <w:rPr/>
              <w:t> </w:t>
            </w:r>
          </w:p>
        </w:tc>
        <w:tc>
          <w:tcPr>
            <w:tcW w:w="75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0.6</w:t>
            </w:r>
          </w:p>
        </w:tc>
        <w:tc>
          <w:tcPr>
            <w:tcW w:w="90" w:type="dxa"/>
            <w:tcBorders/>
            <w:shd w:fill="CCEEFF" w:val="clear"/>
            <w:vAlign w:val="bottom"/>
          </w:tcPr>
          <w:p>
            <w:pPr>
              <w:pStyle w:val="TableContents"/>
              <w:spacing w:before="0" w:after="0"/>
              <w:ind w:left="0" w:right="0" w:hanging="0"/>
              <w:rPr/>
            </w:pPr>
            <w:r>
              <w:rPr/>
              <w:t> </w:t>
            </w:r>
          </w:p>
        </w:tc>
      </w:tr>
      <w:tr>
        <w:trPr/>
        <w:tc>
          <w:tcPr>
            <w:tcW w:w="52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Income before cumulative effect of change in accounting principle</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80.3</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62.3</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137.4</w:t>
            </w:r>
          </w:p>
        </w:tc>
        <w:tc>
          <w:tcPr>
            <w:tcW w:w="24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4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95.1</w:t>
            </w:r>
          </w:p>
        </w:tc>
        <w:tc>
          <w:tcPr>
            <w:tcW w:w="90" w:type="dxa"/>
            <w:tcBorders/>
            <w:shd w:fill="auto"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20</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Note 13Recent Accounting Pronouncements</w:t>
      </w:r>
    </w:p>
    <w:p>
      <w:pPr>
        <w:pStyle w:val="TextBody"/>
        <w:spacing w:before="0" w:after="240"/>
        <w:ind w:left="0" w:right="0" w:firstLine="400"/>
        <w:rPr>
          <w:rFonts w:ascii="Times New Roman" w:hAnsi="Times New Roman"/>
          <w:sz w:val="17"/>
        </w:rPr>
      </w:pPr>
      <w:r>
        <w:rPr>
          <w:rFonts w:ascii="Times New Roman" w:hAnsi="Times New Roman"/>
          <w:sz w:val="17"/>
        </w:rPr>
        <w:t>In December 2004, SFAS 123(R) was issued, which amends SFAS No. 123, Accounting for Stock-Based Compensation, and establishes accounting for transactions in which an entity exchanges its equity instruments for goods or services. This statement requires that the cost resulting from all share-based payment transactions be recognized in the financial statements at fair value. Following our general partners adoption of Emerging Issues Task Force Issue No. 04-05, Determining Whether a General Partner, or the General Partners as a Group, Controls a Limited Partnership or Similar Entity When the Limited Partners Have Certain Rights, we are part of the same consolidated group and thus SFAS 123 (R) will be applicable to our general partners long-term incentive plan. We adopted SFAS 123(R) on January 1, 2006 under the modified prospective transition method, as defined in SFAS 123(R), and recognized a cumulative effect of change in accounting principle of approximately $6 million. The cumulative effect adjustment represents a decrease to our LTIP life-to-date accrued expense and related liability under our previous cash-plan, probability-based accounting model and adjusts our aggregate liability to the appropriate fair-value based liability as calculated under a SFAS 123(R) methodology. Under the modified prospective transition method, we are not required to adjust our prior period financial statements to reflect a fair value cost methodology for our LTIP awards.</w:t>
      </w:r>
    </w:p>
    <w:p>
      <w:pPr>
        <w:pStyle w:val="TextBody"/>
        <w:spacing w:before="0" w:after="240"/>
        <w:ind w:left="0" w:right="0" w:firstLine="400"/>
        <w:rPr>
          <w:rFonts w:ascii="Times New Roman" w:hAnsi="Times New Roman"/>
          <w:sz w:val="17"/>
        </w:rPr>
      </w:pPr>
      <w:r>
        <w:rPr>
          <w:rFonts w:ascii="Times New Roman" w:hAnsi="Times New Roman"/>
          <w:sz w:val="17"/>
        </w:rPr>
        <w:t>In September 2005, the Emerging Issues Task Force (EITF) issued Issue No. 04-13 (EITF 04-13), Accounting for Purchases and Sales of Inventory with the Same Counterparty. The EITF concluded that inventory purchases and sales transactions with the same counterparty should be combined for accounting purposes if they were entered into in contemplation of each other. The EITF provided indicators to be considered for purposes of determining whether such transactions are entered into in contemplation of each other. Guidance was also provided on the circumstances under which nonmonetary exchanges of inventory within the same line of business should be recognized at fair value. EITF 04-13 became effective in reporting periods beginning after March 15, 2006.</w:t>
      </w:r>
    </w:p>
    <w:p>
      <w:pPr>
        <w:pStyle w:val="TextBody"/>
        <w:spacing w:before="0" w:after="240"/>
        <w:ind w:left="0" w:right="0" w:firstLine="400"/>
        <w:rPr>
          <w:rFonts w:ascii="Times New Roman" w:hAnsi="Times New Roman"/>
          <w:sz w:val="17"/>
        </w:rPr>
      </w:pPr>
      <w:r>
        <w:rPr>
          <w:rFonts w:ascii="Times New Roman" w:hAnsi="Times New Roman"/>
          <w:sz w:val="17"/>
        </w:rPr>
        <w:t>We adopted EITF 04-13 on April 1, 2006.  The adoption of EITF 04-13 resulted in inventory purchases and sales under buy/sell transactions, which historically would have been recorded gross as purchases and sales, to be treated as inventory exchanges in our consolidated statement of operations. In conformity with EITF 04-13, prior periods are not affected, although we have parenthetically disclosed prior period buy/sell transactions in our consolidated statements of operations. The treatment of buy/sell transactions under EITF 04-13 reduces both revenues and purchases on our income statement but does not impact our financial position, net income, or liquidity.</w:t>
      </w:r>
    </w:p>
    <w:p>
      <w:pPr>
        <w:pStyle w:val="TextBody"/>
        <w:spacing w:before="480" w:after="480"/>
        <w:ind w:left="0" w:right="0" w:hanging="0"/>
        <w:rPr>
          <w:rFonts w:ascii="Times New Roman" w:hAnsi="Times New Roman"/>
          <w:sz w:val="17"/>
        </w:rPr>
      </w:pPr>
      <w:r>
        <w:rPr>
          <w:rFonts w:ascii="Times New Roman" w:hAnsi="Times New Roman"/>
          <w:sz w:val="17"/>
        </w:rPr>
        <w:t>21</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940" w:right="0" w:hanging="940"/>
        <w:rPr>
          <w:rFonts w:ascii="Times New Roman" w:hAnsi="Times New Roman"/>
          <w:b/>
          <w:sz w:val="17"/>
        </w:rPr>
      </w:pPr>
      <w:r>
        <w:rPr>
          <w:rFonts w:ascii="Times New Roman" w:hAnsi="Times New Roman"/>
          <w:b/>
          <w:sz w:val="17"/>
        </w:rPr>
        <w:t>Item 2.                          MANAGEMENTS DISCUSSION AND ANALYSIS OF FINANCIAL CONDITION AND RESULTS OF</w:t>
      </w:r>
      <w:bookmarkStart w:id="12" w:name="Item2_ManagementsDiscussionAndAna_125953"/>
      <w:bookmarkEnd w:id="12"/>
      <w:r>
        <w:rPr>
          <w:rFonts w:ascii="Times New Roman" w:hAnsi="Times New Roman"/>
          <w:b/>
          <w:sz w:val="17"/>
        </w:rPr>
        <w:t xml:space="preserve"> OPERATIONS</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Introduction</w:t>
      </w:r>
    </w:p>
    <w:p>
      <w:pPr>
        <w:pStyle w:val="TextBody"/>
        <w:keepNext w:val="true"/>
        <w:spacing w:before="0" w:after="240"/>
        <w:ind w:left="0" w:right="0" w:firstLine="400"/>
        <w:rPr>
          <w:rFonts w:ascii="Times New Roman" w:hAnsi="Times New Roman"/>
          <w:sz w:val="17"/>
        </w:rPr>
      </w:pPr>
      <w:r>
        <w:rPr>
          <w:rFonts w:ascii="Times New Roman" w:hAnsi="Times New Roman"/>
          <w:sz w:val="17"/>
        </w:rPr>
        <w:t>The following discussion is intended to provide investors with an understanding of our financial condition and results of our operations and should be read in conjunction with our historical consolidated financial statements and accompanying notes. For more detailed information regarding the basis of presentation for the following financial information, see the Notes to the Consolidated Financial Statements.</w:t>
      </w:r>
    </w:p>
    <w:p>
      <w:pPr>
        <w:pStyle w:val="TextBody"/>
        <w:keepNext w:val="true"/>
        <w:spacing w:before="0" w:after="240"/>
        <w:ind w:left="0" w:right="0" w:hanging="0"/>
        <w:rPr>
          <w:rFonts w:ascii="Times New Roman" w:hAnsi="Times New Roman"/>
          <w:b/>
          <w:i w:val="false"/>
          <w:caps w:val="false"/>
          <w:smallCaps w:val="false"/>
          <w:sz w:val="17"/>
        </w:rPr>
      </w:pPr>
      <w:r>
        <w:rPr>
          <w:rFonts w:ascii="Times New Roman" w:hAnsi="Times New Roman"/>
          <w:b/>
          <w:i w:val="false"/>
          <w:caps w:val="false"/>
          <w:smallCaps w:val="false"/>
          <w:sz w:val="17"/>
        </w:rPr>
        <w:t>Highlights  Second Quarter and First Half of 2006</w:t>
      </w:r>
    </w:p>
    <w:p>
      <w:pPr>
        <w:pStyle w:val="TextBody"/>
        <w:spacing w:before="0" w:after="240"/>
        <w:ind w:left="0" w:right="0" w:firstLine="400"/>
        <w:rPr>
          <w:rFonts w:ascii="Times New Roman" w:hAnsi="Times New Roman"/>
          <w:sz w:val="17"/>
        </w:rPr>
      </w:pPr>
      <w:r>
        <w:rPr>
          <w:rFonts w:ascii="Times New Roman" w:hAnsi="Times New Roman"/>
          <w:sz w:val="17"/>
        </w:rPr>
        <w:t>Net income for the second quarter of 2006 was approximately $80 million, or $0.81 per diluted limited partner unit, which is an increase of 29% and 9%, respectively, over net income of $62 million, or $0.74 per diluted limited partner unit for the second quarter of 2005.  For the first six months of 2006, net income was approximately $144 million, or $1.53 per diluted limited partner unit, representing increases of 51% and 21%, respectively, over net income of approximately $95 million, or $1.26 per limited partner unit, for the first six months of 2005. Earnings per limited partner unit (both basic and diluted) was reduced by $0.11 and $0.09 for the three months ended and $0.15 and $0.01 for the six months ended June 30, 2006 and 2005, respectively, related to the application of Emerging Issues Task Force Issue No. 03-06, Participating Securities and the Two-Class Method under FASB Statement No. 128. See Note 6 to our Consolidated Financial Statements.</w:t>
      </w:r>
    </w:p>
    <w:p>
      <w:pPr>
        <w:pStyle w:val="TextBody"/>
        <w:keepNext w:val="true"/>
        <w:spacing w:before="0" w:after="240"/>
        <w:ind w:left="0" w:right="0" w:firstLine="400"/>
        <w:rPr>
          <w:rFonts w:ascii="Times New Roman" w:hAnsi="Times New Roman"/>
          <w:sz w:val="17"/>
        </w:rPr>
      </w:pPr>
      <w:r>
        <w:rPr>
          <w:rFonts w:ascii="Times New Roman" w:hAnsi="Times New Roman"/>
          <w:sz w:val="17"/>
        </w:rPr>
        <w:t>Key items impacting the first half of 2006 include:</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The completion of five acquisitions for aggregate consideration of $443 million.</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Favorable execution of our risk management strategies around our gathering, marketing, terminalling and storage assets in a pronounced contango market with a high level of overall crude oil volatility.</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Increased volumes and related tariff revenues on our pipeline systems.</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The inclusion in the second quarter and first half of 2006 of an aggregate charge of approximately $6 million and $17 million, respectively, related to both of our Long-Term Incentive Plans.</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An increase in costs primarily associated with our continued growth from internal growth projects and acquisitions.</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An increase in 2006 planned capital expenditures for internal growth projects by $25 million to $275 million, of which approximately $104 million has been incurred.</w:t>
      </w:r>
    </w:p>
    <w:p>
      <w:pPr>
        <w:pStyle w:val="TextBody"/>
        <w:spacing w:before="0" w:after="240"/>
        <w:ind w:left="760" w:right="0" w:hanging="360"/>
        <w:rPr>
          <w:rFonts w:ascii="Times New Roman" w:hAnsi="Times New Roman"/>
          <w:sz w:val="17"/>
        </w:rPr>
      </w:pPr>
      <w:r>
        <w:rPr>
          <w:rFonts w:ascii="Symbol" w:hAnsi="Symbol"/>
          <w:sz w:val="17"/>
        </w:rPr>
        <w:t>·</w:t>
      </w:r>
      <w:r>
        <w:rPr>
          <w:rFonts w:ascii="Times New Roman" w:hAnsi="Times New Roman"/>
          <w:sz w:val="17"/>
        </w:rPr>
        <w:t>       An issuance of $250 million senior notes due 2036 for net proceeds of approximately $249.5 million.</w:t>
      </w:r>
    </w:p>
    <w:p>
      <w:pPr>
        <w:pStyle w:val="TextBody"/>
        <w:spacing w:before="0" w:after="240"/>
        <w:ind w:left="760" w:right="0" w:hanging="360"/>
        <w:rPr>
          <w:rFonts w:ascii="Times New Roman" w:hAnsi="Times New Roman"/>
          <w:sz w:val="17"/>
        </w:rPr>
      </w:pPr>
      <w:r>
        <w:rPr>
          <w:rFonts w:ascii="Symbol" w:hAnsi="Symbol"/>
          <w:sz w:val="17"/>
        </w:rPr>
        <w:t>·</w:t>
      </w:r>
      <w:r>
        <w:rPr>
          <w:rFonts w:ascii="Times New Roman" w:hAnsi="Times New Roman"/>
          <w:sz w:val="17"/>
        </w:rPr>
        <w:t>  The sale of 3.5 million limited partner units for net proceeds of approximately $152 million in March and April 2006.</w:t>
      </w:r>
    </w:p>
    <w:p>
      <w:pPr>
        <w:pStyle w:val="TextBody"/>
        <w:spacing w:before="480" w:after="480"/>
        <w:ind w:left="0" w:right="0" w:hanging="0"/>
        <w:rPr>
          <w:rFonts w:ascii="Times New Roman" w:hAnsi="Times New Roman"/>
          <w:sz w:val="17"/>
        </w:rPr>
      </w:pPr>
      <w:r>
        <w:rPr>
          <w:rFonts w:ascii="Times New Roman" w:hAnsi="Times New Roman"/>
          <w:sz w:val="17"/>
        </w:rPr>
        <w:t>22</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Acquisitions and Internal Growth Projects</w:t>
      </w:r>
    </w:p>
    <w:p>
      <w:pPr>
        <w:pStyle w:val="TextBody"/>
        <w:keepNext w:val="true"/>
        <w:spacing w:before="0" w:after="240"/>
        <w:ind w:left="0" w:right="0" w:firstLine="400"/>
        <w:rPr>
          <w:rFonts w:ascii="Times New Roman" w:hAnsi="Times New Roman"/>
          <w:sz w:val="17"/>
        </w:rPr>
      </w:pPr>
      <w:r>
        <w:rPr>
          <w:rFonts w:ascii="Times New Roman" w:hAnsi="Times New Roman"/>
          <w:sz w:val="17"/>
        </w:rPr>
        <w:t>The following table summarizes our capital expenditures incurred in the periods indicated (in millions):</w:t>
      </w:r>
    </w:p>
    <w:tbl>
      <w:tblPr>
        <w:tblW w:w="8530" w:type="dxa"/>
        <w:jc w:val="center"/>
        <w:tblInd w:w="0" w:type="dxa"/>
        <w:tblCellMar>
          <w:top w:w="0" w:type="dxa"/>
          <w:left w:w="0" w:type="dxa"/>
          <w:bottom w:w="0" w:type="dxa"/>
          <w:right w:w="0" w:type="dxa"/>
        </w:tblCellMar>
      </w:tblPr>
      <w:tblGrid>
        <w:gridCol w:w="6600"/>
        <w:gridCol w:w="240"/>
        <w:gridCol w:w="110"/>
        <w:gridCol w:w="585"/>
        <w:gridCol w:w="240"/>
        <w:gridCol w:w="110"/>
        <w:gridCol w:w="585"/>
        <w:gridCol w:w="60"/>
      </w:tblGrid>
      <w:tr>
        <w:trPr/>
        <w:tc>
          <w:tcPr>
            <w:tcW w:w="6600" w:type="dxa"/>
            <w:tcBorders/>
            <w:shd w:fill="auto" w:val="clear"/>
            <w:vAlign w:val="bottom"/>
          </w:tcPr>
          <w:p>
            <w:pPr>
              <w:pStyle w:val="TableContents"/>
              <w:spacing w:before="0" w:after="283"/>
              <w:ind w:left="0" w:right="0" w:hanging="0"/>
              <w:rPr>
                <w:sz w:val="4"/>
                <w:szCs w:val="4"/>
              </w:rPr>
            </w:pPr>
            <w:r>
              <w:rPr>
                <w:sz w:val="4"/>
                <w:szCs w:val="4"/>
              </w:rPr>
            </w:r>
          </w:p>
        </w:tc>
        <w:tc>
          <w:tcPr>
            <w:tcW w:w="240" w:type="dxa"/>
            <w:tcBorders/>
            <w:shd w:fill="auto" w:val="clear"/>
            <w:vAlign w:val="bottom"/>
          </w:tcPr>
          <w:p>
            <w:pPr>
              <w:pStyle w:val="TableContents"/>
              <w:spacing w:lineRule="atLeast" w:line="160" w:before="0" w:after="0"/>
              <w:ind w:left="0" w:right="0" w:hanging="0"/>
              <w:rPr/>
            </w:pPr>
            <w:r>
              <w:rPr/>
              <w:t> </w:t>
            </w:r>
          </w:p>
        </w:tc>
        <w:tc>
          <w:tcPr>
            <w:tcW w:w="163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 Ended</w:t>
              <w:br/>
              <w:t>June 30,</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660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240" w:type="dxa"/>
            <w:tcBorders/>
            <w:shd w:fill="auto" w:val="clear"/>
            <w:vAlign w:val="bottom"/>
          </w:tcPr>
          <w:p>
            <w:pPr>
              <w:pStyle w:val="TableContents"/>
              <w:spacing w:lineRule="atLeast" w:line="160"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66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Acquisition capital (1)</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443.1</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24.3</w:t>
            </w:r>
          </w:p>
        </w:tc>
        <w:tc>
          <w:tcPr>
            <w:tcW w:w="60" w:type="dxa"/>
            <w:tcBorders/>
            <w:shd w:fill="CCEEFF" w:val="clear"/>
            <w:vAlign w:val="bottom"/>
          </w:tcPr>
          <w:p>
            <w:pPr>
              <w:pStyle w:val="TableContents"/>
              <w:spacing w:before="0" w:after="0"/>
              <w:ind w:left="0" w:right="0" w:hanging="0"/>
              <w:rPr/>
            </w:pPr>
            <w:r>
              <w:rPr/>
              <w:t> </w:t>
            </w:r>
          </w:p>
        </w:tc>
      </w:tr>
      <w:tr>
        <w:trPr/>
        <w:tc>
          <w:tcPr>
            <w:tcW w:w="66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Investment in PAA/Vulcan Gas Storage, LLC</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10.0</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rPr/>
            </w:pPr>
            <w:r>
              <w:rPr/>
              <w:t> </w:t>
            </w:r>
          </w:p>
        </w:tc>
      </w:tr>
      <w:tr>
        <w:trPr/>
        <w:tc>
          <w:tcPr>
            <w:tcW w:w="660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Internal growth projects</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103.5</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72.7</w:t>
            </w:r>
          </w:p>
        </w:tc>
        <w:tc>
          <w:tcPr>
            <w:tcW w:w="60" w:type="dxa"/>
            <w:tcBorders/>
            <w:shd w:fill="CCEEFF" w:val="clear"/>
            <w:vAlign w:val="bottom"/>
          </w:tcPr>
          <w:p>
            <w:pPr>
              <w:pStyle w:val="TableContents"/>
              <w:spacing w:before="0" w:after="0"/>
              <w:ind w:left="0" w:right="0" w:hanging="0"/>
              <w:rPr/>
            </w:pPr>
            <w:r>
              <w:rPr/>
              <w:t> </w:t>
            </w:r>
          </w:p>
        </w:tc>
      </w:tr>
      <w:tr>
        <w:trPr/>
        <w:tc>
          <w:tcPr>
            <w:tcW w:w="66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9.1</w:t>
            </w:r>
          </w:p>
        </w:tc>
        <w:tc>
          <w:tcPr>
            <w:tcW w:w="240" w:type="dxa"/>
            <w:tcBorders/>
            <w:shd w:fill="auto" w:val="clear"/>
            <w:vAlign w:val="bottom"/>
          </w:tcPr>
          <w:p>
            <w:pPr>
              <w:pStyle w:val="TableContents"/>
              <w:spacing w:before="0" w:after="0"/>
              <w:ind w:left="0" w:right="0" w:hanging="0"/>
              <w:rPr/>
            </w:pPr>
            <w:r>
              <w:rPr/>
              <w:t> </w:t>
            </w:r>
          </w:p>
        </w:tc>
        <w:tc>
          <w:tcPr>
            <w:tcW w:w="69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8.1</w:t>
            </w:r>
          </w:p>
        </w:tc>
        <w:tc>
          <w:tcPr>
            <w:tcW w:w="60" w:type="dxa"/>
            <w:tcBorders/>
            <w:shd w:fill="auto" w:val="clear"/>
            <w:vAlign w:val="bottom"/>
          </w:tcPr>
          <w:p>
            <w:pPr>
              <w:pStyle w:val="TableContents"/>
              <w:spacing w:before="0" w:after="0"/>
              <w:ind w:left="0" w:right="0" w:hanging="0"/>
              <w:rPr/>
            </w:pPr>
            <w:r>
              <w:rPr/>
              <w:t> </w:t>
            </w:r>
          </w:p>
        </w:tc>
      </w:tr>
      <w:tr>
        <w:trPr/>
        <w:tc>
          <w:tcPr>
            <w:tcW w:w="6600" w:type="dxa"/>
            <w:tcBorders/>
            <w:shd w:fill="CCEEFF" w:val="clear"/>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565.7</w:t>
            </w:r>
          </w:p>
        </w:tc>
        <w:tc>
          <w:tcPr>
            <w:tcW w:w="240" w:type="dxa"/>
            <w:tcBorders/>
            <w:shd w:fill="CCEEFF" w:val="clear"/>
            <w:vAlign w:val="bottom"/>
          </w:tcPr>
          <w:p>
            <w:pPr>
              <w:pStyle w:val="TableContents"/>
              <w:spacing w:before="0" w:after="0"/>
              <w:ind w:left="0" w:right="0" w:hanging="0"/>
              <w:rPr/>
            </w:pPr>
            <w:r>
              <w:rPr/>
              <w:t> </w:t>
            </w:r>
          </w:p>
        </w:tc>
        <w:tc>
          <w:tcPr>
            <w:tcW w:w="695"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105.1</w:t>
            </w:r>
          </w:p>
        </w:tc>
        <w:tc>
          <w:tcPr>
            <w:tcW w:w="60" w:type="dxa"/>
            <w:tcBorders/>
            <w:shd w:fill="CCEEFF" w:val="clear"/>
            <w:vAlign w:val="bottom"/>
          </w:tcPr>
          <w:p>
            <w:pPr>
              <w:pStyle w:val="TableContents"/>
              <w:spacing w:before="0" w:after="0"/>
              <w:ind w:left="0" w:right="0" w:hanging="0"/>
              <w:rPr/>
            </w:pPr>
            <w:r>
              <w:rPr/>
              <w:t> </w:t>
            </w:r>
          </w:p>
        </w:tc>
      </w:tr>
      <w:tr>
        <w:trPr/>
        <w:tc>
          <w:tcPr>
            <w:tcW w:w="660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rPr/>
      </w:pPr>
      <w:r>
        <w:rPr/>
      </w:r>
    </w:p>
    <w:p>
      <w:pPr>
        <w:pStyle w:val="TextBody"/>
        <w:spacing w:before="0" w:after="240"/>
        <w:ind w:left="400" w:right="0" w:hanging="400"/>
        <w:rPr>
          <w:rFonts w:ascii="Times New Roman" w:hAnsi="Times New Roman"/>
          <w:sz w:val="17"/>
        </w:rPr>
      </w:pPr>
      <w:r>
        <w:rPr>
          <w:rFonts w:ascii="Times New Roman" w:hAnsi="Times New Roman"/>
          <w:sz w:val="17"/>
        </w:rPr>
        <w:t>(1)             The 2006 acquisiton capital includes approximately $67 million that was paid on July 3, 2006 for an acquisition that closed on June 30, 2006. The 2005 acquisition capital includes a deposit of approximately $12 million that was paid in 2004.</w:t>
      </w:r>
    </w:p>
    <w:p>
      <w:pPr>
        <w:pStyle w:val="TextBody"/>
        <w:spacing w:before="0" w:after="240"/>
        <w:ind w:left="0" w:right="0" w:firstLine="400"/>
        <w:rPr>
          <w:rFonts w:ascii="Times New Roman" w:hAnsi="Times New Roman"/>
          <w:b/>
          <w:i/>
          <w:sz w:val="17"/>
        </w:rPr>
      </w:pPr>
      <w:r>
        <w:rPr>
          <w:rFonts w:ascii="Times New Roman" w:hAnsi="Times New Roman"/>
          <w:b/>
          <w:i/>
          <w:sz w:val="17"/>
        </w:rPr>
        <w:t>Acquisitions</w:t>
      </w:r>
    </w:p>
    <w:p>
      <w:pPr>
        <w:pStyle w:val="TextBody"/>
        <w:keepNext w:val="true"/>
        <w:spacing w:before="0" w:after="240"/>
        <w:ind w:left="0" w:right="0" w:firstLine="400"/>
        <w:rPr>
          <w:rFonts w:ascii="Times New Roman" w:hAnsi="Times New Roman"/>
          <w:sz w:val="17"/>
        </w:rPr>
      </w:pPr>
      <w:r>
        <w:rPr>
          <w:rFonts w:ascii="Times New Roman" w:hAnsi="Times New Roman"/>
          <w:sz w:val="17"/>
        </w:rPr>
        <w:t>We completed five transactions during the first half of 2006 for aggregate consideration of approximately $443 million.  In addition, in June 2006, we entered into a definitive agreement to purchase Pacific Energy for approximately $2.4 billion, including the assumption of debt and estimated transaction costs.  The transaction is expected to close near the end of 2006.  In July 2006, we entered into a definitive agreement to acquire three refined products pipeline systems from Chevron Pipe Line Company for approximately $65 million.  This transaction is expected to close in August 2006.  Also, in July 2006, we completed the acquisition of a 64.35% interest in the CAM Pipeline system for a total purchase price of approximately $54 million. See Note 3 to our Consolidated Financial Statements.</w:t>
      </w:r>
    </w:p>
    <w:p>
      <w:pPr>
        <w:pStyle w:val="TextBody"/>
        <w:spacing w:before="480" w:after="480"/>
        <w:ind w:left="0" w:right="0" w:hanging="0"/>
        <w:rPr>
          <w:rFonts w:ascii="Times New Roman" w:hAnsi="Times New Roman"/>
          <w:sz w:val="17"/>
        </w:rPr>
      </w:pPr>
      <w:r>
        <w:rPr>
          <w:rFonts w:ascii="Times New Roman" w:hAnsi="Times New Roman"/>
          <w:sz w:val="17"/>
        </w:rPr>
        <w:t>23</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200" w:right="0" w:firstLine="200"/>
        <w:rPr>
          <w:rFonts w:ascii="Times New Roman" w:hAnsi="Times New Roman"/>
          <w:b/>
          <w:i/>
          <w:sz w:val="17"/>
        </w:rPr>
      </w:pPr>
      <w:r>
        <w:rPr>
          <w:rFonts w:ascii="Times New Roman" w:hAnsi="Times New Roman"/>
          <w:b/>
          <w:i/>
          <w:sz w:val="17"/>
        </w:rPr>
        <w:t>Internal Growth Projects</w:t>
      </w:r>
    </w:p>
    <w:p>
      <w:pPr>
        <w:pStyle w:val="TextBody"/>
        <w:keepNext w:val="true"/>
        <w:spacing w:before="0" w:after="240"/>
        <w:ind w:left="0" w:right="0" w:firstLine="400"/>
        <w:rPr>
          <w:rFonts w:ascii="Times New Roman" w:hAnsi="Times New Roman"/>
          <w:sz w:val="17"/>
        </w:rPr>
      </w:pPr>
      <w:r>
        <w:rPr>
          <w:rFonts w:ascii="Times New Roman" w:hAnsi="Times New Roman"/>
          <w:sz w:val="17"/>
        </w:rPr>
        <w:t>Capital expenditures for expansion projects are forecast to be approximately $275 million during calendar 2006 of which approximately $104 million was incurred in the first six months. These projects include the construction and expansion of pipeline systems and crude oil and LPG storage facilities. We expect revenue contribution from these projects to begin in 2006 and achieve full run-rate by mid 2007. Following are some of the more notable projects to be undertaken in 2006 and the estimated expenditures for the year (in millions):</w:t>
      </w:r>
    </w:p>
    <w:tbl>
      <w:tblPr>
        <w:tblW w:w="7715" w:type="dxa"/>
        <w:jc w:val="center"/>
        <w:tblInd w:w="0" w:type="dxa"/>
        <w:tblCellMar>
          <w:top w:w="0" w:type="dxa"/>
          <w:left w:w="0" w:type="dxa"/>
          <w:bottom w:w="28" w:type="dxa"/>
          <w:right w:w="0" w:type="dxa"/>
        </w:tblCellMar>
      </w:tblPr>
      <w:tblGrid>
        <w:gridCol w:w="6975"/>
        <w:gridCol w:w="240"/>
        <w:gridCol w:w="110"/>
        <w:gridCol w:w="330"/>
        <w:gridCol w:w="60"/>
      </w:tblGrid>
      <w:tr>
        <w:trPr/>
        <w:tc>
          <w:tcPr>
            <w:tcW w:w="6975" w:type="dxa"/>
            <w:tcBorders>
              <w:bottom w:val="single" w:sz="8" w:space="0" w:color="000000"/>
            </w:tcBorders>
            <w:shd w:fill="auto" w:val="clear"/>
            <w:vAlign w:val="bottom"/>
          </w:tcPr>
          <w:p>
            <w:pPr>
              <w:pStyle w:val="TableContents"/>
              <w:spacing w:lineRule="atLeast" w:line="160" w:before="0" w:after="0"/>
              <w:ind w:left="0" w:right="0" w:hanging="0"/>
              <w:jc w:val="left"/>
              <w:rPr>
                <w:b/>
                <w:sz w:val="13"/>
              </w:rPr>
            </w:pPr>
            <w:r>
              <w:rPr>
                <w:b/>
                <w:sz w:val="13"/>
              </w:rPr>
              <w:t>Projects</w:t>
            </w:r>
          </w:p>
        </w:tc>
        <w:tc>
          <w:tcPr>
            <w:tcW w:w="240" w:type="dxa"/>
            <w:tcBorders/>
            <w:shd w:fill="auto" w:val="clear"/>
            <w:tcMar>
              <w:bottom w:w="0" w:type="dxa"/>
            </w:tcMar>
            <w:vAlign w:val="bottom"/>
          </w:tcPr>
          <w:p>
            <w:pPr>
              <w:pStyle w:val="TableContents"/>
              <w:spacing w:lineRule="atLeast" w:line="160" w:before="0" w:after="0"/>
              <w:ind w:left="0" w:right="0" w:hanging="0"/>
              <w:rPr/>
            </w:pPr>
            <w:r>
              <w:rPr/>
              <w:t> </w:t>
            </w:r>
          </w:p>
        </w:tc>
        <w:tc>
          <w:tcPr>
            <w:tcW w:w="440" w:type="dxa"/>
            <w:gridSpan w:val="2"/>
            <w:tcBorders>
              <w:bottom w:val="single" w:sz="8" w:space="0" w:color="000000"/>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60" w:type="dxa"/>
            <w:tcBorders/>
            <w:shd w:fill="auto" w:val="clear"/>
            <w:tcMar>
              <w:bottom w:w="0" w:type="dxa"/>
            </w:tcMar>
            <w:vAlign w:val="bottom"/>
          </w:tcPr>
          <w:p>
            <w:pPr>
              <w:pStyle w:val="TableContents"/>
              <w:spacing w:lineRule="atLeast" w:line="160" w:before="0" w:after="0"/>
              <w:ind w:left="0" w:right="0" w:hanging="0"/>
              <w:rPr/>
            </w:pPr>
            <w:r>
              <w:rPr/>
              <w:t> </w:t>
            </w:r>
          </w:p>
        </w:tc>
      </w:tr>
      <w:tr>
        <w:trPr/>
        <w:tc>
          <w:tcPr>
            <w:tcW w:w="697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St. James, Louisiana storage facility</w:t>
            </w:r>
          </w:p>
        </w:tc>
        <w:tc>
          <w:tcPr>
            <w:tcW w:w="240" w:type="dxa"/>
            <w:tcBorders/>
            <w:shd w:fill="CCEEFF" w:val="clear"/>
            <w:tcMar>
              <w:bottom w:w="0" w:type="dxa"/>
            </w:tcMar>
            <w:vAlign w:val="bottom"/>
          </w:tcPr>
          <w:p>
            <w:pPr>
              <w:pStyle w:val="TableContents"/>
              <w:spacing w:before="0" w:after="0"/>
              <w:ind w:left="0" w:right="0" w:hanging="0"/>
              <w:rPr/>
            </w:pPr>
            <w:r>
              <w:rPr/>
              <w:t> </w:t>
            </w:r>
          </w:p>
        </w:tc>
        <w:tc>
          <w:tcPr>
            <w:tcW w:w="110" w:type="dxa"/>
            <w:tcBorders/>
            <w:shd w:fill="CCEEFF" w:val="clear"/>
            <w:tcMar>
              <w:bottom w:w="0"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330" w:type="dxa"/>
            <w:tcBorders>
              <w:top w:val="single" w:sz="8" w:space="0" w:color="000000"/>
            </w:tcBorders>
            <w:shd w:fill="CCEEFF" w:val="clear"/>
            <w:tcMar>
              <w:top w:w="28" w:type="dxa"/>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65</w:t>
            </w:r>
          </w:p>
        </w:tc>
        <w:tc>
          <w:tcPr>
            <w:tcW w:w="60" w:type="dxa"/>
            <w:tcBorders/>
            <w:shd w:fill="CCEEFF" w:val="clear"/>
            <w:tcMar>
              <w:bottom w:w="0" w:type="dxa"/>
            </w:tcMar>
            <w:vAlign w:val="bottom"/>
          </w:tcPr>
          <w:p>
            <w:pPr>
              <w:pStyle w:val="TableContents"/>
              <w:spacing w:before="0" w:after="0"/>
              <w:ind w:left="0" w:right="0" w:hanging="0"/>
              <w:rPr/>
            </w:pPr>
            <w:r>
              <w:rPr/>
              <w:t> </w:t>
            </w:r>
          </w:p>
        </w:tc>
      </w:tr>
      <w:tr>
        <w:trPr/>
        <w:tc>
          <w:tcPr>
            <w:tcW w:w="697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Kerrobert tankage</w:t>
            </w:r>
          </w:p>
        </w:tc>
        <w:tc>
          <w:tcPr>
            <w:tcW w:w="240" w:type="dxa"/>
            <w:tcBorders/>
            <w:shd w:fill="auto" w:val="clear"/>
            <w:tcMar>
              <w:bottom w:w="0" w:type="dxa"/>
            </w:tcMar>
            <w:vAlign w:val="bottom"/>
          </w:tcPr>
          <w:p>
            <w:pPr>
              <w:pStyle w:val="TableContents"/>
              <w:spacing w:before="0" w:after="0"/>
              <w:ind w:left="0" w:right="0" w:hanging="0"/>
              <w:rPr/>
            </w:pPr>
            <w:r>
              <w:rPr/>
              <w:t> </w:t>
            </w:r>
          </w:p>
        </w:tc>
        <w:tc>
          <w:tcPr>
            <w:tcW w:w="440" w:type="dxa"/>
            <w:gridSpan w:val="2"/>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32</w:t>
            </w:r>
          </w:p>
        </w:tc>
        <w:tc>
          <w:tcPr>
            <w:tcW w:w="60" w:type="dxa"/>
            <w:tcBorders/>
            <w:shd w:fill="auto" w:val="clear"/>
            <w:tcMar>
              <w:bottom w:w="0" w:type="dxa"/>
            </w:tcMar>
            <w:vAlign w:val="bottom"/>
          </w:tcPr>
          <w:p>
            <w:pPr>
              <w:pStyle w:val="TableContents"/>
              <w:spacing w:before="0" w:after="0"/>
              <w:ind w:left="0" w:right="0" w:hanging="0"/>
              <w:rPr/>
            </w:pPr>
            <w:r>
              <w:rPr/>
              <w:t> </w:t>
            </w:r>
          </w:p>
        </w:tc>
      </w:tr>
      <w:tr>
        <w:trPr/>
        <w:tc>
          <w:tcPr>
            <w:tcW w:w="697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Spraberry System expansion</w:t>
            </w:r>
          </w:p>
        </w:tc>
        <w:tc>
          <w:tcPr>
            <w:tcW w:w="240" w:type="dxa"/>
            <w:tcBorders/>
            <w:shd w:fill="CCEEFF" w:val="clear"/>
            <w:tcMar>
              <w:bottom w:w="0" w:type="dxa"/>
            </w:tcMar>
            <w:vAlign w:val="bottom"/>
          </w:tcPr>
          <w:p>
            <w:pPr>
              <w:pStyle w:val="TableContents"/>
              <w:spacing w:before="0" w:after="0"/>
              <w:ind w:left="0" w:right="0" w:hanging="0"/>
              <w:rPr/>
            </w:pPr>
            <w:r>
              <w:rPr/>
              <w:t> </w:t>
            </w:r>
          </w:p>
        </w:tc>
        <w:tc>
          <w:tcPr>
            <w:tcW w:w="440" w:type="dxa"/>
            <w:gridSpan w:val="2"/>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w:t>
            </w:r>
          </w:p>
        </w:tc>
        <w:tc>
          <w:tcPr>
            <w:tcW w:w="60" w:type="dxa"/>
            <w:tcBorders/>
            <w:shd w:fill="CCEEFF" w:val="clear"/>
            <w:tcMar>
              <w:bottom w:w="0" w:type="dxa"/>
            </w:tcMar>
            <w:vAlign w:val="bottom"/>
          </w:tcPr>
          <w:p>
            <w:pPr>
              <w:pStyle w:val="TableContents"/>
              <w:spacing w:before="0" w:after="0"/>
              <w:ind w:left="0" w:right="0" w:hanging="0"/>
              <w:rPr/>
            </w:pPr>
            <w:r>
              <w:rPr/>
              <w:t> </w:t>
            </w:r>
          </w:p>
        </w:tc>
      </w:tr>
      <w:tr>
        <w:trPr/>
        <w:tc>
          <w:tcPr>
            <w:tcW w:w="697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East Texas/Louisiana tankage</w:t>
            </w:r>
          </w:p>
        </w:tc>
        <w:tc>
          <w:tcPr>
            <w:tcW w:w="240" w:type="dxa"/>
            <w:tcBorders/>
            <w:shd w:fill="auto" w:val="clear"/>
            <w:tcMar>
              <w:bottom w:w="0" w:type="dxa"/>
            </w:tcMar>
            <w:vAlign w:val="bottom"/>
          </w:tcPr>
          <w:p>
            <w:pPr>
              <w:pStyle w:val="TableContents"/>
              <w:spacing w:before="0" w:after="0"/>
              <w:ind w:left="0" w:right="0" w:hanging="0"/>
              <w:rPr/>
            </w:pPr>
            <w:r>
              <w:rPr/>
              <w:t> </w:t>
            </w:r>
          </w:p>
        </w:tc>
        <w:tc>
          <w:tcPr>
            <w:tcW w:w="440" w:type="dxa"/>
            <w:gridSpan w:val="2"/>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17</w:t>
            </w:r>
          </w:p>
        </w:tc>
        <w:tc>
          <w:tcPr>
            <w:tcW w:w="60" w:type="dxa"/>
            <w:tcBorders/>
            <w:shd w:fill="auto" w:val="clear"/>
            <w:tcMar>
              <w:bottom w:w="0" w:type="dxa"/>
            </w:tcMar>
            <w:vAlign w:val="bottom"/>
          </w:tcPr>
          <w:p>
            <w:pPr>
              <w:pStyle w:val="TableContents"/>
              <w:spacing w:before="0" w:after="0"/>
              <w:ind w:left="0" w:right="0" w:hanging="0"/>
              <w:rPr/>
            </w:pPr>
            <w:r>
              <w:rPr/>
              <w:t> </w:t>
            </w:r>
          </w:p>
        </w:tc>
      </w:tr>
      <w:tr>
        <w:trPr/>
        <w:tc>
          <w:tcPr>
            <w:tcW w:w="697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High Prairie rail terminals</w:t>
            </w:r>
          </w:p>
        </w:tc>
        <w:tc>
          <w:tcPr>
            <w:tcW w:w="240" w:type="dxa"/>
            <w:tcBorders/>
            <w:shd w:fill="CCEEFF" w:val="clear"/>
            <w:tcMar>
              <w:bottom w:w="0" w:type="dxa"/>
            </w:tcMar>
            <w:vAlign w:val="bottom"/>
          </w:tcPr>
          <w:p>
            <w:pPr>
              <w:pStyle w:val="TableContents"/>
              <w:spacing w:before="0" w:after="0"/>
              <w:ind w:left="0" w:right="0" w:hanging="0"/>
              <w:rPr/>
            </w:pPr>
            <w:r>
              <w:rPr/>
              <w:t> </w:t>
            </w:r>
          </w:p>
        </w:tc>
        <w:tc>
          <w:tcPr>
            <w:tcW w:w="440" w:type="dxa"/>
            <w:gridSpan w:val="2"/>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w:t>
            </w:r>
          </w:p>
        </w:tc>
        <w:tc>
          <w:tcPr>
            <w:tcW w:w="60" w:type="dxa"/>
            <w:tcBorders/>
            <w:shd w:fill="CCEEFF" w:val="clear"/>
            <w:tcMar>
              <w:bottom w:w="0" w:type="dxa"/>
            </w:tcMar>
            <w:vAlign w:val="bottom"/>
          </w:tcPr>
          <w:p>
            <w:pPr>
              <w:pStyle w:val="TableContents"/>
              <w:spacing w:before="0" w:after="0"/>
              <w:ind w:left="0" w:right="0" w:hanging="0"/>
              <w:rPr/>
            </w:pPr>
            <w:r>
              <w:rPr/>
              <w:t> </w:t>
            </w:r>
          </w:p>
        </w:tc>
      </w:tr>
      <w:tr>
        <w:trPr/>
        <w:tc>
          <w:tcPr>
            <w:tcW w:w="697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Midale/Regina truck terminal</w:t>
            </w:r>
          </w:p>
        </w:tc>
        <w:tc>
          <w:tcPr>
            <w:tcW w:w="240" w:type="dxa"/>
            <w:tcBorders/>
            <w:shd w:fill="auto" w:val="clear"/>
            <w:tcMar>
              <w:bottom w:w="0" w:type="dxa"/>
            </w:tcMar>
            <w:vAlign w:val="bottom"/>
          </w:tcPr>
          <w:p>
            <w:pPr>
              <w:pStyle w:val="TableContents"/>
              <w:spacing w:before="0" w:after="0"/>
              <w:ind w:left="0" w:right="0" w:hanging="0"/>
              <w:rPr/>
            </w:pPr>
            <w:r>
              <w:rPr/>
              <w:t> </w:t>
            </w:r>
          </w:p>
        </w:tc>
        <w:tc>
          <w:tcPr>
            <w:tcW w:w="440" w:type="dxa"/>
            <w:gridSpan w:val="2"/>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13</w:t>
            </w:r>
          </w:p>
        </w:tc>
        <w:tc>
          <w:tcPr>
            <w:tcW w:w="60" w:type="dxa"/>
            <w:tcBorders/>
            <w:shd w:fill="auto" w:val="clear"/>
            <w:tcMar>
              <w:bottom w:w="0" w:type="dxa"/>
            </w:tcMar>
            <w:vAlign w:val="bottom"/>
          </w:tcPr>
          <w:p>
            <w:pPr>
              <w:pStyle w:val="TableContents"/>
              <w:spacing w:before="0" w:after="0"/>
              <w:ind w:left="0" w:right="0" w:hanging="0"/>
              <w:rPr/>
            </w:pPr>
            <w:r>
              <w:rPr/>
              <w:t> </w:t>
            </w:r>
          </w:p>
        </w:tc>
      </w:tr>
      <w:tr>
        <w:trPr/>
        <w:tc>
          <w:tcPr>
            <w:tcW w:w="697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Wichita Falls tankage</w:t>
            </w:r>
          </w:p>
        </w:tc>
        <w:tc>
          <w:tcPr>
            <w:tcW w:w="240" w:type="dxa"/>
            <w:tcBorders/>
            <w:shd w:fill="CCEEFF" w:val="clear"/>
            <w:tcMar>
              <w:bottom w:w="0" w:type="dxa"/>
            </w:tcMar>
            <w:vAlign w:val="bottom"/>
          </w:tcPr>
          <w:p>
            <w:pPr>
              <w:pStyle w:val="TableContents"/>
              <w:spacing w:before="0" w:after="0"/>
              <w:ind w:left="0" w:right="0" w:hanging="0"/>
              <w:rPr/>
            </w:pPr>
            <w:r>
              <w:rPr/>
              <w:t> </w:t>
            </w:r>
          </w:p>
        </w:tc>
        <w:tc>
          <w:tcPr>
            <w:tcW w:w="440" w:type="dxa"/>
            <w:gridSpan w:val="2"/>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w:t>
            </w:r>
          </w:p>
        </w:tc>
        <w:tc>
          <w:tcPr>
            <w:tcW w:w="60" w:type="dxa"/>
            <w:tcBorders/>
            <w:shd w:fill="CCEEFF" w:val="clear"/>
            <w:tcMar>
              <w:bottom w:w="0" w:type="dxa"/>
            </w:tcMar>
            <w:vAlign w:val="bottom"/>
          </w:tcPr>
          <w:p>
            <w:pPr>
              <w:pStyle w:val="TableContents"/>
              <w:spacing w:before="0" w:after="0"/>
              <w:ind w:left="0" w:right="0" w:hanging="0"/>
              <w:rPr/>
            </w:pPr>
            <w:r>
              <w:rPr/>
              <w:t> </w:t>
            </w:r>
          </w:p>
        </w:tc>
      </w:tr>
      <w:tr>
        <w:trPr/>
        <w:tc>
          <w:tcPr>
            <w:tcW w:w="697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Truck trailers</w:t>
            </w:r>
          </w:p>
        </w:tc>
        <w:tc>
          <w:tcPr>
            <w:tcW w:w="240" w:type="dxa"/>
            <w:tcBorders/>
            <w:shd w:fill="auto" w:val="clear"/>
            <w:tcMar>
              <w:bottom w:w="0" w:type="dxa"/>
            </w:tcMar>
            <w:vAlign w:val="bottom"/>
          </w:tcPr>
          <w:p>
            <w:pPr>
              <w:pStyle w:val="TableContents"/>
              <w:spacing w:before="0" w:after="0"/>
              <w:ind w:left="0" w:right="0" w:hanging="0"/>
              <w:rPr/>
            </w:pPr>
            <w:r>
              <w:rPr/>
              <w:t> </w:t>
            </w:r>
          </w:p>
        </w:tc>
        <w:tc>
          <w:tcPr>
            <w:tcW w:w="440" w:type="dxa"/>
            <w:gridSpan w:val="2"/>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w:t>
            </w:r>
          </w:p>
        </w:tc>
        <w:tc>
          <w:tcPr>
            <w:tcW w:w="60" w:type="dxa"/>
            <w:tcBorders/>
            <w:shd w:fill="auto" w:val="clear"/>
            <w:tcMar>
              <w:bottom w:w="0" w:type="dxa"/>
            </w:tcMar>
            <w:vAlign w:val="bottom"/>
          </w:tcPr>
          <w:p>
            <w:pPr>
              <w:pStyle w:val="TableContents"/>
              <w:spacing w:before="0" w:after="0"/>
              <w:ind w:left="0" w:right="0" w:hanging="0"/>
              <w:rPr/>
            </w:pPr>
            <w:r>
              <w:rPr/>
              <w:t> </w:t>
            </w:r>
          </w:p>
        </w:tc>
      </w:tr>
      <w:tr>
        <w:trPr/>
        <w:tc>
          <w:tcPr>
            <w:tcW w:w="697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Basin connection - Oklahoma</w:t>
            </w:r>
          </w:p>
        </w:tc>
        <w:tc>
          <w:tcPr>
            <w:tcW w:w="240" w:type="dxa"/>
            <w:tcBorders/>
            <w:shd w:fill="CCEEFF" w:val="clear"/>
            <w:tcMar>
              <w:bottom w:w="0" w:type="dxa"/>
            </w:tcMar>
            <w:vAlign w:val="bottom"/>
          </w:tcPr>
          <w:p>
            <w:pPr>
              <w:pStyle w:val="TableContents"/>
              <w:spacing w:before="0" w:after="0"/>
              <w:ind w:left="0" w:right="0" w:hanging="0"/>
              <w:rPr/>
            </w:pPr>
            <w:r>
              <w:rPr/>
              <w:t> </w:t>
            </w:r>
          </w:p>
        </w:tc>
        <w:tc>
          <w:tcPr>
            <w:tcW w:w="440" w:type="dxa"/>
            <w:gridSpan w:val="2"/>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w:t>
            </w:r>
          </w:p>
        </w:tc>
        <w:tc>
          <w:tcPr>
            <w:tcW w:w="60" w:type="dxa"/>
            <w:tcBorders/>
            <w:shd w:fill="CCEEFF" w:val="clear"/>
            <w:tcMar>
              <w:bottom w:w="0" w:type="dxa"/>
            </w:tcMar>
            <w:vAlign w:val="bottom"/>
          </w:tcPr>
          <w:p>
            <w:pPr>
              <w:pStyle w:val="TableContents"/>
              <w:spacing w:before="0" w:after="0"/>
              <w:ind w:left="0" w:right="0" w:hanging="0"/>
              <w:rPr/>
            </w:pPr>
            <w:r>
              <w:rPr/>
              <w:t> </w:t>
            </w:r>
          </w:p>
        </w:tc>
      </w:tr>
      <w:tr>
        <w:trPr/>
        <w:tc>
          <w:tcPr>
            <w:tcW w:w="697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Mobile/Ten Mile tankage and metering</w:t>
            </w:r>
          </w:p>
        </w:tc>
        <w:tc>
          <w:tcPr>
            <w:tcW w:w="240" w:type="dxa"/>
            <w:tcBorders/>
            <w:shd w:fill="auto" w:val="clear"/>
            <w:tcMar>
              <w:bottom w:w="0" w:type="dxa"/>
            </w:tcMar>
            <w:vAlign w:val="bottom"/>
          </w:tcPr>
          <w:p>
            <w:pPr>
              <w:pStyle w:val="TableContents"/>
              <w:spacing w:before="0" w:after="0"/>
              <w:ind w:left="0" w:right="0" w:hanging="0"/>
              <w:rPr/>
            </w:pPr>
            <w:r>
              <w:rPr/>
              <w:t> </w:t>
            </w:r>
          </w:p>
        </w:tc>
        <w:tc>
          <w:tcPr>
            <w:tcW w:w="440" w:type="dxa"/>
            <w:gridSpan w:val="2"/>
            <w:tcBorders/>
            <w:shd w:fill="auto"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w:t>
            </w:r>
          </w:p>
        </w:tc>
        <w:tc>
          <w:tcPr>
            <w:tcW w:w="60" w:type="dxa"/>
            <w:tcBorders/>
            <w:shd w:fill="auto" w:val="clear"/>
            <w:tcMar>
              <w:bottom w:w="0" w:type="dxa"/>
            </w:tcMar>
            <w:vAlign w:val="bottom"/>
          </w:tcPr>
          <w:p>
            <w:pPr>
              <w:pStyle w:val="TableContents"/>
              <w:spacing w:before="0" w:after="0"/>
              <w:ind w:left="0" w:right="0" w:hanging="0"/>
              <w:rPr/>
            </w:pPr>
            <w:r>
              <w:rPr/>
              <w:t> </w:t>
            </w:r>
          </w:p>
        </w:tc>
      </w:tr>
      <w:tr>
        <w:trPr/>
        <w:tc>
          <w:tcPr>
            <w:tcW w:w="6975"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Other Projects</w:t>
            </w:r>
          </w:p>
        </w:tc>
        <w:tc>
          <w:tcPr>
            <w:tcW w:w="240" w:type="dxa"/>
            <w:tcBorders/>
            <w:shd w:fill="CCEEFF" w:val="clear"/>
            <w:tcMar>
              <w:bottom w:w="0" w:type="dxa"/>
            </w:tcMar>
            <w:vAlign w:val="bottom"/>
          </w:tcPr>
          <w:p>
            <w:pPr>
              <w:pStyle w:val="TableContents"/>
              <w:spacing w:before="0" w:after="0"/>
              <w:ind w:left="0" w:right="0" w:hanging="0"/>
              <w:rPr/>
            </w:pPr>
            <w:r>
              <w:rPr/>
              <w:t> </w:t>
            </w:r>
          </w:p>
        </w:tc>
        <w:tc>
          <w:tcPr>
            <w:tcW w:w="440" w:type="dxa"/>
            <w:gridSpan w:val="2"/>
            <w:tcBorders>
              <w:bottom w:val="single" w:sz="8"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80</w:t>
            </w:r>
          </w:p>
        </w:tc>
        <w:tc>
          <w:tcPr>
            <w:tcW w:w="60" w:type="dxa"/>
            <w:tcBorders/>
            <w:shd w:fill="CCEEFF" w:val="clear"/>
            <w:tcMar>
              <w:bottom w:w="0" w:type="dxa"/>
            </w:tcMar>
            <w:vAlign w:val="bottom"/>
          </w:tcPr>
          <w:p>
            <w:pPr>
              <w:pStyle w:val="TableContents"/>
              <w:spacing w:before="0" w:after="0"/>
              <w:ind w:left="0" w:right="0" w:hanging="0"/>
              <w:rPr/>
            </w:pPr>
            <w:r>
              <w:rPr/>
              <w:t> </w:t>
            </w:r>
          </w:p>
        </w:tc>
      </w:tr>
      <w:tr>
        <w:trPr/>
        <w:tc>
          <w:tcPr>
            <w:tcW w:w="6975"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40" w:type="dxa"/>
            <w:tcBorders/>
            <w:shd w:fill="auto" w:val="clear"/>
            <w:tcMar>
              <w:bottom w:w="0" w:type="dxa"/>
            </w:tcMar>
            <w:vAlign w:val="bottom"/>
          </w:tcPr>
          <w:p>
            <w:pPr>
              <w:pStyle w:val="TableContents"/>
              <w:spacing w:before="0" w:after="0"/>
              <w:ind w:left="0" w:right="0" w:hanging="0"/>
              <w:rPr/>
            </w:pPr>
            <w:r>
              <w:rPr/>
              <w:t> </w:t>
            </w:r>
          </w:p>
        </w:tc>
        <w:tc>
          <w:tcPr>
            <w:tcW w:w="110" w:type="dxa"/>
            <w:tcBorders>
              <w:bottom w:val="double" w:sz="6" w:space="0" w:color="000000"/>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330" w:type="dxa"/>
            <w:tcBorders>
              <w:bottom w:val="double" w:sz="6" w:space="0" w:color="000000"/>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275</w:t>
            </w:r>
          </w:p>
        </w:tc>
        <w:tc>
          <w:tcPr>
            <w:tcW w:w="60" w:type="dxa"/>
            <w:tcBorders/>
            <w:shd w:fill="auto" w:val="clear"/>
            <w:tcMar>
              <w:bottom w:w="0" w:type="dxa"/>
            </w:tcM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Results of Operations</w:t>
      </w:r>
    </w:p>
    <w:p>
      <w:pPr>
        <w:pStyle w:val="TextBody"/>
        <w:keepNext w:val="true"/>
        <w:spacing w:before="0" w:after="240"/>
        <w:ind w:left="200" w:right="0" w:firstLine="200"/>
        <w:rPr>
          <w:rFonts w:ascii="Times New Roman" w:hAnsi="Times New Roman"/>
          <w:b/>
          <w:i/>
          <w:sz w:val="17"/>
        </w:rPr>
      </w:pPr>
      <w:r>
        <w:rPr>
          <w:rFonts w:ascii="Times New Roman" w:hAnsi="Times New Roman"/>
          <w:b/>
          <w:i/>
          <w:sz w:val="17"/>
        </w:rPr>
        <w:t>Analysis of Operating Segments</w:t>
      </w:r>
    </w:p>
    <w:p>
      <w:pPr>
        <w:pStyle w:val="TextBody"/>
        <w:spacing w:before="0" w:after="240"/>
        <w:ind w:left="0" w:right="0" w:firstLine="400"/>
        <w:rPr>
          <w:rFonts w:ascii="Times New Roman" w:hAnsi="Times New Roman"/>
          <w:sz w:val="17"/>
        </w:rPr>
      </w:pPr>
      <w:r>
        <w:rPr>
          <w:rFonts w:ascii="Times New Roman" w:hAnsi="Times New Roman"/>
          <w:sz w:val="17"/>
        </w:rPr>
        <w:t>We evaluate segment performance based on segment profit and maintenance capital. We define segment profit as revenues less (i) purchases and related costs, (ii) field operating costs and (iii) segment general and administrative (G&amp;A) expenses. Each of the items above excludes depreciation and amortization. As a master limited partnership, we make quarterly distributions of our available cash (as defined in our partnership agreement) to our unitholders. Therefore,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aging and wear and tear. Management compensates for this limitation by recognizing that depreciation and amortization are largely offset by repair and maintenance costs, which mitigate the actual decline in the useful life of our principal fixed assets. These maintenance costs are a component of field operating costs included in segment profit or in maintenance capital, depending on the nature of the cost. Maintenance capital, which is deducted in determining available cash, consists of capital expenditures required either to maintain the existing operating capacity of partially or fully depreciated assets or to extend their useful lives. Capital expenditures made to expand our existing capacity, whether through construction or acquisition, are considered expansion capital expenditures, not maintenance capital. Repair and maintenance expenditures associated with existing assets that do not extend the useful life or expand the operating capacity are charged to expense as incurred. See Note 12 to our Consolidated Financial Statements for a reconciliation of segment profit to consolidated income before cumulative effect of change in accounting principle.</w:t>
      </w:r>
    </w:p>
    <w:p>
      <w:pPr>
        <w:pStyle w:val="TextBody"/>
        <w:keepNext w:val="true"/>
        <w:spacing w:before="0" w:after="240"/>
        <w:ind w:left="200" w:right="0" w:firstLine="200"/>
        <w:rPr>
          <w:rFonts w:ascii="Times New Roman" w:hAnsi="Times New Roman"/>
          <w:b/>
          <w:i/>
          <w:sz w:val="17"/>
        </w:rPr>
      </w:pPr>
      <w:r>
        <w:rPr>
          <w:rFonts w:ascii="Times New Roman" w:hAnsi="Times New Roman"/>
          <w:b/>
          <w:i/>
          <w:sz w:val="17"/>
        </w:rPr>
        <w:t>Pipeline Operations</w:t>
      </w:r>
    </w:p>
    <w:p>
      <w:pPr>
        <w:pStyle w:val="TextBody"/>
        <w:spacing w:before="0" w:after="240"/>
        <w:ind w:left="0" w:right="0" w:firstLine="400"/>
        <w:rPr>
          <w:rFonts w:ascii="Times New Roman" w:hAnsi="Times New Roman"/>
          <w:sz w:val="17"/>
        </w:rPr>
      </w:pPr>
      <w:r>
        <w:rPr>
          <w:rFonts w:ascii="Times New Roman" w:hAnsi="Times New Roman"/>
          <w:sz w:val="17"/>
        </w:rPr>
        <w:t xml:space="preserve">As of June 30, 2006, we owned approximately 15,000 miles of active gathering and mainline crude oil pipelines located throughout the United States and Canada (of which approximately 13,000 miles are included in our Pipeline segment). Our activities from pipeline operations generally consist of transporting volumes of crude oil for a fee and third party leases of pipeline capacity (collectively referred to as tariff activities), as well as barrel exchanges and buy/sell arrangements (collectively referred to as pipeline margin activities). In connection with certain of our merchant activities conducted under our gathering and marketing </w:t>
      </w:r>
    </w:p>
    <w:p>
      <w:pPr>
        <w:pStyle w:val="TextBody"/>
        <w:spacing w:before="480" w:after="480"/>
        <w:ind w:left="0" w:right="0" w:hanging="0"/>
        <w:rPr>
          <w:rFonts w:ascii="Times New Roman" w:hAnsi="Times New Roman"/>
          <w:sz w:val="17"/>
        </w:rPr>
      </w:pPr>
      <w:r>
        <w:rPr>
          <w:rFonts w:ascii="Times New Roman" w:hAnsi="Times New Roman"/>
          <w:sz w:val="17"/>
        </w:rPr>
        <w:t>24</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240"/>
        <w:ind w:left="0" w:right="0" w:hanging="0"/>
        <w:rPr>
          <w:rFonts w:ascii="Times New Roman" w:hAnsi="Times New Roman"/>
          <w:sz w:val="17"/>
        </w:rPr>
      </w:pPr>
      <w:r>
        <w:rPr>
          <w:rFonts w:ascii="Times New Roman" w:hAnsi="Times New Roman"/>
          <w:sz w:val="17"/>
        </w:rPr>
        <w:t>business, we are also shippers on certain of our own pipelines. These transactions are conducted at published tariff rates and eliminated in consolidation. 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costs of operating the pipeline. Segment profit from our pipeline capacity leases, barrel exchanges and buy/sell arrangements generally reflect a negotiated amount.</w:t>
      </w:r>
    </w:p>
    <w:p>
      <w:pPr>
        <w:pStyle w:val="TextBody"/>
        <w:spacing w:before="0" w:after="240"/>
        <w:ind w:left="0" w:right="0" w:firstLine="400"/>
        <w:rPr>
          <w:rFonts w:ascii="Times New Roman" w:hAnsi="Times New Roman"/>
          <w:sz w:val="17"/>
        </w:rPr>
      </w:pPr>
      <w:r>
        <w:rPr>
          <w:rFonts w:ascii="Times New Roman" w:hAnsi="Times New Roman"/>
          <w:sz w:val="17"/>
        </w:rPr>
        <w:t>The following table sets forth our operating results from our Pipeline segment for the periods indicated:</w:t>
      </w:r>
    </w:p>
    <w:p>
      <w:pPr>
        <w:pStyle w:val="TextBody"/>
        <w:spacing w:before="480" w:after="480"/>
        <w:ind w:left="0" w:right="0" w:hanging="0"/>
        <w:rPr>
          <w:rFonts w:ascii="Times New Roman" w:hAnsi="Times New Roman"/>
          <w:sz w:val="17"/>
        </w:rPr>
      </w:pPr>
      <w:r>
        <w:rPr>
          <w:rFonts w:ascii="Times New Roman" w:hAnsi="Times New Roman"/>
          <w:sz w:val="17"/>
        </w:rPr>
        <w:t>25</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873"/>
        <w:gridCol w:w="200"/>
        <w:gridCol w:w="129"/>
        <w:gridCol w:w="694"/>
        <w:gridCol w:w="210"/>
        <w:gridCol w:w="129"/>
        <w:gridCol w:w="664"/>
        <w:gridCol w:w="206"/>
        <w:gridCol w:w="123"/>
        <w:gridCol w:w="672"/>
        <w:gridCol w:w="205"/>
        <w:gridCol w:w="123"/>
        <w:gridCol w:w="672"/>
        <w:gridCol w:w="305"/>
      </w:tblGrid>
      <w:tr>
        <w:trPr/>
        <w:tc>
          <w:tcPr>
            <w:tcW w:w="5873" w:type="dxa"/>
            <w:tcBorders/>
            <w:shd w:fill="auto" w:val="clear"/>
            <w:vAlign w:val="bottom"/>
          </w:tcPr>
          <w:p>
            <w:pPr>
              <w:pStyle w:val="TableContents"/>
              <w:spacing w:lineRule="atLeast" w:line="160" w:before="0" w:after="0"/>
              <w:ind w:left="0" w:right="0" w:hanging="0"/>
              <w:rPr/>
            </w:pPr>
            <w:r>
              <w:rPr/>
              <w:t> </w:t>
            </w:r>
          </w:p>
        </w:tc>
        <w:tc>
          <w:tcPr>
            <w:tcW w:w="200" w:type="dxa"/>
            <w:tcBorders/>
            <w:shd w:fill="auto" w:val="clear"/>
            <w:vAlign w:val="bottom"/>
          </w:tcPr>
          <w:p>
            <w:pPr>
              <w:pStyle w:val="TableContents"/>
              <w:spacing w:lineRule="atLeast" w:line="160" w:before="0" w:after="0"/>
              <w:ind w:left="0" w:right="0" w:hanging="0"/>
              <w:rPr/>
            </w:pPr>
            <w:r>
              <w:rPr/>
              <w:t> </w:t>
            </w:r>
          </w:p>
        </w:tc>
        <w:tc>
          <w:tcPr>
            <w:tcW w:w="1826"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w:t>
              <w:br/>
              <w:t>June 30,</w:t>
            </w:r>
          </w:p>
        </w:tc>
        <w:tc>
          <w:tcPr>
            <w:tcW w:w="206" w:type="dxa"/>
            <w:tcBorders/>
            <w:shd w:fill="auto" w:val="clear"/>
            <w:vAlign w:val="bottom"/>
          </w:tcPr>
          <w:p>
            <w:pPr>
              <w:pStyle w:val="TableContents"/>
              <w:spacing w:lineRule="atLeast" w:line="160" w:before="0" w:after="0"/>
              <w:ind w:left="0" w:right="0" w:hanging="0"/>
              <w:rPr/>
            </w:pPr>
            <w:r>
              <w:rPr/>
              <w:t> </w:t>
            </w:r>
          </w:p>
        </w:tc>
        <w:tc>
          <w:tcPr>
            <w:tcW w:w="1795"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 Ended</w:t>
              <w:br/>
              <w:t>June 30,</w:t>
            </w:r>
          </w:p>
        </w:tc>
        <w:tc>
          <w:tcPr>
            <w:tcW w:w="305" w:type="dxa"/>
            <w:tcBorders/>
            <w:shd w:fill="auto" w:val="clear"/>
            <w:vAlign w:val="bottom"/>
          </w:tcPr>
          <w:p>
            <w:pPr>
              <w:pStyle w:val="TableContents"/>
              <w:spacing w:lineRule="atLeast" w:line="160" w:before="0" w:after="0"/>
              <w:ind w:left="0" w:right="0" w:hanging="0"/>
              <w:rPr/>
            </w:pPr>
            <w:r>
              <w:rPr/>
              <w:t> </w:t>
            </w:r>
          </w:p>
        </w:tc>
      </w:tr>
      <w:tr>
        <w:trPr/>
        <w:tc>
          <w:tcPr>
            <w:tcW w:w="5873" w:type="dxa"/>
            <w:tcBorders/>
            <w:shd w:fill="auto" w:val="clear"/>
            <w:vAlign w:val="bottom"/>
          </w:tcPr>
          <w:p>
            <w:pPr>
              <w:pStyle w:val="TableContents"/>
              <w:spacing w:lineRule="atLeast" w:line="160" w:before="0" w:after="0"/>
              <w:ind w:left="0" w:right="0" w:hanging="0"/>
              <w:rPr/>
            </w:pPr>
            <w:r>
              <w:rPr/>
              <w:t> </w:t>
            </w:r>
          </w:p>
        </w:tc>
        <w:tc>
          <w:tcPr>
            <w:tcW w:w="200" w:type="dxa"/>
            <w:tcBorders/>
            <w:shd w:fill="auto" w:val="clear"/>
            <w:vAlign w:val="bottom"/>
          </w:tcPr>
          <w:p>
            <w:pPr>
              <w:pStyle w:val="TableContents"/>
              <w:spacing w:lineRule="atLeast" w:line="160" w:before="0" w:after="0"/>
              <w:ind w:left="0" w:right="0" w:hanging="0"/>
              <w:rPr/>
            </w:pPr>
            <w:r>
              <w:rPr/>
              <w:t> </w:t>
            </w:r>
          </w:p>
        </w:tc>
        <w:tc>
          <w:tcPr>
            <w:tcW w:w="823"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210" w:type="dxa"/>
            <w:tcBorders/>
            <w:shd w:fill="auto" w:val="clear"/>
            <w:vAlign w:val="bottom"/>
          </w:tcPr>
          <w:p>
            <w:pPr>
              <w:pStyle w:val="TableContents"/>
              <w:spacing w:lineRule="atLeast" w:line="160" w:before="0" w:after="0"/>
              <w:ind w:left="0" w:right="0" w:hanging="0"/>
              <w:rPr/>
            </w:pPr>
            <w:r>
              <w:rPr/>
              <w:t> </w:t>
            </w:r>
          </w:p>
        </w:tc>
        <w:tc>
          <w:tcPr>
            <w:tcW w:w="793"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06" w:type="dxa"/>
            <w:tcBorders/>
            <w:shd w:fill="auto" w:val="clear"/>
            <w:vAlign w:val="bottom"/>
          </w:tcPr>
          <w:p>
            <w:pPr>
              <w:pStyle w:val="TableContents"/>
              <w:spacing w:lineRule="atLeast" w:line="160" w:before="0" w:after="0"/>
              <w:ind w:left="0" w:right="0" w:hanging="0"/>
              <w:rPr/>
            </w:pPr>
            <w:r>
              <w:rPr/>
              <w:t> </w:t>
            </w:r>
          </w:p>
        </w:tc>
        <w:tc>
          <w:tcPr>
            <w:tcW w:w="7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205" w:type="dxa"/>
            <w:tcBorders/>
            <w:shd w:fill="auto" w:val="clear"/>
            <w:vAlign w:val="bottom"/>
          </w:tcPr>
          <w:p>
            <w:pPr>
              <w:pStyle w:val="TableContents"/>
              <w:spacing w:lineRule="atLeast" w:line="160" w:before="0" w:after="0"/>
              <w:ind w:left="0" w:right="0" w:hanging="0"/>
              <w:rPr/>
            </w:pPr>
            <w:r>
              <w:rPr/>
              <w:t> </w:t>
            </w:r>
          </w:p>
        </w:tc>
        <w:tc>
          <w:tcPr>
            <w:tcW w:w="79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305" w:type="dxa"/>
            <w:tcBorders/>
            <w:shd w:fill="auto" w:val="clear"/>
            <w:vAlign w:val="bottom"/>
          </w:tcPr>
          <w:p>
            <w:pPr>
              <w:pStyle w:val="TableContents"/>
              <w:spacing w:lineRule="atLeast" w:line="160" w:before="0" w:after="0"/>
              <w:ind w:left="0" w:right="0" w:hanging="0"/>
              <w:rPr/>
            </w:pPr>
            <w:r>
              <w:rPr/>
              <w:t> </w:t>
            </w:r>
          </w:p>
        </w:tc>
      </w:tr>
      <w:tr>
        <w:trPr/>
        <w:tc>
          <w:tcPr>
            <w:tcW w:w="5873" w:type="dxa"/>
            <w:tcBorders/>
            <w:shd w:fill="auto" w:val="clear"/>
            <w:vAlign w:val="bottom"/>
          </w:tcPr>
          <w:p>
            <w:pPr>
              <w:pStyle w:val="TableContents"/>
              <w:spacing w:lineRule="atLeast" w:line="160" w:before="0" w:after="0"/>
              <w:ind w:left="0" w:right="0" w:hanging="0"/>
              <w:rPr/>
            </w:pPr>
            <w:r>
              <w:rPr/>
              <w:t> </w:t>
            </w:r>
          </w:p>
        </w:tc>
        <w:tc>
          <w:tcPr>
            <w:tcW w:w="200" w:type="dxa"/>
            <w:tcBorders/>
            <w:shd w:fill="auto" w:val="clear"/>
            <w:vAlign w:val="bottom"/>
          </w:tcPr>
          <w:p>
            <w:pPr>
              <w:pStyle w:val="TableContents"/>
              <w:spacing w:lineRule="atLeast" w:line="160" w:before="0" w:after="0"/>
              <w:ind w:left="0" w:right="0" w:hanging="0"/>
              <w:rPr/>
            </w:pPr>
            <w:r>
              <w:rPr/>
              <w:t> </w:t>
            </w:r>
          </w:p>
        </w:tc>
        <w:tc>
          <w:tcPr>
            <w:tcW w:w="1826"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w:t>
            </w:r>
          </w:p>
        </w:tc>
        <w:tc>
          <w:tcPr>
            <w:tcW w:w="206" w:type="dxa"/>
            <w:tcBorders/>
            <w:shd w:fill="auto" w:val="clear"/>
            <w:vAlign w:val="bottom"/>
          </w:tcPr>
          <w:p>
            <w:pPr>
              <w:pStyle w:val="TableContents"/>
              <w:spacing w:lineRule="atLeast" w:line="160" w:before="0" w:after="0"/>
              <w:ind w:left="0" w:right="0" w:hanging="0"/>
              <w:rPr/>
            </w:pPr>
            <w:r>
              <w:rPr/>
              <w:t> </w:t>
            </w:r>
          </w:p>
        </w:tc>
        <w:tc>
          <w:tcPr>
            <w:tcW w:w="1795"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w:t>
            </w:r>
          </w:p>
        </w:tc>
        <w:tc>
          <w:tcPr>
            <w:tcW w:w="305" w:type="dxa"/>
            <w:tcBorders/>
            <w:shd w:fill="auto" w:val="clear"/>
            <w:vAlign w:val="bottom"/>
          </w:tcPr>
          <w:p>
            <w:pPr>
              <w:pStyle w:val="TableContents"/>
              <w:spacing w:lineRule="atLeast" w:line="160" w:before="0" w:after="0"/>
              <w:ind w:left="0" w:right="0" w:hanging="0"/>
              <w:rPr/>
            </w:pPr>
            <w:r>
              <w:rPr/>
              <w:t> </w:t>
            </w:r>
          </w:p>
        </w:tc>
      </w:tr>
      <w:tr>
        <w:trPr/>
        <w:tc>
          <w:tcPr>
            <w:tcW w:w="5873" w:type="dxa"/>
            <w:tcBorders/>
            <w:shd w:fill="CCEEFF" w:val="clear"/>
          </w:tcPr>
          <w:p>
            <w:pPr>
              <w:pStyle w:val="TableContents"/>
              <w:spacing w:before="0" w:after="0"/>
              <w:ind w:left="0" w:right="0" w:hanging="0"/>
              <w:rPr>
                <w:rFonts w:ascii="Times New Roman" w:hAnsi="Times New Roman"/>
                <w:b/>
                <w:sz w:val="17"/>
              </w:rPr>
            </w:pPr>
            <w:r>
              <w:rPr>
                <w:rFonts w:ascii="Times New Roman" w:hAnsi="Times New Roman"/>
                <w:b/>
                <w:sz w:val="17"/>
              </w:rPr>
              <w:t>Operating Results (1)</w:t>
            </w:r>
          </w:p>
        </w:tc>
        <w:tc>
          <w:tcPr>
            <w:tcW w:w="200"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pPr>
            <w:r>
              <w:rPr/>
              <w:t> </w:t>
            </w:r>
          </w:p>
        </w:tc>
        <w:tc>
          <w:tcPr>
            <w:tcW w:w="305" w:type="dxa"/>
            <w:tcBorders/>
            <w:shd w:fill="CCEEFF" w:val="clear"/>
            <w:vAlign w:val="bottom"/>
          </w:tcPr>
          <w:p>
            <w:pPr>
              <w:pStyle w:val="TableContents"/>
              <w:spacing w:before="0" w:after="0"/>
              <w:ind w:left="0" w:right="0" w:hanging="0"/>
              <w:rPr/>
            </w:pPr>
            <w:r>
              <w:rPr/>
              <w:t> </w:t>
            </w:r>
          </w:p>
        </w:tc>
      </w:tr>
      <w:tr>
        <w:trPr/>
        <w:tc>
          <w:tcPr>
            <w:tcW w:w="5873"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0"/>
              <w:ind w:left="0" w:right="0" w:hanging="0"/>
              <w:rPr/>
            </w:pPr>
            <w:r>
              <w:rPr/>
              <w:t> </w:t>
            </w:r>
          </w:p>
        </w:tc>
      </w:tr>
      <w:tr>
        <w:trPr/>
        <w:tc>
          <w:tcPr>
            <w:tcW w:w="58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Revenues</w:t>
            </w:r>
          </w:p>
        </w:tc>
        <w:tc>
          <w:tcPr>
            <w:tcW w:w="200"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pPr>
            <w:r>
              <w:rPr/>
              <w:t> </w:t>
            </w:r>
          </w:p>
        </w:tc>
        <w:tc>
          <w:tcPr>
            <w:tcW w:w="305" w:type="dxa"/>
            <w:tcBorders/>
            <w:shd w:fill="CCEEFF" w:val="clear"/>
            <w:vAlign w:val="bottom"/>
          </w:tcPr>
          <w:p>
            <w:pPr>
              <w:pStyle w:val="TableContents"/>
              <w:spacing w:before="0" w:after="0"/>
              <w:ind w:left="0" w:right="0" w:hanging="0"/>
              <w:rPr/>
            </w:pPr>
            <w:r>
              <w:rPr/>
              <w:t> </w:t>
            </w:r>
          </w:p>
        </w:tc>
      </w:tr>
      <w:tr>
        <w:trPr/>
        <w:tc>
          <w:tcPr>
            <w:tcW w:w="58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00"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9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101.1</w:t>
            </w:r>
          </w:p>
        </w:tc>
        <w:tc>
          <w:tcPr>
            <w:tcW w:w="210"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85.6</w:t>
            </w:r>
          </w:p>
        </w:tc>
        <w:tc>
          <w:tcPr>
            <w:tcW w:w="206"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192.1</w:t>
            </w:r>
          </w:p>
        </w:tc>
        <w:tc>
          <w:tcPr>
            <w:tcW w:w="205"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175.3</w:t>
            </w:r>
          </w:p>
        </w:tc>
        <w:tc>
          <w:tcPr>
            <w:tcW w:w="305" w:type="dxa"/>
            <w:tcBorders/>
            <w:shd w:fill="auto" w:val="clear"/>
            <w:vAlign w:val="bottom"/>
          </w:tcPr>
          <w:p>
            <w:pPr>
              <w:pStyle w:val="TableContents"/>
              <w:spacing w:before="0" w:after="0"/>
              <w:ind w:left="0" w:right="0" w:hanging="0"/>
              <w:rPr/>
            </w:pPr>
            <w:r>
              <w:rPr/>
              <w:t> </w:t>
            </w:r>
          </w:p>
        </w:tc>
      </w:tr>
      <w:tr>
        <w:trPr/>
        <w:tc>
          <w:tcPr>
            <w:tcW w:w="58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Pipeline margin activities (2)</w:t>
            </w:r>
          </w:p>
        </w:tc>
        <w:tc>
          <w:tcPr>
            <w:tcW w:w="200" w:type="dxa"/>
            <w:tcBorders/>
            <w:shd w:fill="CCEEFF" w:val="clear"/>
            <w:vAlign w:val="bottom"/>
          </w:tcPr>
          <w:p>
            <w:pPr>
              <w:pStyle w:val="TableContents"/>
              <w:spacing w:before="0" w:after="0"/>
              <w:ind w:left="0" w:right="0" w:hanging="0"/>
              <w:rPr/>
            </w:pPr>
            <w:r>
              <w:rPr/>
              <w:t> </w:t>
            </w:r>
          </w:p>
        </w:tc>
        <w:tc>
          <w:tcPr>
            <w:tcW w:w="823"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173.8</w:t>
            </w:r>
          </w:p>
        </w:tc>
        <w:tc>
          <w:tcPr>
            <w:tcW w:w="210" w:type="dxa"/>
            <w:tcBorders/>
            <w:shd w:fill="CCEEFF" w:val="clear"/>
            <w:vAlign w:val="bottom"/>
          </w:tcPr>
          <w:p>
            <w:pPr>
              <w:pStyle w:val="TableContents"/>
              <w:spacing w:before="0" w:after="0"/>
              <w:ind w:left="0" w:right="0" w:hanging="0"/>
              <w:rPr/>
            </w:pPr>
            <w:r>
              <w:rPr/>
              <w:t> </w:t>
            </w:r>
          </w:p>
        </w:tc>
        <w:tc>
          <w:tcPr>
            <w:tcW w:w="793"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174.9</w:t>
            </w:r>
          </w:p>
        </w:tc>
        <w:tc>
          <w:tcPr>
            <w:tcW w:w="206" w:type="dxa"/>
            <w:tcBorders/>
            <w:shd w:fill="CCEEFF" w:val="clear"/>
            <w:vAlign w:val="bottom"/>
          </w:tcPr>
          <w:p>
            <w:pPr>
              <w:pStyle w:val="TableContents"/>
              <w:spacing w:before="0" w:after="0"/>
              <w:ind w:left="0" w:right="0" w:hanging="0"/>
              <w:rPr/>
            </w:pPr>
            <w:r>
              <w:rPr/>
              <w:t> </w:t>
            </w:r>
          </w:p>
        </w:tc>
        <w:tc>
          <w:tcPr>
            <w:tcW w:w="79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367.8</w:t>
            </w:r>
          </w:p>
        </w:tc>
        <w:tc>
          <w:tcPr>
            <w:tcW w:w="205" w:type="dxa"/>
            <w:tcBorders/>
            <w:shd w:fill="CCEEFF" w:val="clear"/>
            <w:vAlign w:val="bottom"/>
          </w:tcPr>
          <w:p>
            <w:pPr>
              <w:pStyle w:val="TableContents"/>
              <w:spacing w:before="0" w:after="0"/>
              <w:ind w:left="0" w:right="0" w:hanging="0"/>
              <w:rPr/>
            </w:pPr>
            <w:r>
              <w:rPr/>
              <w:t> </w:t>
            </w:r>
          </w:p>
        </w:tc>
        <w:tc>
          <w:tcPr>
            <w:tcW w:w="79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332.4</w:t>
            </w:r>
          </w:p>
        </w:tc>
        <w:tc>
          <w:tcPr>
            <w:tcW w:w="305" w:type="dxa"/>
            <w:tcBorders/>
            <w:shd w:fill="CCEEFF" w:val="clear"/>
            <w:vAlign w:val="bottom"/>
          </w:tcPr>
          <w:p>
            <w:pPr>
              <w:pStyle w:val="TableContents"/>
              <w:spacing w:before="0" w:after="0"/>
              <w:ind w:left="0" w:right="0" w:hanging="0"/>
              <w:rPr/>
            </w:pPr>
            <w:r>
              <w:rPr/>
              <w:t> </w:t>
            </w:r>
          </w:p>
        </w:tc>
      </w:tr>
      <w:tr>
        <w:trPr/>
        <w:tc>
          <w:tcPr>
            <w:tcW w:w="58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pipeline operations revenues</w:t>
            </w:r>
          </w:p>
        </w:tc>
        <w:tc>
          <w:tcPr>
            <w:tcW w:w="200"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274.9</w:t>
            </w:r>
          </w:p>
        </w:tc>
        <w:tc>
          <w:tcPr>
            <w:tcW w:w="210"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260.5</w:t>
            </w:r>
          </w:p>
        </w:tc>
        <w:tc>
          <w:tcPr>
            <w:tcW w:w="206"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559.9</w:t>
            </w:r>
          </w:p>
        </w:tc>
        <w:tc>
          <w:tcPr>
            <w:tcW w:w="205"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507.7</w:t>
            </w:r>
          </w:p>
        </w:tc>
        <w:tc>
          <w:tcPr>
            <w:tcW w:w="305" w:type="dxa"/>
            <w:tcBorders/>
            <w:shd w:fill="auto" w:val="clear"/>
            <w:vAlign w:val="bottom"/>
          </w:tcPr>
          <w:p>
            <w:pPr>
              <w:pStyle w:val="TableContents"/>
              <w:spacing w:before="0" w:after="0"/>
              <w:ind w:left="0" w:right="0" w:hanging="0"/>
              <w:rPr/>
            </w:pPr>
            <w:r>
              <w:rPr/>
              <w:t> </w:t>
            </w:r>
          </w:p>
        </w:tc>
      </w:tr>
      <w:tr>
        <w:trPr/>
        <w:tc>
          <w:tcPr>
            <w:tcW w:w="5873" w:type="dxa"/>
            <w:tcBorders/>
            <w:shd w:fill="CCEEFF" w:val="clear"/>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pPr>
            <w:r>
              <w:rPr/>
              <w:t> </w:t>
            </w:r>
          </w:p>
        </w:tc>
        <w:tc>
          <w:tcPr>
            <w:tcW w:w="305" w:type="dxa"/>
            <w:tcBorders/>
            <w:shd w:fill="CCEEFF" w:val="clear"/>
            <w:vAlign w:val="bottom"/>
          </w:tcPr>
          <w:p>
            <w:pPr>
              <w:pStyle w:val="TableContents"/>
              <w:spacing w:before="0" w:after="0"/>
              <w:ind w:left="0" w:right="0" w:hanging="0"/>
              <w:rPr/>
            </w:pPr>
            <w:r>
              <w:rPr/>
              <w:t> </w:t>
            </w:r>
          </w:p>
        </w:tc>
      </w:tr>
      <w:tr>
        <w:trPr/>
        <w:tc>
          <w:tcPr>
            <w:tcW w:w="58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Costs and Expenses</w:t>
            </w:r>
          </w:p>
        </w:tc>
        <w:tc>
          <w:tcPr>
            <w:tcW w:w="200"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0"/>
              <w:ind w:left="0" w:right="0" w:hanging="0"/>
              <w:rPr/>
            </w:pPr>
            <w:r>
              <w:rPr/>
              <w:t> </w:t>
            </w:r>
          </w:p>
        </w:tc>
      </w:tr>
      <w:tr>
        <w:trPr/>
        <w:tc>
          <w:tcPr>
            <w:tcW w:w="58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Pipeline margin activities purchases (3)</w:t>
            </w:r>
          </w:p>
        </w:tc>
        <w:tc>
          <w:tcPr>
            <w:tcW w:w="200"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(165.6</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(167.8</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(354.2</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(319.5</w:t>
            </w:r>
          </w:p>
        </w:tc>
        <w:tc>
          <w:tcPr>
            <w:tcW w:w="3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LTIP charge)</w:t>
            </w:r>
          </w:p>
        </w:tc>
        <w:tc>
          <w:tcPr>
            <w:tcW w:w="200"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(45.2</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(37.7</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(89.9</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(71.7</w:t>
            </w:r>
          </w:p>
        </w:tc>
        <w:tc>
          <w:tcPr>
            <w:tcW w:w="3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LTIP charge - operations</w:t>
            </w:r>
          </w:p>
        </w:tc>
        <w:tc>
          <w:tcPr>
            <w:tcW w:w="200"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(0.2</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(0.3</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(0.6</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(0.4</w:t>
            </w:r>
          </w:p>
        </w:tc>
        <w:tc>
          <w:tcPr>
            <w:tcW w:w="3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G&amp;A expenses (excluding LTIP charge)</w:t>
            </w:r>
          </w:p>
        </w:tc>
        <w:tc>
          <w:tcPr>
            <w:tcW w:w="200"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(8.5</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(9.2</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(17.3</w:t>
            </w:r>
          </w:p>
        </w:tc>
        <w:tc>
          <w:tcPr>
            <w:tcW w:w="2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(19.4</w:t>
            </w:r>
          </w:p>
        </w:tc>
        <w:tc>
          <w:tcPr>
            <w:tcW w:w="3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LTIP charge - general and administrative</w:t>
            </w:r>
          </w:p>
        </w:tc>
        <w:tc>
          <w:tcPr>
            <w:tcW w:w="200" w:type="dxa"/>
            <w:tcBorders/>
            <w:shd w:fill="CCEEFF" w:val="clear"/>
            <w:vAlign w:val="bottom"/>
          </w:tcPr>
          <w:p>
            <w:pPr>
              <w:pStyle w:val="TableContents"/>
              <w:spacing w:before="0" w:after="0"/>
              <w:ind w:left="0" w:right="0" w:hanging="0"/>
              <w:rPr/>
            </w:pPr>
            <w:r>
              <w:rPr/>
              <w:t> </w:t>
            </w:r>
          </w:p>
        </w:tc>
        <w:tc>
          <w:tcPr>
            <w:tcW w:w="823"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(2.3</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(4.1</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(6.8</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5"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(5.3</w:t>
            </w:r>
          </w:p>
        </w:tc>
        <w:tc>
          <w:tcPr>
            <w:tcW w:w="3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00"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9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53.1</w:t>
            </w:r>
          </w:p>
        </w:tc>
        <w:tc>
          <w:tcPr>
            <w:tcW w:w="210"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6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41.4</w:t>
            </w:r>
          </w:p>
        </w:tc>
        <w:tc>
          <w:tcPr>
            <w:tcW w:w="206"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91.1</w:t>
            </w:r>
          </w:p>
        </w:tc>
        <w:tc>
          <w:tcPr>
            <w:tcW w:w="205"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91.4</w:t>
            </w:r>
          </w:p>
        </w:tc>
        <w:tc>
          <w:tcPr>
            <w:tcW w:w="305" w:type="dxa"/>
            <w:tcBorders/>
            <w:shd w:fill="auto" w:val="clear"/>
            <w:vAlign w:val="bottom"/>
          </w:tcPr>
          <w:p>
            <w:pPr>
              <w:pStyle w:val="TableContents"/>
              <w:spacing w:before="0" w:after="0"/>
              <w:ind w:left="0" w:right="0" w:hanging="0"/>
              <w:rPr/>
            </w:pPr>
            <w:r>
              <w:rPr/>
              <w:t> </w:t>
            </w:r>
          </w:p>
        </w:tc>
      </w:tr>
      <w:tr>
        <w:trPr/>
        <w:tc>
          <w:tcPr>
            <w:tcW w:w="58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0"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9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210"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6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2.5</w:t>
            </w:r>
          </w:p>
        </w:tc>
        <w:tc>
          <w:tcPr>
            <w:tcW w:w="206"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6.2</w:t>
            </w:r>
          </w:p>
        </w:tc>
        <w:tc>
          <w:tcPr>
            <w:tcW w:w="205"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7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5.3</w:t>
            </w:r>
          </w:p>
        </w:tc>
        <w:tc>
          <w:tcPr>
            <w:tcW w:w="305" w:type="dxa"/>
            <w:tcBorders/>
            <w:shd w:fill="CCEEFF" w:val="clear"/>
            <w:vAlign w:val="bottom"/>
          </w:tcPr>
          <w:p>
            <w:pPr>
              <w:pStyle w:val="TableContents"/>
              <w:spacing w:before="0" w:after="0"/>
              <w:ind w:left="0" w:right="0" w:hanging="0"/>
              <w:rPr/>
            </w:pPr>
            <w:r>
              <w:rPr/>
              <w:t> </w:t>
            </w:r>
          </w:p>
        </w:tc>
      </w:tr>
      <w:tr>
        <w:trPr/>
        <w:tc>
          <w:tcPr>
            <w:tcW w:w="5873"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0"/>
              <w:ind w:left="0" w:right="0" w:hanging="0"/>
              <w:rPr/>
            </w:pPr>
            <w:r>
              <w:rPr/>
              <w:t> </w:t>
            </w:r>
          </w:p>
        </w:tc>
      </w:tr>
      <w:tr>
        <w:trPr/>
        <w:tc>
          <w:tcPr>
            <w:tcW w:w="5873" w:type="dxa"/>
            <w:tcBorders/>
            <w:shd w:fill="CCEEFF" w:val="clear"/>
          </w:tcPr>
          <w:p>
            <w:pPr>
              <w:pStyle w:val="TableContents"/>
              <w:spacing w:before="0" w:after="0"/>
              <w:ind w:left="0" w:right="0" w:hanging="0"/>
              <w:rPr>
                <w:sz w:val="17"/>
              </w:rPr>
            </w:pPr>
            <w:r>
              <w:rPr>
                <w:rFonts w:ascii="Times New Roman" w:hAnsi="Times New Roman"/>
                <w:b/>
                <w:sz w:val="17"/>
              </w:rPr>
              <w:t xml:space="preserve">Average Daily Volumes </w:t>
            </w:r>
            <w:r>
              <w:rPr>
                <w:b/>
                <w:sz w:val="17"/>
              </w:rPr>
              <w:t>(thousands of barrels per day)</w:t>
            </w:r>
          </w:p>
        </w:tc>
        <w:tc>
          <w:tcPr>
            <w:tcW w:w="200"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pPr>
            <w:r>
              <w:rPr/>
              <w:t> </w:t>
            </w:r>
          </w:p>
        </w:tc>
        <w:tc>
          <w:tcPr>
            <w:tcW w:w="305" w:type="dxa"/>
            <w:tcBorders/>
            <w:shd w:fill="CCEEFF" w:val="clear"/>
            <w:vAlign w:val="bottom"/>
          </w:tcPr>
          <w:p>
            <w:pPr>
              <w:pStyle w:val="TableContents"/>
              <w:spacing w:before="0" w:after="0"/>
              <w:ind w:left="0" w:right="0" w:hanging="0"/>
              <w:rPr/>
            </w:pPr>
            <w:r>
              <w:rPr/>
              <w:t> </w:t>
            </w:r>
          </w:p>
        </w:tc>
      </w:tr>
      <w:tr>
        <w:trPr/>
        <w:tc>
          <w:tcPr>
            <w:tcW w:w="58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00"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0"/>
              <w:ind w:left="0" w:right="0" w:hanging="0"/>
              <w:rPr/>
            </w:pPr>
            <w:r>
              <w:rPr/>
              <w:t> </w:t>
            </w:r>
          </w:p>
        </w:tc>
      </w:tr>
      <w:tr>
        <w:trPr/>
        <w:tc>
          <w:tcPr>
            <w:tcW w:w="58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0"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53</w:t>
            </w:r>
          </w:p>
        </w:tc>
        <w:tc>
          <w:tcPr>
            <w:tcW w:w="210"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50</w:t>
            </w:r>
          </w:p>
        </w:tc>
        <w:tc>
          <w:tcPr>
            <w:tcW w:w="206"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48</w:t>
            </w:r>
          </w:p>
        </w:tc>
        <w:tc>
          <w:tcPr>
            <w:tcW w:w="205"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52</w:t>
            </w:r>
          </w:p>
        </w:tc>
        <w:tc>
          <w:tcPr>
            <w:tcW w:w="305" w:type="dxa"/>
            <w:tcBorders/>
            <w:shd w:fill="CCEEFF" w:val="clear"/>
            <w:vAlign w:val="bottom"/>
          </w:tcPr>
          <w:p>
            <w:pPr>
              <w:pStyle w:val="TableContents"/>
              <w:spacing w:before="0" w:after="0"/>
              <w:ind w:left="0" w:right="0" w:hanging="0"/>
              <w:rPr/>
            </w:pPr>
            <w:r>
              <w:rPr/>
              <w:t> </w:t>
            </w:r>
          </w:p>
        </w:tc>
      </w:tr>
      <w:tr>
        <w:trPr/>
        <w:tc>
          <w:tcPr>
            <w:tcW w:w="58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00"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330</w:t>
            </w:r>
          </w:p>
        </w:tc>
        <w:tc>
          <w:tcPr>
            <w:tcW w:w="210"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283</w:t>
            </w:r>
          </w:p>
        </w:tc>
        <w:tc>
          <w:tcPr>
            <w:tcW w:w="206"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322</w:t>
            </w:r>
          </w:p>
        </w:tc>
        <w:tc>
          <w:tcPr>
            <w:tcW w:w="205"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280</w:t>
            </w:r>
          </w:p>
        </w:tc>
        <w:tc>
          <w:tcPr>
            <w:tcW w:w="305" w:type="dxa"/>
            <w:tcBorders/>
            <w:shd w:fill="auto" w:val="clear"/>
            <w:vAlign w:val="bottom"/>
          </w:tcPr>
          <w:p>
            <w:pPr>
              <w:pStyle w:val="TableContents"/>
              <w:spacing w:before="0" w:after="0"/>
              <w:ind w:left="0" w:right="0" w:hanging="0"/>
              <w:rPr/>
            </w:pPr>
            <w:r>
              <w:rPr/>
              <w:t> </w:t>
            </w:r>
          </w:p>
        </w:tc>
      </w:tr>
      <w:tr>
        <w:trPr/>
        <w:tc>
          <w:tcPr>
            <w:tcW w:w="58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0"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178</w:t>
            </w:r>
          </w:p>
        </w:tc>
        <w:tc>
          <w:tcPr>
            <w:tcW w:w="210"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143</w:t>
            </w:r>
          </w:p>
        </w:tc>
        <w:tc>
          <w:tcPr>
            <w:tcW w:w="206"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132</w:t>
            </w:r>
          </w:p>
        </w:tc>
        <w:tc>
          <w:tcPr>
            <w:tcW w:w="205"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152</w:t>
            </w:r>
          </w:p>
        </w:tc>
        <w:tc>
          <w:tcPr>
            <w:tcW w:w="305" w:type="dxa"/>
            <w:tcBorders/>
            <w:shd w:fill="CCEEFF" w:val="clear"/>
            <w:vAlign w:val="bottom"/>
          </w:tcPr>
          <w:p>
            <w:pPr>
              <w:pStyle w:val="TableContents"/>
              <w:spacing w:before="0" w:after="0"/>
              <w:ind w:left="0" w:right="0" w:hanging="0"/>
              <w:rPr/>
            </w:pPr>
            <w:r>
              <w:rPr/>
              <w:t> </w:t>
            </w:r>
          </w:p>
        </w:tc>
      </w:tr>
      <w:tr>
        <w:trPr/>
        <w:tc>
          <w:tcPr>
            <w:tcW w:w="58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Cushing to Broome</w:t>
            </w:r>
          </w:p>
        </w:tc>
        <w:tc>
          <w:tcPr>
            <w:tcW w:w="200"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79</w:t>
            </w:r>
          </w:p>
        </w:tc>
        <w:tc>
          <w:tcPr>
            <w:tcW w:w="210"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84</w:t>
            </w:r>
          </w:p>
        </w:tc>
        <w:tc>
          <w:tcPr>
            <w:tcW w:w="206"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75</w:t>
            </w:r>
          </w:p>
        </w:tc>
        <w:tc>
          <w:tcPr>
            <w:tcW w:w="205"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54</w:t>
            </w:r>
          </w:p>
        </w:tc>
        <w:tc>
          <w:tcPr>
            <w:tcW w:w="305" w:type="dxa"/>
            <w:tcBorders/>
            <w:shd w:fill="auto" w:val="clear"/>
            <w:vAlign w:val="bottom"/>
          </w:tcPr>
          <w:p>
            <w:pPr>
              <w:pStyle w:val="TableContents"/>
              <w:spacing w:before="0" w:after="0"/>
              <w:ind w:left="0" w:right="0" w:hanging="0"/>
              <w:rPr/>
            </w:pPr>
            <w:r>
              <w:rPr/>
              <w:t> </w:t>
            </w:r>
          </w:p>
        </w:tc>
      </w:tr>
      <w:tr>
        <w:trPr/>
        <w:tc>
          <w:tcPr>
            <w:tcW w:w="58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North Dakota/Trenton</w:t>
            </w:r>
          </w:p>
        </w:tc>
        <w:tc>
          <w:tcPr>
            <w:tcW w:w="200"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87</w:t>
            </w:r>
          </w:p>
        </w:tc>
        <w:tc>
          <w:tcPr>
            <w:tcW w:w="210"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73</w:t>
            </w:r>
          </w:p>
        </w:tc>
        <w:tc>
          <w:tcPr>
            <w:tcW w:w="206"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85</w:t>
            </w:r>
          </w:p>
        </w:tc>
        <w:tc>
          <w:tcPr>
            <w:tcW w:w="205"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67</w:t>
            </w:r>
          </w:p>
        </w:tc>
        <w:tc>
          <w:tcPr>
            <w:tcW w:w="305" w:type="dxa"/>
            <w:tcBorders/>
            <w:shd w:fill="CCEEFF" w:val="clear"/>
            <w:vAlign w:val="bottom"/>
          </w:tcPr>
          <w:p>
            <w:pPr>
              <w:pStyle w:val="TableContents"/>
              <w:spacing w:before="0" w:after="0"/>
              <w:ind w:left="0" w:right="0" w:hanging="0"/>
              <w:rPr/>
            </w:pPr>
            <w:r>
              <w:rPr/>
              <w:t> </w:t>
            </w:r>
          </w:p>
        </w:tc>
      </w:tr>
      <w:tr>
        <w:trPr/>
        <w:tc>
          <w:tcPr>
            <w:tcW w:w="58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West Texas/New Mexico Area Systems</w:t>
            </w:r>
          </w:p>
        </w:tc>
        <w:tc>
          <w:tcPr>
            <w:tcW w:w="200" w:type="dxa"/>
            <w:tcBorders/>
            <w:shd w:fill="auto" w:val="clear"/>
            <w:vAlign w:val="bottom"/>
          </w:tcPr>
          <w:p>
            <w:pPr>
              <w:pStyle w:val="TableContents"/>
              <w:spacing w:before="0" w:after="0"/>
              <w:ind w:left="0" w:right="0" w:hanging="0"/>
              <w:rPr/>
            </w:pPr>
            <w:r>
              <w:rPr/>
              <w:t> </w:t>
            </w:r>
          </w:p>
        </w:tc>
        <w:tc>
          <w:tcPr>
            <w:tcW w:w="823"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478</w:t>
            </w:r>
          </w:p>
        </w:tc>
        <w:tc>
          <w:tcPr>
            <w:tcW w:w="210" w:type="dxa"/>
            <w:tcBorders/>
            <w:shd w:fill="auto" w:val="clear"/>
            <w:vAlign w:val="bottom"/>
          </w:tcPr>
          <w:p>
            <w:pPr>
              <w:pStyle w:val="TableContents"/>
              <w:spacing w:before="0" w:after="0"/>
              <w:ind w:left="0" w:right="0" w:hanging="0"/>
              <w:rPr/>
            </w:pPr>
            <w:r>
              <w:rPr/>
              <w:t> </w:t>
            </w:r>
          </w:p>
        </w:tc>
        <w:tc>
          <w:tcPr>
            <w:tcW w:w="793"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435</w:t>
            </w:r>
          </w:p>
        </w:tc>
        <w:tc>
          <w:tcPr>
            <w:tcW w:w="206"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460</w:t>
            </w:r>
          </w:p>
        </w:tc>
        <w:tc>
          <w:tcPr>
            <w:tcW w:w="205" w:type="dxa"/>
            <w:tcBorders/>
            <w:shd w:fill="auto" w:val="clear"/>
            <w:vAlign w:val="bottom"/>
          </w:tcPr>
          <w:p>
            <w:pPr>
              <w:pStyle w:val="TableContents"/>
              <w:spacing w:before="0" w:after="0"/>
              <w:ind w:left="0" w:right="0" w:hanging="0"/>
              <w:rPr/>
            </w:pPr>
            <w:r>
              <w:rPr/>
              <w:t> </w:t>
            </w:r>
          </w:p>
        </w:tc>
        <w:tc>
          <w:tcPr>
            <w:tcW w:w="795"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418</w:t>
            </w:r>
          </w:p>
        </w:tc>
        <w:tc>
          <w:tcPr>
            <w:tcW w:w="305" w:type="dxa"/>
            <w:tcBorders/>
            <w:shd w:fill="auto" w:val="clear"/>
            <w:vAlign w:val="bottom"/>
          </w:tcPr>
          <w:p>
            <w:pPr>
              <w:pStyle w:val="TableContents"/>
              <w:spacing w:before="0" w:after="0"/>
              <w:ind w:left="0" w:right="0" w:hanging="0"/>
              <w:rPr/>
            </w:pPr>
            <w:r>
              <w:rPr/>
              <w:t> </w:t>
            </w:r>
          </w:p>
        </w:tc>
      </w:tr>
      <w:tr>
        <w:trPr/>
        <w:tc>
          <w:tcPr>
            <w:tcW w:w="58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Canada</w:t>
            </w:r>
          </w:p>
        </w:tc>
        <w:tc>
          <w:tcPr>
            <w:tcW w:w="200"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253</w:t>
            </w:r>
          </w:p>
        </w:tc>
        <w:tc>
          <w:tcPr>
            <w:tcW w:w="210"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248</w:t>
            </w:r>
          </w:p>
        </w:tc>
        <w:tc>
          <w:tcPr>
            <w:tcW w:w="206"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246</w:t>
            </w:r>
          </w:p>
        </w:tc>
        <w:tc>
          <w:tcPr>
            <w:tcW w:w="205"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258</w:t>
            </w:r>
          </w:p>
        </w:tc>
        <w:tc>
          <w:tcPr>
            <w:tcW w:w="305" w:type="dxa"/>
            <w:tcBorders/>
            <w:shd w:fill="CCEEFF" w:val="clear"/>
            <w:vAlign w:val="bottom"/>
          </w:tcPr>
          <w:p>
            <w:pPr>
              <w:pStyle w:val="TableContents"/>
              <w:spacing w:before="0" w:after="0"/>
              <w:ind w:left="0" w:right="0" w:hanging="0"/>
              <w:rPr/>
            </w:pPr>
            <w:r>
              <w:rPr/>
              <w:t> </w:t>
            </w:r>
          </w:p>
        </w:tc>
      </w:tr>
      <w:tr>
        <w:trPr/>
        <w:tc>
          <w:tcPr>
            <w:tcW w:w="58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0" w:type="dxa"/>
            <w:tcBorders/>
            <w:shd w:fill="auto" w:val="clear"/>
            <w:vAlign w:val="bottom"/>
          </w:tcPr>
          <w:p>
            <w:pPr>
              <w:pStyle w:val="TableContents"/>
              <w:spacing w:before="0" w:after="0"/>
              <w:ind w:left="0" w:right="0" w:hanging="0"/>
              <w:rPr/>
            </w:pPr>
            <w:r>
              <w:rPr/>
              <w:t> </w:t>
            </w:r>
          </w:p>
        </w:tc>
        <w:tc>
          <w:tcPr>
            <w:tcW w:w="823"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458</w:t>
            </w:r>
          </w:p>
        </w:tc>
        <w:tc>
          <w:tcPr>
            <w:tcW w:w="210" w:type="dxa"/>
            <w:tcBorders/>
            <w:shd w:fill="auto" w:val="clear"/>
            <w:vAlign w:val="bottom"/>
          </w:tcPr>
          <w:p>
            <w:pPr>
              <w:pStyle w:val="TableContents"/>
              <w:spacing w:before="0" w:after="0"/>
              <w:ind w:left="0" w:right="0" w:hanging="0"/>
              <w:rPr/>
            </w:pPr>
            <w:r>
              <w:rPr/>
              <w:t> </w:t>
            </w:r>
          </w:p>
        </w:tc>
        <w:tc>
          <w:tcPr>
            <w:tcW w:w="793"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421</w:t>
            </w:r>
          </w:p>
        </w:tc>
        <w:tc>
          <w:tcPr>
            <w:tcW w:w="206" w:type="dxa"/>
            <w:tcBorders/>
            <w:shd w:fill="auto" w:val="clear"/>
            <w:vAlign w:val="bottom"/>
          </w:tcPr>
          <w:p>
            <w:pPr>
              <w:pStyle w:val="TableContents"/>
              <w:spacing w:before="0" w:after="0"/>
              <w:ind w:left="0" w:right="0" w:hanging="0"/>
              <w:rPr/>
            </w:pPr>
            <w:r>
              <w:rPr/>
              <w:t> </w:t>
            </w:r>
          </w:p>
        </w:tc>
        <w:tc>
          <w:tcPr>
            <w:tcW w:w="79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452</w:t>
            </w:r>
          </w:p>
        </w:tc>
        <w:tc>
          <w:tcPr>
            <w:tcW w:w="205" w:type="dxa"/>
            <w:tcBorders/>
            <w:shd w:fill="auto" w:val="clear"/>
            <w:vAlign w:val="bottom"/>
          </w:tcPr>
          <w:p>
            <w:pPr>
              <w:pStyle w:val="TableContents"/>
              <w:spacing w:before="0" w:after="0"/>
              <w:ind w:left="0" w:right="0" w:hanging="0"/>
              <w:rPr/>
            </w:pPr>
            <w:r>
              <w:rPr/>
              <w:t> </w:t>
            </w:r>
          </w:p>
        </w:tc>
        <w:tc>
          <w:tcPr>
            <w:tcW w:w="79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415</w:t>
            </w:r>
          </w:p>
        </w:tc>
        <w:tc>
          <w:tcPr>
            <w:tcW w:w="305" w:type="dxa"/>
            <w:tcBorders/>
            <w:shd w:fill="auto" w:val="clear"/>
            <w:vAlign w:val="bottom"/>
          </w:tcPr>
          <w:p>
            <w:pPr>
              <w:pStyle w:val="TableContents"/>
              <w:spacing w:before="0" w:after="0"/>
              <w:ind w:left="0" w:right="0" w:hanging="0"/>
              <w:rPr/>
            </w:pPr>
            <w:r>
              <w:rPr/>
              <w:t> </w:t>
            </w:r>
          </w:p>
        </w:tc>
      </w:tr>
      <w:tr>
        <w:trPr/>
        <w:tc>
          <w:tcPr>
            <w:tcW w:w="58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tariff activities</w:t>
            </w:r>
          </w:p>
        </w:tc>
        <w:tc>
          <w:tcPr>
            <w:tcW w:w="200" w:type="dxa"/>
            <w:tcBorders/>
            <w:shd w:fill="CCEEFF" w:val="clear"/>
            <w:vAlign w:val="bottom"/>
          </w:tcPr>
          <w:p>
            <w:pPr>
              <w:pStyle w:val="TableContents"/>
              <w:spacing w:before="0" w:after="0"/>
              <w:ind w:left="0" w:right="0" w:hanging="0"/>
              <w:rPr/>
            </w:pPr>
            <w:r>
              <w:rPr/>
              <w:t> </w:t>
            </w:r>
          </w:p>
        </w:tc>
        <w:tc>
          <w:tcPr>
            <w:tcW w:w="823"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1,916</w:t>
            </w:r>
          </w:p>
        </w:tc>
        <w:tc>
          <w:tcPr>
            <w:tcW w:w="210" w:type="dxa"/>
            <w:tcBorders/>
            <w:shd w:fill="CCEEFF" w:val="clear"/>
            <w:vAlign w:val="bottom"/>
          </w:tcPr>
          <w:p>
            <w:pPr>
              <w:pStyle w:val="TableContents"/>
              <w:spacing w:before="0" w:after="0"/>
              <w:ind w:left="0" w:right="0" w:hanging="0"/>
              <w:rPr/>
            </w:pPr>
            <w:r>
              <w:rPr/>
              <w:t> </w:t>
            </w:r>
          </w:p>
        </w:tc>
        <w:tc>
          <w:tcPr>
            <w:tcW w:w="793"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1,737</w:t>
            </w:r>
          </w:p>
        </w:tc>
        <w:tc>
          <w:tcPr>
            <w:tcW w:w="206"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1,820</w:t>
            </w:r>
          </w:p>
        </w:tc>
        <w:tc>
          <w:tcPr>
            <w:tcW w:w="205" w:type="dxa"/>
            <w:tcBorders/>
            <w:shd w:fill="CCEEFF" w:val="clear"/>
            <w:vAlign w:val="bottom"/>
          </w:tcPr>
          <w:p>
            <w:pPr>
              <w:pStyle w:val="TableContents"/>
              <w:spacing w:before="0" w:after="0"/>
              <w:ind w:left="0" w:right="0" w:hanging="0"/>
              <w:rPr/>
            </w:pPr>
            <w:r>
              <w:rPr/>
              <w:t> </w:t>
            </w:r>
          </w:p>
        </w:tc>
        <w:tc>
          <w:tcPr>
            <w:tcW w:w="795"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1,696</w:t>
            </w:r>
          </w:p>
        </w:tc>
        <w:tc>
          <w:tcPr>
            <w:tcW w:w="305" w:type="dxa"/>
            <w:tcBorders/>
            <w:shd w:fill="CCEEFF" w:val="clear"/>
            <w:vAlign w:val="bottom"/>
          </w:tcPr>
          <w:p>
            <w:pPr>
              <w:pStyle w:val="TableContents"/>
              <w:spacing w:before="0" w:after="0"/>
              <w:ind w:left="0" w:right="0" w:hanging="0"/>
              <w:rPr/>
            </w:pPr>
            <w:r>
              <w:rPr/>
              <w:t> </w:t>
            </w:r>
          </w:p>
        </w:tc>
      </w:tr>
      <w:tr>
        <w:trPr/>
        <w:tc>
          <w:tcPr>
            <w:tcW w:w="587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Pipeline margin activities</w:t>
            </w:r>
          </w:p>
        </w:tc>
        <w:tc>
          <w:tcPr>
            <w:tcW w:w="200" w:type="dxa"/>
            <w:tcBorders/>
            <w:shd w:fill="auto" w:val="clear"/>
            <w:vAlign w:val="bottom"/>
          </w:tcPr>
          <w:p>
            <w:pPr>
              <w:pStyle w:val="TableContents"/>
              <w:spacing w:before="0" w:after="0"/>
              <w:ind w:left="0" w:right="0" w:hanging="0"/>
              <w:rPr/>
            </w:pPr>
            <w:r>
              <w:rPr/>
              <w:t> </w:t>
            </w:r>
          </w:p>
        </w:tc>
        <w:tc>
          <w:tcPr>
            <w:tcW w:w="823"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85</w:t>
            </w:r>
          </w:p>
        </w:tc>
        <w:tc>
          <w:tcPr>
            <w:tcW w:w="210" w:type="dxa"/>
            <w:tcBorders/>
            <w:shd w:fill="auto" w:val="clear"/>
            <w:vAlign w:val="bottom"/>
          </w:tcPr>
          <w:p>
            <w:pPr>
              <w:pStyle w:val="TableContents"/>
              <w:spacing w:before="0" w:after="0"/>
              <w:ind w:left="0" w:right="0" w:hanging="0"/>
              <w:rPr/>
            </w:pPr>
            <w:r>
              <w:rPr/>
              <w:t> </w:t>
            </w:r>
          </w:p>
        </w:tc>
        <w:tc>
          <w:tcPr>
            <w:tcW w:w="793"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67</w:t>
            </w:r>
          </w:p>
        </w:tc>
        <w:tc>
          <w:tcPr>
            <w:tcW w:w="206" w:type="dxa"/>
            <w:tcBorders/>
            <w:shd w:fill="auto" w:val="clear"/>
            <w:vAlign w:val="bottom"/>
          </w:tcPr>
          <w:p>
            <w:pPr>
              <w:pStyle w:val="TableContents"/>
              <w:spacing w:before="0" w:after="0"/>
              <w:ind w:left="0" w:right="0" w:hanging="0"/>
              <w:rPr/>
            </w:pPr>
            <w:r>
              <w:rPr/>
              <w:t> </w:t>
            </w:r>
          </w:p>
        </w:tc>
        <w:tc>
          <w:tcPr>
            <w:tcW w:w="79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88</w:t>
            </w:r>
          </w:p>
        </w:tc>
        <w:tc>
          <w:tcPr>
            <w:tcW w:w="205" w:type="dxa"/>
            <w:tcBorders/>
            <w:shd w:fill="auto" w:val="clear"/>
            <w:vAlign w:val="bottom"/>
          </w:tcPr>
          <w:p>
            <w:pPr>
              <w:pStyle w:val="TableContents"/>
              <w:spacing w:before="0" w:after="0"/>
              <w:ind w:left="0" w:right="0" w:hanging="0"/>
              <w:rPr/>
            </w:pPr>
            <w:r>
              <w:rPr/>
              <w:t> </w:t>
            </w:r>
          </w:p>
        </w:tc>
        <w:tc>
          <w:tcPr>
            <w:tcW w:w="795"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71</w:t>
            </w:r>
          </w:p>
        </w:tc>
        <w:tc>
          <w:tcPr>
            <w:tcW w:w="305" w:type="dxa"/>
            <w:tcBorders/>
            <w:shd w:fill="auto" w:val="clear"/>
            <w:vAlign w:val="bottom"/>
          </w:tcPr>
          <w:p>
            <w:pPr>
              <w:pStyle w:val="TableContents"/>
              <w:spacing w:before="0" w:after="0"/>
              <w:ind w:left="0" w:right="0" w:hanging="0"/>
              <w:rPr/>
            </w:pPr>
            <w:r>
              <w:rPr/>
              <w:t> </w:t>
            </w:r>
          </w:p>
        </w:tc>
      </w:tr>
      <w:tr>
        <w:trPr/>
        <w:tc>
          <w:tcPr>
            <w:tcW w:w="587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00" w:type="dxa"/>
            <w:tcBorders/>
            <w:shd w:fill="CCEEFF" w:val="clear"/>
            <w:vAlign w:val="bottom"/>
          </w:tcPr>
          <w:p>
            <w:pPr>
              <w:pStyle w:val="TableContents"/>
              <w:spacing w:before="0" w:after="0"/>
              <w:ind w:left="0" w:right="0" w:hanging="0"/>
              <w:rPr/>
            </w:pPr>
            <w:r>
              <w:rPr/>
              <w:t> </w:t>
            </w:r>
          </w:p>
        </w:tc>
        <w:tc>
          <w:tcPr>
            <w:tcW w:w="823"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2,001</w:t>
            </w:r>
          </w:p>
        </w:tc>
        <w:tc>
          <w:tcPr>
            <w:tcW w:w="210" w:type="dxa"/>
            <w:tcBorders/>
            <w:shd w:fill="CCEEFF" w:val="clear"/>
            <w:vAlign w:val="bottom"/>
          </w:tcPr>
          <w:p>
            <w:pPr>
              <w:pStyle w:val="TableContents"/>
              <w:spacing w:before="0" w:after="0"/>
              <w:ind w:left="0" w:right="0" w:hanging="0"/>
              <w:rPr/>
            </w:pPr>
            <w:r>
              <w:rPr/>
              <w:t> </w:t>
            </w:r>
          </w:p>
        </w:tc>
        <w:tc>
          <w:tcPr>
            <w:tcW w:w="793"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1,804</w:t>
            </w:r>
          </w:p>
        </w:tc>
        <w:tc>
          <w:tcPr>
            <w:tcW w:w="206" w:type="dxa"/>
            <w:tcBorders/>
            <w:shd w:fill="CCEEFF" w:val="clear"/>
            <w:vAlign w:val="bottom"/>
          </w:tcPr>
          <w:p>
            <w:pPr>
              <w:pStyle w:val="TableContents"/>
              <w:spacing w:before="0" w:after="0"/>
              <w:ind w:left="0" w:right="0" w:hanging="0"/>
              <w:rPr/>
            </w:pPr>
            <w:r>
              <w:rPr/>
              <w:t> </w:t>
            </w:r>
          </w:p>
        </w:tc>
        <w:tc>
          <w:tcPr>
            <w:tcW w:w="795"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1,908</w:t>
            </w:r>
          </w:p>
        </w:tc>
        <w:tc>
          <w:tcPr>
            <w:tcW w:w="205" w:type="dxa"/>
            <w:tcBorders/>
            <w:shd w:fill="CCEEFF" w:val="clear"/>
            <w:vAlign w:val="bottom"/>
          </w:tcPr>
          <w:p>
            <w:pPr>
              <w:pStyle w:val="TableContents"/>
              <w:spacing w:before="0" w:after="0"/>
              <w:ind w:left="0" w:right="0" w:hanging="0"/>
              <w:rPr/>
            </w:pPr>
            <w:r>
              <w:rPr/>
              <w:t> </w:t>
            </w:r>
          </w:p>
        </w:tc>
        <w:tc>
          <w:tcPr>
            <w:tcW w:w="795" w:type="dxa"/>
            <w:gridSpan w:val="2"/>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1,767</w:t>
            </w:r>
          </w:p>
        </w:tc>
        <w:tc>
          <w:tcPr>
            <w:tcW w:w="30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rPr/>
      </w:pPr>
      <w:r>
        <w:rPr/>
      </w:r>
    </w:p>
    <w:p>
      <w:pPr>
        <w:pStyle w:val="TextBody"/>
        <w:spacing w:before="0" w:after="240"/>
        <w:ind w:left="400" w:right="0" w:hanging="400"/>
        <w:rPr>
          <w:rFonts w:ascii="Times New Roman" w:hAnsi="Times New Roman"/>
          <w:sz w:val="17"/>
        </w:rPr>
      </w:pPr>
      <w:r>
        <w:rPr>
          <w:rFonts w:ascii="Times New Roman" w:hAnsi="Times New Roman"/>
          <w:sz w:val="17"/>
        </w:rPr>
        <w:t>(1)             Revenues and purchases include intersegment amounts</w:t>
      </w:r>
    </w:p>
    <w:p>
      <w:pPr>
        <w:pStyle w:val="TextBody"/>
        <w:spacing w:before="0" w:after="240"/>
        <w:ind w:left="400" w:right="0" w:hanging="400"/>
        <w:rPr>
          <w:rFonts w:ascii="Times New Roman" w:hAnsi="Times New Roman"/>
          <w:sz w:val="17"/>
        </w:rPr>
      </w:pPr>
      <w:r>
        <w:rPr>
          <w:rFonts w:ascii="Times New Roman" w:hAnsi="Times New Roman"/>
          <w:sz w:val="17"/>
        </w:rPr>
        <w:t>(2)             Includes revenues associated with buy/sell arrangements of $40 million for the quarter ended June 30, 2005 and $45.3 million and $73.6 million for the six months ended June 30, 2006 and 2005, respectively.  Volumes associated with these arrangements were approximately 12,800 barrels per day for the quarter ended June 30, 2005 and 21,500 and 12,100 barrels per day for the six months ended June 30, 2006 and 2005, respectively.</w:t>
      </w:r>
    </w:p>
    <w:p>
      <w:pPr>
        <w:pStyle w:val="TextBody"/>
        <w:spacing w:before="0" w:after="240"/>
        <w:ind w:left="400" w:right="0" w:hanging="400"/>
        <w:rPr>
          <w:rFonts w:ascii="Times New Roman" w:hAnsi="Times New Roman"/>
          <w:sz w:val="17"/>
        </w:rPr>
      </w:pPr>
      <w:r>
        <w:rPr>
          <w:rFonts w:ascii="Times New Roman" w:hAnsi="Times New Roman"/>
          <w:sz w:val="17"/>
        </w:rPr>
        <w:t>(3)             Includes purchases associated with buy/sell arrangements of $37.3 million for the quarter ended June 30, 2005 and $45.7 million and $68.8 million for the six months ended June 30, 2006 and 2005, respectively.  Volumes associated with these arrangements were approximately 12,800 barrels per day for the quarter ended June 30, 2005 and 21,800 and 12,100 barrels per day for the six months ended June 30, 2006 and 2005, respectively.</w:t>
      </w:r>
    </w:p>
    <w:p>
      <w:pPr>
        <w:pStyle w:val="TextBody"/>
        <w:spacing w:before="480" w:after="480"/>
        <w:ind w:left="0" w:right="0" w:hanging="0"/>
        <w:rPr>
          <w:rFonts w:ascii="Times New Roman" w:hAnsi="Times New Roman"/>
          <w:sz w:val="17"/>
        </w:rPr>
      </w:pPr>
      <w:r>
        <w:rPr>
          <w:rFonts w:ascii="Times New Roman" w:hAnsi="Times New Roman"/>
          <w:sz w:val="17"/>
        </w:rPr>
        <w:t>26</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0" w:right="0" w:firstLine="400"/>
        <w:rPr>
          <w:rFonts w:ascii="Times New Roman" w:hAnsi="Times New Roman"/>
          <w:sz w:val="17"/>
        </w:rPr>
      </w:pPr>
      <w:r>
        <w:rPr>
          <w:rFonts w:ascii="Times New Roman" w:hAnsi="Times New Roman"/>
          <w:sz w:val="17"/>
        </w:rPr>
        <w:t>Segment profit, our primary measure of segment performance, was driven by the following:</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Increased volumes and related tariff revenues  The increase in tariff revenues has occurred primarily in the second quarter of 2006 and resulted from (i) higher volumes primarily from mult-year contracts on our Basin and Capline systems coupled with (ii) higher volumes on various other systems and (iii) increased revenues from loss allowance oil of approximately $5 million and $7 million in the second quarter and first half of 2006, respectively.  As is common in the industry, our crude oil tariffs incorporate a loss allowance factor that is intended to offset losses due to evaporation, measurement and other losses in transit. The loss allowance factor averages approximately 0.2%, by volume.  We value the variance of allowance volumes to actual losses at the average market value at the time the variance occurred and the result is recorded as either an increase or decrease to tariff revenues. Gains or losses on sales of allowance oil barrels are also included in tariff revenues. Increased volumes and higher crude oil prices during the second quarter and first half of 2006 as compared to the second quarter and first half of 2005 have resulted in increased revenues related to loss allowance oil. The NYMEX averages were $70.59 and $67.13 for the second quarter and first half of 2006, respectively, as compared to $53.23 and $51.60 for the second quarter and first half of 2005, respectively.</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Field operating and general and administrative costs  Field operating costs have increased for most categories of costs for the second quarter and first half of 2006 as we have continued to grow primarily through expansion projects over the last year.  The most significant cost increases have been related to (i) payroll and benefits and (ii) utilities. Utilities increased approximately $7 million for the first six months of 2006 over the prior year period due to a variety of factors including (i) the net impact of a general increase in electricity rates and power hedges, (ii) an increase in electricity consumption and (iii) a true-up of prior and current accruals following receipt of final billing information upon expiration of an existing term arrangement with a significant electricity provider. These increased costs were partially offset by lower general and administrative costs. The decrease in general and administrative costs was primarily related to a decrease in the percentage of indirect costs allocated to the Pipeline segment in the 2006 period.</w:t>
      </w:r>
    </w:p>
    <w:p>
      <w:pPr>
        <w:pStyle w:val="TextBody"/>
        <w:spacing w:before="0" w:after="240"/>
        <w:ind w:left="0" w:right="0" w:hanging="0"/>
        <w:rPr>
          <w:rFonts w:ascii="Times New Roman" w:hAnsi="Times New Roman"/>
          <w:sz w:val="17"/>
        </w:rPr>
      </w:pPr>
      <w:r>
        <w:rPr>
          <w:rFonts w:ascii="Times New Roman" w:hAnsi="Times New Roman"/>
          <w:sz w:val="17"/>
        </w:rPr>
        <w:t>Total revenues for our Pipeline segment increased for both the three and six month periods ended June 30, 2006 as compared to the same periods ended June 30, 2005 due to a combination of the following factors</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An increase in tariff activities volumes due to new multi-year contracts with shippers as well as an increase in tariff activities revenues due to loss allowance oil (see discussion above);</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An increase in pipeline margin activities revenues for the six month period due to an increase in the average NYMEX price for crude oil in 2006 as compared to 2005.  Because the barrels that we buy and sell are generally indexed to the same pricing indices, revenues and purchases will increase and decrease with changes in market prices without significant changes to our margins related to those purchases and sales; and</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A decrease in our second quarter 2006 pipeline margin activities revenues due to the adoption of EITF 04-13 which was equally offset with pipeline margin activities purchases and does not impact segment profit (see Note 13 to our Consolidated Financial Statements).</w:t>
      </w:r>
    </w:p>
    <w:p>
      <w:pPr>
        <w:pStyle w:val="TextBody"/>
        <w:keepNext w:val="true"/>
        <w:spacing w:before="0" w:after="240"/>
        <w:ind w:left="200" w:right="0" w:firstLine="300"/>
        <w:rPr>
          <w:rFonts w:ascii="Times New Roman" w:hAnsi="Times New Roman"/>
          <w:b/>
          <w:i/>
          <w:sz w:val="17"/>
        </w:rPr>
      </w:pPr>
      <w:r>
        <w:rPr>
          <w:rFonts w:ascii="Times New Roman" w:hAnsi="Times New Roman"/>
          <w:b/>
          <w:i/>
          <w:sz w:val="17"/>
        </w:rPr>
        <w:t>Gathering, Marketing, Terminalling and Storage Operations</w:t>
      </w:r>
    </w:p>
    <w:p>
      <w:pPr>
        <w:pStyle w:val="TextBody"/>
        <w:spacing w:before="0" w:after="240"/>
        <w:ind w:left="0" w:right="0" w:firstLine="500"/>
        <w:rPr>
          <w:rFonts w:ascii="Times New Roman" w:hAnsi="Times New Roman"/>
          <w:sz w:val="17"/>
        </w:rPr>
      </w:pPr>
      <w:r>
        <w:rPr>
          <w:rFonts w:ascii="Times New Roman" w:hAnsi="Times New Roman"/>
          <w:sz w:val="17"/>
        </w:rPr>
        <w:t xml:space="preserve">As of June 30, 2006, we owned approximately 39 million barrels of active above-ground crude oil terminalling and storage facilities, approximately 15 million barrels of which relate to our gathering, marketing, terminalling and storage segment (the remaining approximately 24 million barrels of tankage are associated with our pipeline transportation operations within our pipeline segment). These facilities include a crude oil terminalling and storage facility at Cushing, Oklahoma. Cushing, which we refer to as the Cushing Interchange, is one of the largest crude oil market hubs in the United States and is the designated delivery point for New York Mercantile Exchange, or NYMEX, crude oil futures contracts. In 2005, we began construction of a 3.2 million barrel crude oil terminal at the St. James crude oil interchange in Louisiana, which is also a major crude oil trading location.  Our St. James facility is expected to </w:t>
      </w:r>
    </w:p>
    <w:p>
      <w:pPr>
        <w:pStyle w:val="TextBody"/>
        <w:spacing w:before="480" w:after="480"/>
        <w:ind w:left="0" w:right="0" w:hanging="0"/>
        <w:rPr>
          <w:rFonts w:ascii="Times New Roman" w:hAnsi="Times New Roman"/>
          <w:sz w:val="17"/>
        </w:rPr>
      </w:pPr>
      <w:r>
        <w:rPr>
          <w:rFonts w:ascii="Times New Roman" w:hAnsi="Times New Roman"/>
          <w:sz w:val="17"/>
        </w:rPr>
        <w:t>27</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240"/>
        <w:ind w:left="0" w:right="0" w:hanging="0"/>
        <w:rPr>
          <w:rFonts w:ascii="Times New Roman" w:hAnsi="Times New Roman"/>
          <w:sz w:val="17"/>
        </w:rPr>
      </w:pPr>
      <w:r>
        <w:rPr>
          <w:rFonts w:ascii="Times New Roman" w:hAnsi="Times New Roman"/>
          <w:sz w:val="17"/>
        </w:rPr>
        <w:t>be operational in mid-2007.</w:t>
      </w:r>
    </w:p>
    <w:p>
      <w:pPr>
        <w:pStyle w:val="TextBody"/>
        <w:spacing w:before="0" w:after="240"/>
        <w:ind w:left="0" w:right="0" w:firstLine="500"/>
        <w:rPr>
          <w:rFonts w:ascii="Times New Roman" w:hAnsi="Times New Roman"/>
          <w:sz w:val="17"/>
        </w:rPr>
      </w:pPr>
      <w:r>
        <w:rPr>
          <w:rFonts w:ascii="Times New Roman" w:hAnsi="Times New Roman"/>
          <w:sz w:val="17"/>
        </w:rPr>
        <w:t>On a stand-alone basis, segment profit from terminalling and storage activities is dependent on the throughput of volumes, the volume of crude oil stored and the level of fees generated from our terminalling and storage services. Our terminalling and storage activities are integrated with our gathering and marketing activities and thus the level of tankage that we allocate for our merchant activities (and therefore not available for lease to third parties) varies throughout crude oil market cycles. In a contango market (oil prices for future deliveries are higher than for current deliveries), we use our tankage to improve our gathering margins by storing crude oil we have purchased at lower prices in the current month for delivery at higher prices in future months. In a backwardated market (oil prices for future deliveries are lower than for current deliveries), we use less storage capacity, but increased marketing margins (premiums for prompt delivery resulting from higher demand) provide an offset to this reduced cash flow. This integration enables us to use our storage tanks in an effort to counter-cyclically balance and hedge our gathering and marketing activities. We believe that this combination of our terminalling and storage activities, gathering and marketing activities and our hedging activities provides a counter-cyclical balance that has a stabilizing effect on our results of operations and cash flows. In addition, we supplement the counter-cyclical balance of our asset base with derivative hedging activities in an effort to maintain a base level of margin irrespective of whether a strong or weak market exists and, in certain circumstances, to realize incremental margin during volatile market conditions. We also believe that this balance enables us to protect against downside risk while at the same time providing us with upside opportunities in volatile market conditions.</w:t>
      </w:r>
    </w:p>
    <w:p>
      <w:pPr>
        <w:pStyle w:val="TextBody"/>
        <w:spacing w:before="0" w:after="0"/>
        <w:ind w:left="0" w:right="0" w:hanging="0"/>
        <w:rPr>
          <w:rFonts w:ascii="Times New Roman" w:hAnsi="Times New Roman"/>
          <w:sz w:val="17"/>
        </w:rPr>
      </w:pPr>
      <w:r>
        <w:rPr>
          <w:rFonts w:ascii="Times New Roman" w:hAnsi="Times New Roman"/>
          <w:sz w:val="17"/>
        </w:rPr>
        <w:t>Our revenues from gathering and marketing activities reflect the sale of gathered and bulk-purchased crude oil and LPG volumes, as well as isomerization, fractionation, marketing and transportation of natural gas liquids, plus the sale of additional barrels exchanged through buy/sell arrangements entered into to supplement the margins of the gathered and bulk-purchased volumes.  Total revenues for our GMT&amp;S segment decreased for both the three and six month periods ended June 30, 2006 as compared to the same periods ended June 30, 2005 due to a combination of the following factors: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 xml:space="preserve">·      </w:t>
      </w:r>
      <w:r>
        <w:rPr>
          <w:rFonts w:ascii="Times New Roman" w:hAnsi="Times New Roman"/>
          <w:sz w:val="17"/>
        </w:rPr>
        <w:t>An increase in the average NYMEX price for crude oil in 2006 as compared to 2005 (as discussed above in Pipeline Operations).  Because the barrels that we buy and sell are generally indexed to the same pricing indices, revenues and purchases will increase and decrease with changes in market prices without significant changes to our margins related to those purchases and sales;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Symbol" w:hAnsi="Symbol"/>
          <w:sz w:val="17"/>
        </w:rPr>
        <w:t xml:space="preserve">·      </w:t>
      </w:r>
      <w:r>
        <w:rPr>
          <w:rFonts w:ascii="Times New Roman" w:hAnsi="Times New Roman"/>
          <w:sz w:val="17"/>
        </w:rPr>
        <w:t>A decrease in our second quarter 2006 GMT&amp;S revenues due to the adoption of EITF 04-13 which was equally offset with purchases and related costs and does not impact segment profit (see Note 13 to our Consolidated Financial Statements).</w:t>
      </w:r>
    </w:p>
    <w:p>
      <w:pPr>
        <w:pStyle w:val="TextBody"/>
        <w:spacing w:before="0" w:after="0"/>
        <w:ind w:left="0" w:right="0" w:hanging="0"/>
        <w:rPr/>
      </w:pPr>
      <w:r>
        <w:rPr/>
        <w:t> </w:t>
      </w:r>
    </w:p>
    <w:p>
      <w:pPr>
        <w:pStyle w:val="TextBody"/>
        <w:spacing w:before="0" w:after="240"/>
        <w:ind w:left="0" w:right="0" w:firstLine="500"/>
        <w:rPr>
          <w:rFonts w:ascii="Times New Roman" w:hAnsi="Times New Roman"/>
          <w:sz w:val="17"/>
        </w:rPr>
      </w:pPr>
      <w:r>
        <w:rPr>
          <w:rFonts w:ascii="Times New Roman" w:hAnsi="Times New Roman"/>
          <w:sz w:val="17"/>
        </w:rPr>
        <w:t>We do not anticipate that future changes in revenues will be a primary driver of segment profit. Generally, we expect our segment profit to increase or decrease directionally with increases or decreases in our GMT&amp;S segment volumes, which are comprised of (i) lease gathered volumes, (ii) LPG sales and third party processing volumes and (iii) waterborne foreign crude imported. In addition, the execution of our risk management strategies in conjunction with our assets can provide upside in certain markets. Although we believe that the combination of our lease gathered business, our storage assets and our hedging assets provides a counter-cyclical balance that provides stability in our margins, these margins are not fixed and may vary from period to period.</w:t>
      </w:r>
    </w:p>
    <w:p>
      <w:pPr>
        <w:pStyle w:val="TextBody"/>
        <w:keepNext w:val="true"/>
        <w:spacing w:before="0" w:after="240"/>
        <w:ind w:left="0" w:right="0" w:firstLine="400"/>
        <w:rPr>
          <w:rFonts w:ascii="Times New Roman" w:hAnsi="Times New Roman"/>
          <w:sz w:val="17"/>
        </w:rPr>
      </w:pPr>
      <w:r>
        <w:rPr>
          <w:rFonts w:ascii="Times New Roman" w:hAnsi="Times New Roman"/>
          <w:sz w:val="17"/>
        </w:rPr>
        <w:t>In order to evaluate the performance of this segment, management focuses on the following metrics: (i) segment profit, (ii) GMT&amp;S segment volumes and (iii) segment profit per barrel calculated on these volumes. The following table sets forth our operating results from our GMT&amp;S segment for the comparable periods indicated:</w:t>
      </w:r>
    </w:p>
    <w:p>
      <w:pPr>
        <w:pStyle w:val="TextBody"/>
        <w:spacing w:before="480" w:after="480"/>
        <w:ind w:left="0" w:right="0" w:hanging="0"/>
        <w:rPr>
          <w:rFonts w:ascii="Times New Roman" w:hAnsi="Times New Roman"/>
          <w:sz w:val="17"/>
        </w:rPr>
      </w:pPr>
      <w:r>
        <w:rPr>
          <w:rFonts w:ascii="Times New Roman" w:hAnsi="Times New Roman"/>
          <w:sz w:val="17"/>
        </w:rPr>
        <w:t>28</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339"/>
        <w:gridCol w:w="200"/>
        <w:gridCol w:w="110"/>
        <w:gridCol w:w="749"/>
        <w:gridCol w:w="202"/>
        <w:gridCol w:w="110"/>
        <w:gridCol w:w="749"/>
        <w:gridCol w:w="202"/>
        <w:gridCol w:w="110"/>
        <w:gridCol w:w="762"/>
        <w:gridCol w:w="202"/>
        <w:gridCol w:w="110"/>
        <w:gridCol w:w="762"/>
        <w:gridCol w:w="598"/>
      </w:tblGrid>
      <w:tr>
        <w:trPr/>
        <w:tc>
          <w:tcPr>
            <w:tcW w:w="5339" w:type="dxa"/>
            <w:tcBorders/>
            <w:shd w:fill="auto" w:val="clear"/>
            <w:vAlign w:val="bottom"/>
          </w:tcPr>
          <w:p>
            <w:pPr>
              <w:pStyle w:val="TableContents"/>
              <w:spacing w:lineRule="atLeast" w:line="160" w:before="0" w:after="0"/>
              <w:ind w:left="0" w:right="0" w:hanging="0"/>
              <w:rPr/>
            </w:pPr>
            <w:r>
              <w:rPr/>
              <w:t> </w:t>
            </w:r>
          </w:p>
        </w:tc>
        <w:tc>
          <w:tcPr>
            <w:tcW w:w="200" w:type="dxa"/>
            <w:tcBorders/>
            <w:shd w:fill="auto" w:val="clear"/>
            <w:vAlign w:val="bottom"/>
          </w:tcPr>
          <w:p>
            <w:pPr>
              <w:pStyle w:val="TableContents"/>
              <w:spacing w:lineRule="atLeast" w:line="160" w:before="0" w:after="0"/>
              <w:ind w:left="0" w:right="0" w:hanging="0"/>
              <w:rPr/>
            </w:pPr>
            <w:r>
              <w:rPr/>
              <w:t> </w:t>
            </w:r>
          </w:p>
        </w:tc>
        <w:tc>
          <w:tcPr>
            <w:tcW w:w="1920"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Three months ended </w:t>
              <w:br/>
              <w:t>June 30,</w:t>
            </w:r>
          </w:p>
        </w:tc>
        <w:tc>
          <w:tcPr>
            <w:tcW w:w="202" w:type="dxa"/>
            <w:tcBorders/>
            <w:shd w:fill="auto" w:val="clear"/>
            <w:vAlign w:val="bottom"/>
          </w:tcPr>
          <w:p>
            <w:pPr>
              <w:pStyle w:val="TableContents"/>
              <w:spacing w:lineRule="atLeast" w:line="160" w:before="0" w:after="0"/>
              <w:ind w:left="0" w:right="0" w:hanging="0"/>
              <w:rPr/>
            </w:pPr>
            <w:r>
              <w:rPr/>
              <w:t> </w:t>
            </w:r>
          </w:p>
        </w:tc>
        <w:tc>
          <w:tcPr>
            <w:tcW w:w="1946" w:type="dxa"/>
            <w:gridSpan w:val="5"/>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Six months ended </w:t>
              <w:br/>
              <w:t>June 30,</w:t>
            </w:r>
          </w:p>
        </w:tc>
        <w:tc>
          <w:tcPr>
            <w:tcW w:w="598" w:type="dxa"/>
            <w:tcBorders/>
            <w:shd w:fill="auto" w:val="clear"/>
            <w:vAlign w:val="bottom"/>
          </w:tcPr>
          <w:p>
            <w:pPr>
              <w:pStyle w:val="TableContents"/>
              <w:spacing w:lineRule="atLeast" w:line="160" w:before="0" w:after="0"/>
              <w:ind w:left="0" w:right="0" w:hanging="0"/>
              <w:rPr/>
            </w:pPr>
            <w:r>
              <w:rPr/>
              <w:t> </w:t>
            </w:r>
          </w:p>
        </w:tc>
      </w:tr>
      <w:tr>
        <w:trPr/>
        <w:tc>
          <w:tcPr>
            <w:tcW w:w="5339" w:type="dxa"/>
            <w:tcBorders/>
            <w:shd w:fill="auto" w:val="clear"/>
            <w:vAlign w:val="bottom"/>
          </w:tcPr>
          <w:p>
            <w:pPr>
              <w:pStyle w:val="TableContents"/>
              <w:spacing w:lineRule="atLeast" w:line="160" w:before="0" w:after="0"/>
              <w:ind w:left="0" w:right="0" w:hanging="0"/>
              <w:rPr/>
            </w:pPr>
            <w:r>
              <w:rPr/>
              <w:t> </w:t>
            </w:r>
          </w:p>
        </w:tc>
        <w:tc>
          <w:tcPr>
            <w:tcW w:w="200" w:type="dxa"/>
            <w:tcBorders/>
            <w:shd w:fill="auto" w:val="clear"/>
            <w:vAlign w:val="bottom"/>
          </w:tcPr>
          <w:p>
            <w:pPr>
              <w:pStyle w:val="TableContents"/>
              <w:spacing w:lineRule="atLeast" w:line="160" w:before="0" w:after="0"/>
              <w:ind w:left="0" w:right="0" w:hanging="0"/>
              <w:rPr/>
            </w:pPr>
            <w:r>
              <w:rPr/>
              <w:t> </w:t>
            </w:r>
          </w:p>
        </w:tc>
        <w:tc>
          <w:tcPr>
            <w:tcW w:w="859"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202" w:type="dxa"/>
            <w:tcBorders/>
            <w:shd w:fill="auto" w:val="clear"/>
            <w:vAlign w:val="bottom"/>
          </w:tcPr>
          <w:p>
            <w:pPr>
              <w:pStyle w:val="TableContents"/>
              <w:spacing w:lineRule="atLeast" w:line="160" w:before="0" w:after="0"/>
              <w:ind w:left="0" w:right="0" w:hanging="0"/>
              <w:rPr/>
            </w:pPr>
            <w:r>
              <w:rPr/>
              <w:t> </w:t>
            </w:r>
          </w:p>
        </w:tc>
        <w:tc>
          <w:tcPr>
            <w:tcW w:w="859"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202" w:type="dxa"/>
            <w:tcBorders/>
            <w:shd w:fill="auto" w:val="clear"/>
            <w:vAlign w:val="bottom"/>
          </w:tcPr>
          <w:p>
            <w:pPr>
              <w:pStyle w:val="TableContents"/>
              <w:spacing w:lineRule="atLeast" w:line="160"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2006</w:t>
            </w:r>
          </w:p>
        </w:tc>
        <w:tc>
          <w:tcPr>
            <w:tcW w:w="202" w:type="dxa"/>
            <w:tcBorders/>
            <w:shd w:fill="auto" w:val="clear"/>
            <w:vAlign w:val="bottom"/>
          </w:tcPr>
          <w:p>
            <w:pPr>
              <w:pStyle w:val="TableContents"/>
              <w:spacing w:lineRule="atLeast" w:line="160"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2005</w:t>
            </w:r>
          </w:p>
        </w:tc>
        <w:tc>
          <w:tcPr>
            <w:tcW w:w="598" w:type="dxa"/>
            <w:tcBorders/>
            <w:shd w:fill="auto" w:val="clear"/>
            <w:vAlign w:val="bottom"/>
          </w:tcPr>
          <w:p>
            <w:pPr>
              <w:pStyle w:val="TableContents"/>
              <w:spacing w:lineRule="atLeast" w:line="160" w:before="0" w:after="0"/>
              <w:ind w:left="0" w:right="0" w:hanging="0"/>
              <w:rPr/>
            </w:pPr>
            <w:r>
              <w:rPr/>
              <w:t> </w:t>
            </w:r>
          </w:p>
        </w:tc>
      </w:tr>
      <w:tr>
        <w:trPr/>
        <w:tc>
          <w:tcPr>
            <w:tcW w:w="5339" w:type="dxa"/>
            <w:tcBorders/>
            <w:shd w:fill="auto" w:val="clear"/>
            <w:vAlign w:val="bottom"/>
          </w:tcPr>
          <w:p>
            <w:pPr>
              <w:pStyle w:val="TableContents"/>
              <w:spacing w:lineRule="atLeast" w:line="160" w:before="0" w:after="0"/>
              <w:ind w:left="0" w:right="0" w:hanging="0"/>
              <w:rPr/>
            </w:pPr>
            <w:r>
              <w:rPr/>
              <w:t> </w:t>
            </w:r>
          </w:p>
        </w:tc>
        <w:tc>
          <w:tcPr>
            <w:tcW w:w="200" w:type="dxa"/>
            <w:tcBorders/>
            <w:shd w:fill="auto" w:val="clear"/>
            <w:vAlign w:val="bottom"/>
          </w:tcPr>
          <w:p>
            <w:pPr>
              <w:pStyle w:val="TableContents"/>
              <w:spacing w:lineRule="atLeast" w:line="160" w:before="0" w:after="0"/>
              <w:ind w:left="0" w:right="0" w:hanging="0"/>
              <w:rPr/>
            </w:pPr>
            <w:r>
              <w:rPr/>
              <w:t> </w:t>
            </w:r>
          </w:p>
        </w:tc>
        <w:tc>
          <w:tcPr>
            <w:tcW w:w="4068" w:type="dxa"/>
            <w:gridSpan w:val="11"/>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(dollars in millions, except per barrel amounts)</w:t>
            </w:r>
          </w:p>
        </w:tc>
        <w:tc>
          <w:tcPr>
            <w:tcW w:w="598" w:type="dxa"/>
            <w:tcBorders/>
            <w:shd w:fill="auto" w:val="clear"/>
            <w:vAlign w:val="bottom"/>
          </w:tcPr>
          <w:p>
            <w:pPr>
              <w:pStyle w:val="TableContents"/>
              <w:spacing w:lineRule="atLeast" w:line="160" w:before="0" w:after="0"/>
              <w:ind w:left="0" w:right="0" w:hanging="0"/>
              <w:rPr/>
            </w:pPr>
            <w:r>
              <w:rPr/>
              <w:t> </w:t>
            </w:r>
          </w:p>
        </w:tc>
      </w:tr>
      <w:tr>
        <w:trPr/>
        <w:tc>
          <w:tcPr>
            <w:tcW w:w="5339" w:type="dxa"/>
            <w:tcBorders/>
            <w:shd w:fill="CCEEFF" w:val="clear"/>
          </w:tcPr>
          <w:p>
            <w:pPr>
              <w:pStyle w:val="TableContents"/>
              <w:spacing w:before="0" w:after="0"/>
              <w:ind w:left="0" w:right="0" w:hanging="0"/>
              <w:rPr/>
            </w:pPr>
            <w:r>
              <w:rPr>
                <w:rFonts w:ascii="Times New Roman" w:hAnsi="Times New Roman"/>
                <w:b/>
                <w:sz w:val="17"/>
              </w:rPr>
              <w:t xml:space="preserve">Operating Results </w:t>
            </w:r>
            <w:r>
              <w:rPr>
                <w:sz w:val="11"/>
              </w:rPr>
              <w:t>(1)</w:t>
            </w:r>
          </w:p>
        </w:tc>
        <w:tc>
          <w:tcPr>
            <w:tcW w:w="20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rPr/>
            </w:pPr>
            <w:r>
              <w:rPr/>
              <w:t> </w:t>
            </w:r>
          </w:p>
        </w:tc>
        <w:tc>
          <w:tcPr>
            <w:tcW w:w="598" w:type="dxa"/>
            <w:tcBorders/>
            <w:shd w:fill="CCEEFF" w:val="clear"/>
            <w:vAlign w:val="bottom"/>
          </w:tcPr>
          <w:p>
            <w:pPr>
              <w:pStyle w:val="TableContents"/>
              <w:spacing w:before="0" w:after="0"/>
              <w:ind w:left="0" w:right="0" w:hanging="0"/>
              <w:rPr/>
            </w:pPr>
            <w:r>
              <w:rPr/>
              <w:t> </w:t>
            </w:r>
          </w:p>
        </w:tc>
      </w:tr>
      <w:tr>
        <w:trPr/>
        <w:tc>
          <w:tcPr>
            <w:tcW w:w="5339" w:type="dxa"/>
            <w:tcBorders/>
            <w:shd w:fill="auto" w:val="clear"/>
          </w:tcPr>
          <w:p>
            <w:pPr>
              <w:pStyle w:val="TableContents"/>
              <w:spacing w:before="0" w:after="0"/>
              <w:ind w:left="0" w:right="0" w:hanging="0"/>
              <w:rPr/>
            </w:pPr>
            <w:r>
              <w:rPr/>
              <w:t> </w:t>
            </w:r>
          </w:p>
        </w:tc>
        <w:tc>
          <w:tcPr>
            <w:tcW w:w="200"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rPr/>
            </w:pPr>
            <w:r>
              <w:rPr/>
              <w:t> </w:t>
            </w:r>
          </w:p>
        </w:tc>
        <w:tc>
          <w:tcPr>
            <w:tcW w:w="598" w:type="dxa"/>
            <w:tcBorders/>
            <w:shd w:fill="auto" w:val="clear"/>
            <w:vAlign w:val="bottom"/>
          </w:tcPr>
          <w:p>
            <w:pPr>
              <w:pStyle w:val="TableContents"/>
              <w:spacing w:before="0" w:after="0"/>
              <w:ind w:left="0" w:right="0" w:hanging="0"/>
              <w:rPr/>
            </w:pPr>
            <w:r>
              <w:rPr/>
              <w:t> </w:t>
            </w:r>
          </w:p>
        </w:tc>
      </w:tr>
      <w:tr>
        <w:trPr/>
        <w:tc>
          <w:tcPr>
            <w:tcW w:w="5339" w:type="dxa"/>
            <w:tcBorders/>
            <w:shd w:fill="CCEEFF" w:val="clear"/>
          </w:tcPr>
          <w:p>
            <w:pPr>
              <w:pStyle w:val="TableContents"/>
              <w:spacing w:before="0" w:after="0"/>
              <w:ind w:left="0" w:right="0" w:hanging="0"/>
              <w:rPr/>
            </w:pPr>
            <w:r>
              <w:rPr>
                <w:rFonts w:ascii="Times New Roman" w:hAnsi="Times New Roman"/>
                <w:sz w:val="17"/>
              </w:rPr>
              <w:t xml:space="preserve">Revenues </w:t>
            </w:r>
            <w:r>
              <w:rPr>
                <w:sz w:val="11"/>
              </w:rPr>
              <w:t>(2) (3)</w:t>
            </w:r>
          </w:p>
        </w:tc>
        <w:tc>
          <w:tcPr>
            <w:tcW w:w="20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4,655.3</w:t>
            </w:r>
          </w:p>
        </w:tc>
        <w:tc>
          <w:tcPr>
            <w:tcW w:w="20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6,931.0</w:t>
            </w:r>
          </w:p>
        </w:tc>
        <w:tc>
          <w:tcPr>
            <w:tcW w:w="20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13,043.9</w:t>
            </w:r>
          </w:p>
        </w:tc>
        <w:tc>
          <w:tcPr>
            <w:tcW w:w="202"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13,357.2</w:t>
            </w:r>
          </w:p>
        </w:tc>
        <w:tc>
          <w:tcPr>
            <w:tcW w:w="598" w:type="dxa"/>
            <w:tcBorders/>
            <w:shd w:fill="CCEEFF" w:val="clear"/>
            <w:vAlign w:val="bottom"/>
          </w:tcPr>
          <w:p>
            <w:pPr>
              <w:pStyle w:val="TableContents"/>
              <w:spacing w:before="0" w:after="0"/>
              <w:ind w:left="0" w:right="0" w:hanging="0"/>
              <w:rPr/>
            </w:pPr>
            <w:r>
              <w:rPr/>
              <w:t> </w:t>
            </w:r>
          </w:p>
        </w:tc>
      </w:tr>
      <w:tr>
        <w:trPr/>
        <w:tc>
          <w:tcPr>
            <w:tcW w:w="5339" w:type="dxa"/>
            <w:tcBorders/>
            <w:shd w:fill="auto" w:val="clear"/>
          </w:tcPr>
          <w:p>
            <w:pPr>
              <w:pStyle w:val="TableContents"/>
              <w:spacing w:before="0" w:after="0"/>
              <w:ind w:left="0" w:right="0" w:hanging="0"/>
              <w:rPr/>
            </w:pPr>
            <w:r>
              <w:rPr>
                <w:rFonts w:ascii="Times New Roman" w:hAnsi="Times New Roman"/>
                <w:sz w:val="17"/>
              </w:rPr>
              <w:t xml:space="preserve">Purchases and related costs </w:t>
            </w:r>
            <w:r>
              <w:rPr>
                <w:sz w:val="11"/>
              </w:rPr>
              <w:t>(4) (5)</w:t>
            </w:r>
          </w:p>
        </w:tc>
        <w:tc>
          <w:tcPr>
            <w:tcW w:w="200"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(4,532.2</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(6,834.7</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(12,809.2</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(13,204.1</w:t>
            </w:r>
          </w:p>
        </w:tc>
        <w:tc>
          <w:tcPr>
            <w:tcW w:w="5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3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Field operating costs (excluding LTIP charge)</w:t>
            </w:r>
          </w:p>
        </w:tc>
        <w:tc>
          <w:tcPr>
            <w:tcW w:w="20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(40.8</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(29.1</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(77.3</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(58.6</w:t>
            </w:r>
          </w:p>
        </w:tc>
        <w:tc>
          <w:tcPr>
            <w:tcW w:w="5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 charge - operations</w:t>
            </w:r>
          </w:p>
        </w:tc>
        <w:tc>
          <w:tcPr>
            <w:tcW w:w="200"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(0.4</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(0.7</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(1.1</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(0.9</w:t>
            </w:r>
          </w:p>
        </w:tc>
        <w:tc>
          <w:tcPr>
            <w:tcW w:w="5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39" w:type="dxa"/>
            <w:tcBorders/>
            <w:shd w:fill="CCEEFF" w:val="clear"/>
          </w:tcPr>
          <w:p>
            <w:pPr>
              <w:pStyle w:val="TableContents"/>
              <w:spacing w:before="0" w:after="0"/>
              <w:ind w:left="0" w:right="0" w:hanging="0"/>
              <w:rPr/>
            </w:pPr>
            <w:r>
              <w:rPr>
                <w:rFonts w:ascii="Times New Roman" w:hAnsi="Times New Roman"/>
                <w:sz w:val="17"/>
              </w:rPr>
              <w:t xml:space="preserve">Segment G&amp;A expenses (excluding LTIP charge) </w:t>
            </w:r>
            <w:r>
              <w:rPr>
                <w:sz w:val="11"/>
              </w:rPr>
              <w:t>(6)</w:t>
            </w:r>
          </w:p>
        </w:tc>
        <w:tc>
          <w:tcPr>
            <w:tcW w:w="20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(13.3</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(9.9</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(26.8</w:t>
            </w:r>
          </w:p>
        </w:tc>
        <w:tc>
          <w:tcPr>
            <w:tcW w:w="2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(20.0</w:t>
            </w:r>
          </w:p>
        </w:tc>
        <w:tc>
          <w:tcPr>
            <w:tcW w:w="59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 charge - general and administrative</w:t>
            </w:r>
          </w:p>
        </w:tc>
        <w:tc>
          <w:tcPr>
            <w:tcW w:w="200" w:type="dxa"/>
            <w:tcBorders/>
            <w:shd w:fill="auto"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(3.3</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(2.9</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(8.3</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(3.6</w:t>
            </w:r>
          </w:p>
        </w:tc>
        <w:tc>
          <w:tcPr>
            <w:tcW w:w="5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39" w:type="dxa"/>
            <w:tcBorders/>
            <w:shd w:fill="CCEEFF" w:val="clear"/>
          </w:tcPr>
          <w:p>
            <w:pPr>
              <w:pStyle w:val="TableContents"/>
              <w:spacing w:before="0" w:after="0"/>
              <w:ind w:left="0" w:right="0" w:hanging="0"/>
              <w:rPr/>
            </w:pPr>
            <w:r>
              <w:rPr>
                <w:rFonts w:ascii="Times New Roman" w:hAnsi="Times New Roman"/>
                <w:sz w:val="17"/>
              </w:rPr>
              <w:t xml:space="preserve">Segment profit </w:t>
            </w:r>
            <w:r>
              <w:rPr>
                <w:sz w:val="11"/>
              </w:rPr>
              <w:t>(3)</w:t>
            </w:r>
          </w:p>
        </w:tc>
        <w:tc>
          <w:tcPr>
            <w:tcW w:w="20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65.3</w:t>
            </w:r>
          </w:p>
        </w:tc>
        <w:tc>
          <w:tcPr>
            <w:tcW w:w="20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53.7</w:t>
            </w:r>
          </w:p>
        </w:tc>
        <w:tc>
          <w:tcPr>
            <w:tcW w:w="20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121.2</w:t>
            </w:r>
          </w:p>
        </w:tc>
        <w:tc>
          <w:tcPr>
            <w:tcW w:w="20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70.0</w:t>
            </w:r>
          </w:p>
        </w:tc>
        <w:tc>
          <w:tcPr>
            <w:tcW w:w="598" w:type="dxa"/>
            <w:tcBorders/>
            <w:shd w:fill="CCEEFF" w:val="clear"/>
            <w:vAlign w:val="bottom"/>
          </w:tcPr>
          <w:p>
            <w:pPr>
              <w:pStyle w:val="TableContents"/>
              <w:spacing w:before="0" w:after="0"/>
              <w:ind w:left="0" w:right="0" w:hanging="0"/>
              <w:rPr/>
            </w:pPr>
            <w:r>
              <w:rPr/>
              <w:t> </w:t>
            </w:r>
          </w:p>
        </w:tc>
      </w:tr>
      <w:tr>
        <w:trPr/>
        <w:tc>
          <w:tcPr>
            <w:tcW w:w="5339" w:type="dxa"/>
            <w:tcBorders/>
            <w:shd w:fill="auto" w:val="clear"/>
          </w:tcPr>
          <w:p>
            <w:pPr>
              <w:pStyle w:val="TableContents"/>
              <w:spacing w:before="0" w:after="0"/>
              <w:ind w:left="0" w:right="0" w:hanging="0"/>
              <w:rPr/>
            </w:pPr>
            <w:r>
              <w:rPr>
                <w:rFonts w:ascii="Times New Roman" w:hAnsi="Times New Roman"/>
                <w:sz w:val="17"/>
              </w:rPr>
              <w:t xml:space="preserve">SFAS 133 mark-to-market adjustment </w:t>
            </w:r>
            <w:r>
              <w:rPr>
                <w:sz w:val="11"/>
              </w:rPr>
              <w:t>(3)</w:t>
            </w:r>
          </w:p>
        </w:tc>
        <w:tc>
          <w:tcPr>
            <w:tcW w:w="20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(2.4</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(12.9</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(3.1</w:t>
            </w:r>
          </w:p>
        </w:tc>
        <w:tc>
          <w:tcPr>
            <w:tcW w:w="2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(26.3</w:t>
            </w:r>
          </w:p>
        </w:tc>
        <w:tc>
          <w:tcPr>
            <w:tcW w:w="59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3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0"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1.1</w:t>
            </w:r>
          </w:p>
        </w:tc>
        <w:tc>
          <w:tcPr>
            <w:tcW w:w="20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4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1.5</w:t>
            </w:r>
          </w:p>
        </w:tc>
        <w:tc>
          <w:tcPr>
            <w:tcW w:w="20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2.9</w:t>
            </w:r>
          </w:p>
        </w:tc>
        <w:tc>
          <w:tcPr>
            <w:tcW w:w="20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2.7</w:t>
            </w:r>
          </w:p>
        </w:tc>
        <w:tc>
          <w:tcPr>
            <w:tcW w:w="598" w:type="dxa"/>
            <w:tcBorders/>
            <w:shd w:fill="CCEEFF" w:val="clear"/>
            <w:vAlign w:val="bottom"/>
          </w:tcPr>
          <w:p>
            <w:pPr>
              <w:pStyle w:val="TableContents"/>
              <w:spacing w:before="0" w:after="0"/>
              <w:ind w:left="0" w:right="0" w:hanging="0"/>
              <w:rPr/>
            </w:pPr>
            <w:r>
              <w:rPr/>
              <w:t> </w:t>
            </w:r>
          </w:p>
        </w:tc>
      </w:tr>
      <w:tr>
        <w:trPr/>
        <w:tc>
          <w:tcPr>
            <w:tcW w:w="5339" w:type="dxa"/>
            <w:tcBorders/>
            <w:shd w:fill="auto" w:val="clear"/>
          </w:tcPr>
          <w:p>
            <w:pPr>
              <w:pStyle w:val="TableContents"/>
              <w:spacing w:before="0" w:after="0"/>
              <w:ind w:left="0" w:right="0" w:hanging="0"/>
              <w:rPr/>
            </w:pPr>
            <w:r>
              <w:rPr>
                <w:rFonts w:ascii="Times New Roman" w:hAnsi="Times New Roman"/>
                <w:sz w:val="17"/>
              </w:rPr>
              <w:t xml:space="preserve">Segment profit per barrel </w:t>
            </w:r>
            <w:r>
              <w:rPr>
                <w:sz w:val="11"/>
              </w:rPr>
              <w:t>(7)</w:t>
            </w:r>
          </w:p>
        </w:tc>
        <w:tc>
          <w:tcPr>
            <w:tcW w:w="200"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0.97</w:t>
            </w:r>
          </w:p>
        </w:tc>
        <w:tc>
          <w:tcPr>
            <w:tcW w:w="202"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4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0.84</w:t>
            </w:r>
          </w:p>
        </w:tc>
        <w:tc>
          <w:tcPr>
            <w:tcW w:w="202"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0.89</w:t>
            </w:r>
          </w:p>
        </w:tc>
        <w:tc>
          <w:tcPr>
            <w:tcW w:w="202"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7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1.04</w:t>
            </w:r>
          </w:p>
        </w:tc>
        <w:tc>
          <w:tcPr>
            <w:tcW w:w="598" w:type="dxa"/>
            <w:tcBorders/>
            <w:shd w:fill="auto" w:val="clear"/>
            <w:vAlign w:val="bottom"/>
          </w:tcPr>
          <w:p>
            <w:pPr>
              <w:pStyle w:val="TableContents"/>
              <w:spacing w:before="0" w:after="0"/>
              <w:ind w:left="0" w:right="0" w:hanging="0"/>
              <w:rPr/>
            </w:pPr>
            <w:r>
              <w:rPr/>
              <w:t> </w:t>
            </w:r>
          </w:p>
        </w:tc>
      </w:tr>
      <w:tr>
        <w:trPr/>
        <w:tc>
          <w:tcPr>
            <w:tcW w:w="5339" w:type="dxa"/>
            <w:tcBorders/>
            <w:shd w:fill="CCEEFF" w:val="clear"/>
          </w:tcPr>
          <w:p>
            <w:pPr>
              <w:pStyle w:val="TableContents"/>
              <w:spacing w:before="0" w:after="0"/>
              <w:ind w:left="0" w:right="0" w:hanging="0"/>
              <w:rPr>
                <w:sz w:val="17"/>
              </w:rPr>
            </w:pPr>
            <w:r>
              <w:rPr>
                <w:rFonts w:ascii="Times New Roman" w:hAnsi="Times New Roman"/>
                <w:b/>
                <w:sz w:val="17"/>
              </w:rPr>
              <w:t xml:space="preserve">Average Daily Volumes </w:t>
            </w:r>
            <w:r>
              <w:rPr>
                <w:sz w:val="17"/>
              </w:rPr>
              <w:t xml:space="preserve">(thousands of barrels per day) </w:t>
            </w:r>
            <w:r>
              <w:rPr>
                <w:sz w:val="11"/>
              </w:rPr>
              <w:t>(8)</w:t>
            </w:r>
          </w:p>
        </w:tc>
        <w:tc>
          <w:tcPr>
            <w:tcW w:w="20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rPr/>
            </w:pPr>
            <w:r>
              <w:rPr/>
              <w:t> </w:t>
            </w:r>
          </w:p>
        </w:tc>
        <w:tc>
          <w:tcPr>
            <w:tcW w:w="598" w:type="dxa"/>
            <w:tcBorders/>
            <w:shd w:fill="CCEEFF" w:val="clear"/>
            <w:vAlign w:val="bottom"/>
          </w:tcPr>
          <w:p>
            <w:pPr>
              <w:pStyle w:val="TableContents"/>
              <w:spacing w:before="0" w:after="0"/>
              <w:ind w:left="0" w:right="0" w:hanging="0"/>
              <w:rPr/>
            </w:pPr>
            <w:r>
              <w:rPr/>
              <w:t> </w:t>
            </w:r>
          </w:p>
        </w:tc>
      </w:tr>
      <w:tr>
        <w:trPr/>
        <w:tc>
          <w:tcPr>
            <w:tcW w:w="5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Crude oil lease gathered</w:t>
            </w:r>
          </w:p>
        </w:tc>
        <w:tc>
          <w:tcPr>
            <w:tcW w:w="200"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652</w:t>
            </w:r>
          </w:p>
        </w:tc>
        <w:tc>
          <w:tcPr>
            <w:tcW w:w="202"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628</w:t>
            </w:r>
          </w:p>
        </w:tc>
        <w:tc>
          <w:tcPr>
            <w:tcW w:w="202"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637</w:t>
            </w:r>
          </w:p>
        </w:tc>
        <w:tc>
          <w:tcPr>
            <w:tcW w:w="202" w:type="dxa"/>
            <w:tcBorders/>
            <w:shd w:fill="auto" w:val="clear"/>
            <w:vAlign w:val="bottom"/>
          </w:tcPr>
          <w:p>
            <w:pPr>
              <w:pStyle w:val="TableContents"/>
              <w:spacing w:before="0" w:after="0"/>
              <w:ind w:left="0" w:right="0" w:hanging="0"/>
              <w:rPr/>
            </w:pPr>
            <w:r>
              <w:rPr/>
              <w:t> </w:t>
            </w:r>
          </w:p>
        </w:tc>
        <w:tc>
          <w:tcPr>
            <w:tcW w:w="872"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625</w:t>
            </w:r>
          </w:p>
        </w:tc>
        <w:tc>
          <w:tcPr>
            <w:tcW w:w="598" w:type="dxa"/>
            <w:tcBorders/>
            <w:shd w:fill="auto" w:val="clear"/>
            <w:vAlign w:val="bottom"/>
          </w:tcPr>
          <w:p>
            <w:pPr>
              <w:pStyle w:val="TableContents"/>
              <w:spacing w:before="0" w:after="0"/>
              <w:ind w:left="0" w:right="0" w:hanging="0"/>
              <w:rPr/>
            </w:pPr>
            <w:r>
              <w:rPr/>
              <w:t> </w:t>
            </w:r>
          </w:p>
        </w:tc>
      </w:tr>
      <w:tr>
        <w:trPr/>
        <w:tc>
          <w:tcPr>
            <w:tcW w:w="533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LPG sales and third party processing</w:t>
            </w:r>
          </w:p>
        </w:tc>
        <w:tc>
          <w:tcPr>
            <w:tcW w:w="20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47</w:t>
            </w:r>
          </w:p>
        </w:tc>
        <w:tc>
          <w:tcPr>
            <w:tcW w:w="202"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26</w:t>
            </w:r>
          </w:p>
        </w:tc>
        <w:tc>
          <w:tcPr>
            <w:tcW w:w="202"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66</w:t>
            </w:r>
          </w:p>
        </w:tc>
        <w:tc>
          <w:tcPr>
            <w:tcW w:w="202"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55</w:t>
            </w:r>
          </w:p>
        </w:tc>
        <w:tc>
          <w:tcPr>
            <w:tcW w:w="598" w:type="dxa"/>
            <w:tcBorders/>
            <w:shd w:fill="CCEEFF" w:val="clear"/>
            <w:vAlign w:val="bottom"/>
          </w:tcPr>
          <w:p>
            <w:pPr>
              <w:pStyle w:val="TableContents"/>
              <w:spacing w:before="0" w:after="0"/>
              <w:ind w:left="0" w:right="0" w:hanging="0"/>
              <w:rPr/>
            </w:pPr>
            <w:r>
              <w:rPr/>
              <w:t> </w:t>
            </w:r>
          </w:p>
        </w:tc>
      </w:tr>
      <w:tr>
        <w:trPr/>
        <w:tc>
          <w:tcPr>
            <w:tcW w:w="5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Waterborne foreign crude imported</w:t>
            </w:r>
          </w:p>
        </w:tc>
        <w:tc>
          <w:tcPr>
            <w:tcW w:w="200" w:type="dxa"/>
            <w:tcBorders/>
            <w:shd w:fill="auto"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43</w:t>
            </w:r>
          </w:p>
        </w:tc>
        <w:tc>
          <w:tcPr>
            <w:tcW w:w="202" w:type="dxa"/>
            <w:tcBorders/>
            <w:shd w:fill="auto"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52</w:t>
            </w:r>
          </w:p>
        </w:tc>
        <w:tc>
          <w:tcPr>
            <w:tcW w:w="202"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50</w:t>
            </w:r>
          </w:p>
        </w:tc>
        <w:tc>
          <w:tcPr>
            <w:tcW w:w="202" w:type="dxa"/>
            <w:tcBorders/>
            <w:shd w:fill="auto" w:val="clear"/>
            <w:vAlign w:val="bottom"/>
          </w:tcPr>
          <w:p>
            <w:pPr>
              <w:pStyle w:val="TableContents"/>
              <w:spacing w:before="0" w:after="0"/>
              <w:ind w:left="0" w:right="0" w:hanging="0"/>
              <w:rPr/>
            </w:pPr>
            <w:r>
              <w:rPr/>
              <w:t> </w:t>
            </w:r>
          </w:p>
        </w:tc>
        <w:tc>
          <w:tcPr>
            <w:tcW w:w="872"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57</w:t>
            </w:r>
          </w:p>
        </w:tc>
        <w:tc>
          <w:tcPr>
            <w:tcW w:w="598" w:type="dxa"/>
            <w:tcBorders/>
            <w:shd w:fill="auto" w:val="clear"/>
            <w:vAlign w:val="bottom"/>
          </w:tcPr>
          <w:p>
            <w:pPr>
              <w:pStyle w:val="TableContents"/>
              <w:spacing w:before="0" w:after="0"/>
              <w:ind w:left="0" w:right="0" w:hanging="0"/>
              <w:rPr/>
            </w:pPr>
            <w:r>
              <w:rPr/>
              <w:t> </w:t>
            </w:r>
          </w:p>
        </w:tc>
      </w:tr>
      <w:tr>
        <w:trPr/>
        <w:tc>
          <w:tcPr>
            <w:tcW w:w="5339" w:type="dxa"/>
            <w:tcBorders/>
            <w:shd w:fill="CCEEFF" w:val="clear"/>
          </w:tcPr>
          <w:p>
            <w:pPr>
              <w:pStyle w:val="TableContents"/>
              <w:spacing w:before="0" w:after="0"/>
              <w:ind w:left="0" w:right="0" w:hanging="0"/>
              <w:rPr/>
            </w:pPr>
            <w:r>
              <w:rPr/>
              <w:t> </w:t>
            </w:r>
          </w:p>
        </w:tc>
        <w:tc>
          <w:tcPr>
            <w:tcW w:w="200"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rPr/>
            </w:pPr>
            <w:r>
              <w:rPr/>
              <w:t> </w:t>
            </w:r>
          </w:p>
        </w:tc>
        <w:tc>
          <w:tcPr>
            <w:tcW w:w="202" w:type="dxa"/>
            <w:tcBorders/>
            <w:shd w:fill="CCEEFF" w:val="clear"/>
            <w:vAlign w:val="bottom"/>
          </w:tcPr>
          <w:p>
            <w:pPr>
              <w:pStyle w:val="TableContents"/>
              <w:spacing w:before="0" w:after="0"/>
              <w:ind w:left="0" w:right="0" w:hanging="0"/>
              <w:rPr/>
            </w:pPr>
            <w:r>
              <w:rPr/>
              <w:t> </w:t>
            </w:r>
          </w:p>
        </w:tc>
        <w:tc>
          <w:tcPr>
            <w:tcW w:w="872" w:type="dxa"/>
            <w:gridSpan w:val="2"/>
            <w:tcBorders/>
            <w:shd w:fill="CCEEFF" w:val="clear"/>
            <w:vAlign w:val="bottom"/>
          </w:tcPr>
          <w:p>
            <w:pPr>
              <w:pStyle w:val="TableContents"/>
              <w:spacing w:before="0" w:after="0"/>
              <w:ind w:left="0" w:right="0" w:hanging="0"/>
              <w:rPr/>
            </w:pPr>
            <w:r>
              <w:rPr/>
              <w:t> </w:t>
            </w:r>
          </w:p>
        </w:tc>
        <w:tc>
          <w:tcPr>
            <w:tcW w:w="598" w:type="dxa"/>
            <w:tcBorders/>
            <w:shd w:fill="CCEEFF" w:val="clear"/>
            <w:vAlign w:val="bottom"/>
          </w:tcPr>
          <w:p>
            <w:pPr>
              <w:pStyle w:val="TableContents"/>
              <w:spacing w:before="0" w:after="0"/>
              <w:ind w:left="0" w:right="0" w:hanging="0"/>
              <w:rPr/>
            </w:pPr>
            <w:r>
              <w:rPr/>
              <w:t> </w:t>
            </w:r>
          </w:p>
        </w:tc>
      </w:tr>
      <w:tr>
        <w:trPr/>
        <w:tc>
          <w:tcPr>
            <w:tcW w:w="53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GMT&amp;S activities total</w:t>
            </w:r>
          </w:p>
        </w:tc>
        <w:tc>
          <w:tcPr>
            <w:tcW w:w="200" w:type="dxa"/>
            <w:tcBorders/>
            <w:shd w:fill="auto" w:val="clear"/>
            <w:vAlign w:val="bottom"/>
          </w:tcPr>
          <w:p>
            <w:pPr>
              <w:pStyle w:val="TableContents"/>
              <w:spacing w:before="0" w:after="0"/>
              <w:ind w:left="0" w:right="0" w:hanging="0"/>
              <w:rPr/>
            </w:pPr>
            <w:r>
              <w:rPr/>
              <w:t> </w:t>
            </w:r>
          </w:p>
        </w:tc>
        <w:tc>
          <w:tcPr>
            <w:tcW w:w="859"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742</w:t>
            </w:r>
          </w:p>
        </w:tc>
        <w:tc>
          <w:tcPr>
            <w:tcW w:w="202" w:type="dxa"/>
            <w:tcBorders/>
            <w:shd w:fill="auto" w:val="clear"/>
            <w:vAlign w:val="bottom"/>
          </w:tcPr>
          <w:p>
            <w:pPr>
              <w:pStyle w:val="TableContents"/>
              <w:spacing w:before="0" w:after="0"/>
              <w:ind w:left="0" w:right="0" w:hanging="0"/>
              <w:rPr/>
            </w:pPr>
            <w:r>
              <w:rPr/>
              <w:t> </w:t>
            </w:r>
          </w:p>
        </w:tc>
        <w:tc>
          <w:tcPr>
            <w:tcW w:w="859"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706</w:t>
            </w:r>
          </w:p>
        </w:tc>
        <w:tc>
          <w:tcPr>
            <w:tcW w:w="202" w:type="dxa"/>
            <w:tcBorders/>
            <w:shd w:fill="auto" w:val="clear"/>
            <w:vAlign w:val="bottom"/>
          </w:tcPr>
          <w:p>
            <w:pPr>
              <w:pStyle w:val="TableContents"/>
              <w:spacing w:before="0" w:after="0"/>
              <w:ind w:left="0" w:right="0" w:hanging="0"/>
              <w:rPr/>
            </w:pPr>
            <w:r>
              <w:rPr/>
              <w:t> </w:t>
            </w:r>
          </w:p>
        </w:tc>
        <w:tc>
          <w:tcPr>
            <w:tcW w:w="872"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753</w:t>
            </w:r>
          </w:p>
        </w:tc>
        <w:tc>
          <w:tcPr>
            <w:tcW w:w="202" w:type="dxa"/>
            <w:tcBorders/>
            <w:shd w:fill="auto" w:val="clear"/>
            <w:vAlign w:val="bottom"/>
          </w:tcPr>
          <w:p>
            <w:pPr>
              <w:pStyle w:val="TableContents"/>
              <w:spacing w:before="0" w:after="0"/>
              <w:ind w:left="0" w:right="0" w:hanging="0"/>
              <w:rPr/>
            </w:pPr>
            <w:r>
              <w:rPr/>
              <w:t> </w:t>
            </w:r>
          </w:p>
        </w:tc>
        <w:tc>
          <w:tcPr>
            <w:tcW w:w="872" w:type="dxa"/>
            <w:gridSpan w:val="2"/>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737</w:t>
            </w:r>
          </w:p>
        </w:tc>
        <w:tc>
          <w:tcPr>
            <w:tcW w:w="59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rPr/>
      </w:pPr>
      <w:r>
        <w:rPr/>
      </w:r>
    </w:p>
    <w:p>
      <w:pPr>
        <w:pStyle w:val="TextBody"/>
        <w:spacing w:before="0" w:after="240"/>
        <w:ind w:left="400" w:right="0" w:hanging="400"/>
        <w:rPr>
          <w:rFonts w:ascii="Times New Roman" w:hAnsi="Times New Roman"/>
          <w:sz w:val="17"/>
        </w:rPr>
      </w:pPr>
      <w:r>
        <w:rPr>
          <w:rFonts w:ascii="Times New Roman" w:hAnsi="Times New Roman"/>
          <w:sz w:val="11"/>
        </w:rPr>
        <w:t>(1)</w:t>
      </w:r>
      <w:r>
        <w:rPr>
          <w:rFonts w:ascii="Times New Roman" w:hAnsi="Times New Roman"/>
          <w:sz w:val="17"/>
        </w:rPr>
        <w:t>                Revenues and purchases and related costs include intersegment amounts.</w:t>
      </w:r>
    </w:p>
    <w:p>
      <w:pPr>
        <w:pStyle w:val="TextBody"/>
        <w:spacing w:before="0" w:after="240"/>
        <w:ind w:left="400" w:right="0" w:hanging="400"/>
        <w:rPr>
          <w:rFonts w:ascii="Times New Roman" w:hAnsi="Times New Roman"/>
          <w:sz w:val="17"/>
        </w:rPr>
      </w:pPr>
      <w:r>
        <w:rPr>
          <w:rFonts w:ascii="Times New Roman" w:hAnsi="Times New Roman"/>
          <w:sz w:val="11"/>
        </w:rPr>
        <w:t>(2)</w:t>
      </w:r>
      <w:r>
        <w:rPr>
          <w:rFonts w:ascii="Times New Roman" w:hAnsi="Times New Roman"/>
          <w:sz w:val="17"/>
        </w:rPr>
        <w:t>                Includes revenues associated with buy/sell arrangements of $3,706.1 million for the quarter ended June 30, 2005 and $4,717.7 million and $7,125.2 million for the six months ended June 30, 2006 and 2005, respectively.  Volumes associated with these arrangements were approximately 825,000 barrels per day for the quarter ended June 30, 2005 and 898,000 and 829,000 barrels per day for the six months ended June 30, 2006 and 2005, respectively.</w:t>
      </w:r>
    </w:p>
    <w:p>
      <w:pPr>
        <w:pStyle w:val="TextBody"/>
        <w:spacing w:before="0" w:after="240"/>
        <w:ind w:left="400" w:right="0" w:hanging="400"/>
        <w:rPr>
          <w:rFonts w:ascii="Times New Roman" w:hAnsi="Times New Roman"/>
          <w:sz w:val="17"/>
        </w:rPr>
      </w:pPr>
      <w:r>
        <w:rPr>
          <w:rFonts w:ascii="Times New Roman" w:hAnsi="Times New Roman"/>
          <w:sz w:val="11"/>
        </w:rPr>
        <w:t>(3)</w:t>
      </w:r>
      <w:r>
        <w:rPr>
          <w:rFonts w:ascii="Times New Roman" w:hAnsi="Times New Roman"/>
          <w:sz w:val="17"/>
        </w:rPr>
        <w:t>                Amounts related to SFAS 133 are included in revenues and impact segment profit.</w:t>
      </w:r>
    </w:p>
    <w:p>
      <w:pPr>
        <w:pStyle w:val="TextBody"/>
        <w:spacing w:before="0" w:after="240"/>
        <w:ind w:left="400" w:right="0" w:hanging="400"/>
        <w:rPr>
          <w:rFonts w:ascii="Times New Roman" w:hAnsi="Times New Roman"/>
          <w:sz w:val="17"/>
        </w:rPr>
      </w:pPr>
      <w:r>
        <w:rPr>
          <w:rFonts w:ascii="Times New Roman" w:hAnsi="Times New Roman"/>
          <w:sz w:val="11"/>
        </w:rPr>
        <w:t>(4)</w:t>
      </w:r>
      <w:r>
        <w:rPr>
          <w:rFonts w:ascii="Times New Roman" w:hAnsi="Times New Roman"/>
          <w:sz w:val="17"/>
        </w:rPr>
        <w:t>                Includes purchases associated with buy/sell arrangements of $3,583.6 million for the quarter ended June 30, 2005 and $4,749.4 million and $6,984.5 million for the six months ended June 30, 2006 and 2005, respectively.  Volumes associated with these arrangements were approximately 825,000 barrels per day for the quarter ended June 30, 2005 and 905,000 and 829,000 barrels per day for the six months ended June 30, 2006 and 2005, respectively.</w:t>
      </w:r>
    </w:p>
    <w:p>
      <w:pPr>
        <w:pStyle w:val="TextBody"/>
        <w:spacing w:before="0" w:after="240"/>
        <w:ind w:left="400" w:right="0" w:hanging="400"/>
        <w:rPr>
          <w:rFonts w:ascii="Times New Roman" w:hAnsi="Times New Roman"/>
          <w:sz w:val="17"/>
        </w:rPr>
      </w:pPr>
      <w:r>
        <w:rPr>
          <w:rFonts w:ascii="Times New Roman" w:hAnsi="Times New Roman"/>
          <w:sz w:val="11"/>
        </w:rPr>
        <w:t>(5)</w:t>
      </w:r>
      <w:r>
        <w:rPr>
          <w:rFonts w:ascii="Times New Roman" w:hAnsi="Times New Roman"/>
          <w:sz w:val="17"/>
        </w:rPr>
        <w:t>                Purchases and related costs include interest expense on contango and other hedged inventory purchases of approximately $13.3 million and $5.8 million for the quarters ended and $21.9 million and $9.2 million for the six months ended June 30, 2006 and 2005, respectively.</w:t>
      </w:r>
    </w:p>
    <w:p>
      <w:pPr>
        <w:pStyle w:val="TextBody"/>
        <w:spacing w:before="0" w:after="240"/>
        <w:ind w:left="400" w:right="0" w:hanging="400"/>
        <w:rPr>
          <w:rFonts w:ascii="Times New Roman" w:hAnsi="Times New Roman"/>
          <w:sz w:val="17"/>
        </w:rPr>
      </w:pPr>
      <w:r>
        <w:rPr>
          <w:rFonts w:ascii="Times New Roman" w:hAnsi="Times New Roman"/>
          <w:sz w:val="11"/>
        </w:rPr>
        <w:t>(6)</w:t>
      </w:r>
      <w:r>
        <w:rPr>
          <w:rFonts w:ascii="Times New Roman" w:hAnsi="Times New Roman"/>
          <w:sz w:val="17"/>
        </w:rPr>
        <w:t>                Segment G&amp;A expenses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year.</w:t>
      </w:r>
    </w:p>
    <w:p>
      <w:pPr>
        <w:pStyle w:val="TextBody"/>
        <w:spacing w:before="0" w:after="240"/>
        <w:ind w:left="400" w:right="0" w:hanging="400"/>
        <w:rPr>
          <w:rFonts w:ascii="Times New Roman" w:hAnsi="Times New Roman"/>
          <w:sz w:val="17"/>
        </w:rPr>
      </w:pPr>
      <w:r>
        <w:rPr>
          <w:rFonts w:ascii="Times New Roman" w:hAnsi="Times New Roman"/>
          <w:sz w:val="11"/>
        </w:rPr>
        <w:t>(7)</w:t>
      </w:r>
      <w:r>
        <w:rPr>
          <w:rFonts w:ascii="Times New Roman" w:hAnsi="Times New Roman"/>
          <w:sz w:val="17"/>
        </w:rPr>
        <w:t>                Calculated based on crude oil lease gathered, LPG sales and third party processing and waterborne foreign crude imported volumes.</w:t>
      </w:r>
    </w:p>
    <w:p>
      <w:pPr>
        <w:pStyle w:val="TextBody"/>
        <w:spacing w:before="0" w:after="240"/>
        <w:ind w:left="400" w:right="0" w:hanging="400"/>
        <w:rPr>
          <w:rFonts w:ascii="Times New Roman" w:hAnsi="Times New Roman"/>
          <w:sz w:val="17"/>
        </w:rPr>
      </w:pPr>
      <w:r>
        <w:rPr>
          <w:rFonts w:ascii="Times New Roman" w:hAnsi="Times New Roman"/>
          <w:sz w:val="11"/>
        </w:rPr>
        <w:t>(8)</w:t>
      </w:r>
      <w:r>
        <w:rPr>
          <w:rFonts w:ascii="Times New Roman" w:hAnsi="Times New Roman"/>
          <w:sz w:val="17"/>
        </w:rPr>
        <w:t>                Volumes associated with acquistions represent total volumes for the number of days we actually owned the assets divided by the number of days in the period.</w:t>
      </w:r>
    </w:p>
    <w:p>
      <w:pPr>
        <w:pStyle w:val="TextBody"/>
        <w:spacing w:before="480" w:after="480"/>
        <w:ind w:left="0" w:right="0" w:hanging="0"/>
        <w:rPr>
          <w:rFonts w:ascii="Times New Roman" w:hAnsi="Times New Roman"/>
          <w:sz w:val="17"/>
        </w:rPr>
      </w:pPr>
      <w:r>
        <w:rPr>
          <w:rFonts w:ascii="Times New Roman" w:hAnsi="Times New Roman"/>
          <w:sz w:val="17"/>
        </w:rPr>
        <w:t>29</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240"/>
        <w:ind w:left="0" w:right="0" w:firstLine="400"/>
        <w:rPr>
          <w:rFonts w:ascii="Times New Roman" w:hAnsi="Times New Roman"/>
          <w:sz w:val="17"/>
        </w:rPr>
      </w:pPr>
      <w:r>
        <w:rPr>
          <w:rFonts w:ascii="Times New Roman" w:hAnsi="Times New Roman"/>
          <w:sz w:val="17"/>
        </w:rPr>
        <w:t>Segment profit for the second quarter and first six months of 2006 exceeded the comparable 2005 period. The increase was primarily related to the following factors:</w:t>
      </w:r>
    </w:p>
    <w:p>
      <w:pPr>
        <w:pStyle w:val="TextBody"/>
        <w:spacing w:before="0" w:after="240"/>
        <w:ind w:left="720" w:right="0" w:hanging="360"/>
        <w:rPr>
          <w:rFonts w:ascii="Times New Roman" w:hAnsi="Times New Roman"/>
          <w:sz w:val="17"/>
        </w:rPr>
      </w:pPr>
      <w:r>
        <w:rPr>
          <w:rFonts w:ascii="Symbol" w:hAnsi="Symbol"/>
          <w:sz w:val="17"/>
        </w:rPr>
        <w:t>·</w:t>
      </w:r>
      <w:r>
        <w:rPr>
          <w:rFonts w:ascii="Times New Roman" w:hAnsi="Times New Roman"/>
          <w:sz w:val="17"/>
        </w:rPr>
        <w:t>                  Acquisitions  During the second quarter of 2006 we purchased Andrews Petroleum and Lone Star Trucking, which provide isomerization, fractionation, marketing and transportation services to producers and customers of natural gas liquids throughout the Western United States.  In addition, during the second quarter we purchased crude oil gathering and transportation assets and related contracts in South Louisiana.  See Note 3 to our Consolidated Financial Statements. These assets have partially contributed to the increase in crude oil lease gathered and LPG sales and third party processing volumes.</w:t>
      </w:r>
    </w:p>
    <w:p>
      <w:pPr>
        <w:pStyle w:val="TextBody"/>
        <w:spacing w:before="0" w:after="240"/>
        <w:ind w:left="720" w:right="0" w:hanging="360"/>
        <w:rPr>
          <w:rFonts w:ascii="Times New Roman" w:hAnsi="Times New Roman"/>
          <w:sz w:val="17"/>
        </w:rPr>
      </w:pPr>
      <w:r>
        <w:rPr>
          <w:rFonts w:ascii="Symbol" w:hAnsi="Symbol"/>
          <w:sz w:val="17"/>
        </w:rPr>
        <w:t>·</w:t>
      </w:r>
      <w:r>
        <w:rPr>
          <w:rFonts w:ascii="Times New Roman" w:hAnsi="Times New Roman"/>
          <w:sz w:val="17"/>
        </w:rPr>
        <w:t xml:space="preserve">                  Favorable market conditions and execution of our risk management strategies  During the first six months of 2006 and 2005, the crude oil market has experienced significantly high volatility in prices and market structure.  The NYMEX benchmark price of crude oil has ranged from $57.55 to $73.93 during the first half of 2006.  The volatile market allowed us to utilize hedging activities to optimize and enhance the margins of both our gathering and marketing and our terminalling and storage assets.  Although the market was in contango for most of the first six months of 2006 and the time spread of prices averaged approximately $1.11 versus $0.86 for the same period in 2005, this increase in spreads was offset by an increase in the cost to carry the inventory that was not only impacted by the increase in LIBOR rates but also by the increase in NYMEX prices.  Included in our GMT&amp;S segment profit is contango and other hedged inventory related interest expense of approximately $13.3 and $21.9 million for the second quarter of 2006 and the first half of 2006, respectively, which is included in Purchases and related costs in the table above. </w:t>
      </w:r>
    </w:p>
    <w:p>
      <w:pPr>
        <w:pStyle w:val="TextBody"/>
        <w:spacing w:before="0" w:after="240"/>
        <w:ind w:left="720" w:right="0" w:hanging="360"/>
        <w:rPr>
          <w:rFonts w:ascii="Times New Roman" w:hAnsi="Times New Roman"/>
          <w:sz w:val="17"/>
        </w:rPr>
      </w:pPr>
      <w:r>
        <w:rPr>
          <w:rFonts w:ascii="Symbol" w:hAnsi="Symbol"/>
          <w:sz w:val="17"/>
        </w:rPr>
        <w:t>·</w:t>
      </w:r>
      <w:r>
        <w:rPr>
          <w:rFonts w:ascii="Times New Roman" w:hAnsi="Times New Roman"/>
          <w:sz w:val="17"/>
        </w:rPr>
        <w:t>                  SFAS 133 mark-to-market  The second quarter and first six months of 2006 include SFAS 133 mark-to-market losses of $2.4 million and $3.1 million, respectively, compared to losses of $12.9 million and $26.3 million for the comparable 2005 periods.</w:t>
      </w:r>
    </w:p>
    <w:p>
      <w:pPr>
        <w:pStyle w:val="TextBody"/>
        <w:spacing w:before="0" w:after="240"/>
        <w:ind w:left="720" w:right="0" w:hanging="360"/>
        <w:rPr>
          <w:rFonts w:ascii="Times New Roman" w:hAnsi="Times New Roman"/>
          <w:sz w:val="17"/>
        </w:rPr>
      </w:pPr>
      <w:r>
        <w:rPr>
          <w:rFonts w:ascii="Symbol" w:hAnsi="Symbol"/>
          <w:sz w:val="17"/>
        </w:rPr>
        <w:t>·</w:t>
      </w:r>
      <w:r>
        <w:rPr>
          <w:rFonts w:ascii="Times New Roman" w:hAnsi="Times New Roman"/>
          <w:sz w:val="17"/>
        </w:rPr>
        <w:t>      Field operating and general and administrative costs  Partially offsetting these factors are increased field operating costs and general and administrative costs. Costs associated with trucking and LPG activities have increased as a result of expanded operations and acquisitions in 2006. In addition, the second quarter of 2006 and the six months ended June 30, 2006 include approximately $4 million and $8 million, respectively, of costs that are primarily related to third-party trucking transportation services.  Comparable costs were classified as Purchases and related costs in the 2005 period. The increase in general and administrative costs is primarily the result of an increase in the percentage of indirect costs allocated to the GMT&amp;S segment in the 2006 period as the operations have grown.</w:t>
      </w:r>
    </w:p>
    <w:p>
      <w:pPr>
        <w:pStyle w:val="TextBody"/>
        <w:spacing w:before="0" w:after="240"/>
        <w:ind w:left="0" w:right="0" w:firstLine="400"/>
        <w:rPr>
          <w:rFonts w:ascii="Times New Roman" w:hAnsi="Times New Roman"/>
          <w:sz w:val="17"/>
        </w:rPr>
      </w:pPr>
      <w:r>
        <w:rPr>
          <w:rFonts w:ascii="Times New Roman" w:hAnsi="Times New Roman"/>
          <w:sz w:val="17"/>
        </w:rPr>
        <w:t>Segment profit per barrel (calculated based on our GMT&amp;S volumes included in the table above) was $0.97 for the quarter ended June 30, 2006, compared to $0.84 for the quarter ended June 30, 2005.  Segment profit per barrel was $0.89 for the first half of 2006, compared to $1.04 for the first half of 2005. As discussed above, our current period results were strongly impacted by favorable market conditions. We are not able to predict with any reasonable level of accuracy whether market conditions will remain as favorable as have recently been experienced, and these operating results may not be indicative of sustainable performance.</w:t>
      </w:r>
    </w:p>
    <w:p>
      <w:pPr>
        <w:pStyle w:val="TextBody"/>
        <w:spacing w:before="480" w:after="480"/>
        <w:ind w:left="0" w:right="0" w:hanging="0"/>
        <w:rPr>
          <w:rFonts w:ascii="Times New Roman" w:hAnsi="Times New Roman"/>
          <w:sz w:val="17"/>
        </w:rPr>
      </w:pPr>
      <w:r>
        <w:rPr>
          <w:rFonts w:ascii="Times New Roman" w:hAnsi="Times New Roman"/>
          <w:sz w:val="17"/>
        </w:rPr>
        <w:t>30</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200" w:right="0" w:firstLine="200"/>
        <w:rPr>
          <w:rFonts w:ascii="Times New Roman" w:hAnsi="Times New Roman"/>
          <w:b/>
          <w:i/>
          <w:sz w:val="17"/>
        </w:rPr>
      </w:pPr>
      <w:r>
        <w:rPr>
          <w:rFonts w:ascii="Times New Roman" w:hAnsi="Times New Roman"/>
          <w:b/>
          <w:i/>
          <w:sz w:val="17"/>
        </w:rPr>
        <w:t>Other Expenses</w:t>
      </w:r>
    </w:p>
    <w:p>
      <w:pPr>
        <w:pStyle w:val="TextBody"/>
        <w:keepNext w:val="true"/>
        <w:spacing w:before="0" w:after="240"/>
        <w:ind w:left="600" w:right="0" w:hanging="200"/>
        <w:rPr>
          <w:rFonts w:ascii="Times New Roman" w:hAnsi="Times New Roman"/>
          <w:i/>
          <w:sz w:val="17"/>
        </w:rPr>
      </w:pPr>
      <w:r>
        <w:rPr>
          <w:rFonts w:ascii="Times New Roman" w:hAnsi="Times New Roman"/>
          <w:i/>
          <w:sz w:val="17"/>
        </w:rPr>
        <w:t>Depreciation and Amortization</w:t>
      </w:r>
    </w:p>
    <w:p>
      <w:pPr>
        <w:pStyle w:val="TextBody"/>
        <w:spacing w:before="0" w:after="240"/>
        <w:ind w:left="0" w:right="0" w:firstLine="400"/>
        <w:rPr>
          <w:rFonts w:ascii="Times New Roman" w:hAnsi="Times New Roman"/>
          <w:sz w:val="17"/>
        </w:rPr>
      </w:pPr>
      <w:r>
        <w:rPr>
          <w:rFonts w:ascii="Times New Roman" w:hAnsi="Times New Roman"/>
          <w:sz w:val="17"/>
        </w:rPr>
        <w:t>Depreciation and amortization expense increased $2 million for the second quarter of 2006 and $5 million for the first half of 2006 compared to the comparable 2005 periods primarily as a result of continued expansion in our asset base from acquisitions and internal growth projects.  The increase in the second quarter of 2006 was partially offset by a $2 million gain on sale of an idled pipeline system.  Amortization of debt issue costs totaled approximately $1 million for the first half of 2006 and was relatively flat compared to the same period in 2005.</w:t>
      </w:r>
    </w:p>
    <w:p>
      <w:pPr>
        <w:pStyle w:val="TextBody"/>
        <w:keepNext w:val="true"/>
        <w:spacing w:before="0" w:after="240"/>
        <w:ind w:left="600" w:right="0" w:hanging="200"/>
        <w:rPr>
          <w:rFonts w:ascii="Times New Roman" w:hAnsi="Times New Roman"/>
          <w:i/>
          <w:sz w:val="17"/>
        </w:rPr>
      </w:pPr>
      <w:r>
        <w:rPr>
          <w:rFonts w:ascii="Times New Roman" w:hAnsi="Times New Roman"/>
          <w:i/>
          <w:sz w:val="17"/>
        </w:rPr>
        <w:t>Interest Expense</w:t>
      </w:r>
    </w:p>
    <w:p>
      <w:pPr>
        <w:pStyle w:val="TextBody"/>
        <w:keepNext w:val="true"/>
        <w:spacing w:before="0" w:after="240"/>
        <w:ind w:left="0" w:right="0" w:firstLine="400"/>
        <w:rPr>
          <w:rFonts w:ascii="Times New Roman" w:hAnsi="Times New Roman"/>
          <w:sz w:val="17"/>
        </w:rPr>
      </w:pPr>
      <w:r>
        <w:rPr>
          <w:rFonts w:ascii="Times New Roman" w:hAnsi="Times New Roman"/>
          <w:sz w:val="17"/>
        </w:rPr>
        <w:t>Interest expense is primarily impacted by:</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our average debt balances;</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the level and maturity of fixed rate debt and interest rates associated therewith; and</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market interest rates and our interest rate hedging activities on floating rate debt.</w:t>
      </w:r>
    </w:p>
    <w:p>
      <w:pPr>
        <w:pStyle w:val="TextBody"/>
        <w:spacing w:before="0" w:after="240"/>
        <w:ind w:left="0" w:right="0" w:firstLine="400"/>
        <w:rPr>
          <w:rFonts w:ascii="Times New Roman" w:hAnsi="Times New Roman"/>
          <w:sz w:val="17"/>
        </w:rPr>
      </w:pPr>
      <w:r>
        <w:rPr>
          <w:rFonts w:ascii="Times New Roman" w:hAnsi="Times New Roman"/>
          <w:sz w:val="17"/>
        </w:rPr>
        <w:t>Interest expense increased approximately 26% and 16% in the second quarter and first six months of 2006, respectively, as compared to the second quarter and first six months of 2005, primarily due to higher average debt balances during 2006. The higher average debt balance in the first six months of 2006 was primarily related to the portion of our acquisitions that was not financed with equity, coupled with borrowings related to other capital projects and the addition of $250 million of senior notes. Our financial growth strategy is to fund our acquisitions using a balance of debt and equity.</w:t>
      </w:r>
    </w:p>
    <w:p>
      <w:pPr>
        <w:pStyle w:val="TextBody"/>
        <w:spacing w:before="0" w:after="240"/>
        <w:ind w:left="0" w:right="0" w:firstLine="400"/>
        <w:rPr>
          <w:rFonts w:ascii="Times New Roman" w:hAnsi="Times New Roman"/>
          <w:sz w:val="17"/>
        </w:rPr>
      </w:pPr>
      <w:r>
        <w:rPr>
          <w:rFonts w:ascii="Times New Roman" w:hAnsi="Times New Roman"/>
          <w:sz w:val="17"/>
        </w:rPr>
        <w:t>Interest costs attributable to borrowings for inventory stored in a contango market are included in purchases and related costs in our GMT&amp;S segment profit as we consider interest on these borrowings a direct cost to storing the inventory. These borrowings are primarily under our senior secured hedged inventory facility. These costs were approximately $13 million and $22 million for the second quarter and first six months of 2006, respectively.  In 2005 these costs were approximately $6 million and $9 million for the second quarter and first six months of 2005, respectively.</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Outlook</w:t>
      </w:r>
    </w:p>
    <w:p>
      <w:pPr>
        <w:pStyle w:val="TextBody"/>
        <w:spacing w:before="0" w:after="240"/>
        <w:ind w:left="0" w:right="0" w:firstLine="400"/>
        <w:rPr>
          <w:rFonts w:ascii="Times New Roman" w:hAnsi="Times New Roman"/>
          <w:sz w:val="17"/>
        </w:rPr>
      </w:pPr>
      <w:r>
        <w:rPr>
          <w:rFonts w:ascii="Times New Roman" w:hAnsi="Times New Roman"/>
          <w:sz w:val="17"/>
        </w:rPr>
        <w:t>This section identifies certain matters of risk and uncertainty that may affect our financial performance and results of operations in the future.</w:t>
      </w:r>
    </w:p>
    <w:p>
      <w:pPr>
        <w:pStyle w:val="TextBody"/>
        <w:spacing w:before="0" w:after="240"/>
        <w:ind w:left="0" w:right="0" w:firstLine="400"/>
        <w:rPr>
          <w:rFonts w:ascii="Times New Roman" w:hAnsi="Times New Roman"/>
          <w:sz w:val="17"/>
        </w:rPr>
      </w:pPr>
      <w:r>
        <w:rPr>
          <w:rFonts w:ascii="Times New Roman" w:hAnsi="Times New Roman"/>
          <w:i/>
          <w:sz w:val="17"/>
        </w:rPr>
        <w:t>Ongoing Acquisition Activities.</w:t>
      </w:r>
      <w:r>
        <w:rPr>
          <w:rFonts w:ascii="Times New Roman" w:hAnsi="Times New Roman"/>
          <w:sz w:val="17"/>
        </w:rPr>
        <w:t>   Consistent with our business strategy, we are continuously engaged in discussions regarding potential acquisitions by us of transportation, gathering, terminalling or storage assets and related midstream businesses. These acquisition efforts often involve assets which, if acquired, could have a material effect on our financial condition and results of operations. In an effort to prudently and economically leverage our asset base, knowledge base and skill sets, management has also expanded its efforts to encompass midstream businesses outside of the scope of our historical operations. We are presently engaged in discussions and negotiations with various parties regarding the acquisition of assets and businesses, but we can give no assurance that our current or future acquisition efforts will be successful or that any such acquisition will be completed on terms considered favorable to us. See Note 3 to our Consolidated Financial Statements.</w:t>
      </w:r>
    </w:p>
    <w:p>
      <w:pPr>
        <w:pStyle w:val="TextBody"/>
        <w:spacing w:before="0" w:after="240"/>
        <w:ind w:left="0" w:right="0" w:firstLine="400"/>
        <w:rPr>
          <w:rFonts w:ascii="Times New Roman" w:hAnsi="Times New Roman"/>
          <w:sz w:val="17"/>
        </w:rPr>
      </w:pPr>
      <w:r>
        <w:rPr>
          <w:rFonts w:ascii="Times New Roman" w:hAnsi="Times New Roman"/>
          <w:sz w:val="17"/>
        </w:rPr>
        <w:t>In June 2006, we announced that we had entered into a definitive agreement to acquire Pacific Energy Partners, L.P. (Pacific Energy). The total value of the transaction is approximately $2.4 billion, including the assumption of debt and estimated transaction costs, and is expected to close near the end of 2006.  Under the terms of the agreements, we will acquire from LB Pacific, LP and its affiliates the general partner interest and incentive distribution rights of Pacific Energy as well as 2.6 million common units and 7.8 million subordinated units for a total of $700 million in cash.  In addition, we will acquire the balance of Pacific Energys equity through a unit-for-unit merger in which each remaining unitholder of Pacific Energy will receive 0.77 newly issued PAA common units for each Pacific Energy common unit. The completion of the transaction remains subject to the approval of the unitholders of PAA and Pacific Energy as well as approvals of certain state utility commissions and the Investment Review Division of Industry Canada. Also, see Item 1A. Risk Factors for a discussion of risk factors regarding our proposed merger with Pacific.</w:t>
      </w:r>
    </w:p>
    <w:p>
      <w:pPr>
        <w:pStyle w:val="TextBody"/>
        <w:spacing w:before="0" w:after="240"/>
        <w:ind w:left="0" w:right="0" w:firstLine="400"/>
        <w:rPr>
          <w:rFonts w:ascii="Times New Roman" w:hAnsi="Times New Roman"/>
          <w:sz w:val="17"/>
        </w:rPr>
      </w:pPr>
      <w:r>
        <w:rPr>
          <w:rFonts w:ascii="Times New Roman" w:hAnsi="Times New Roman"/>
          <w:i/>
          <w:sz w:val="17"/>
        </w:rPr>
        <w:t>Longer-Term Outlook.</w:t>
      </w:r>
      <w:r>
        <w:rPr>
          <w:rFonts w:ascii="Times New Roman" w:hAnsi="Times New Roman"/>
          <w:sz w:val="17"/>
        </w:rPr>
        <w:t xml:space="preserve">   In our annual report on Form 10-K for the year ended December 31, 2005, we identified certain trends, factors and developments, many of which are beyond our control, that may affect our business in the future. We believe that the collective impact of various trends, factors and developments, has resulted in a crude oil market with high volatility that is subject to more frequent short-term swings in market prices and grade differentials and shifts in market structure. In an environment of reduced inventories and tight supply and demand balances, even relatively minor supply disruptions can cause significant price swings, which were evident in 2005 and into the first half of 2006. Conversely, despite a relatively balanced market on a </w:t>
      </w:r>
    </w:p>
    <w:p>
      <w:pPr>
        <w:pStyle w:val="TextBody"/>
        <w:spacing w:before="480" w:after="480"/>
        <w:ind w:left="0" w:right="0" w:hanging="0"/>
        <w:rPr>
          <w:rFonts w:ascii="Times New Roman" w:hAnsi="Times New Roman"/>
          <w:sz w:val="17"/>
        </w:rPr>
      </w:pPr>
      <w:r>
        <w:rPr>
          <w:rFonts w:ascii="Times New Roman" w:hAnsi="Times New Roman"/>
          <w:sz w:val="17"/>
        </w:rPr>
        <w:t>31</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240"/>
        <w:ind w:left="0" w:right="0" w:hanging="0"/>
        <w:rPr>
          <w:rFonts w:ascii="Times New Roman" w:hAnsi="Times New Roman"/>
          <w:sz w:val="17"/>
        </w:rPr>
      </w:pPr>
      <w:r>
        <w:rPr>
          <w:rFonts w:ascii="Times New Roman" w:hAnsi="Times New Roman"/>
          <w:sz w:val="17"/>
        </w:rPr>
        <w:t>global basis, competition within a given region of the U.S. could cause downward pricing pressure and significantly impact regional crude oil price differentials among crude oil grades and locations. Although we believe our business strategy is designed to manage these trends, factors and potential developments, and that we are strategically positioned to benefit from certain of these developments, there can be no assurance that we will not be negatively affected.</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Liquidity and Capital Resources</w:t>
      </w:r>
    </w:p>
    <w:p>
      <w:pPr>
        <w:pStyle w:val="TextBody"/>
        <w:keepNext w:val="true"/>
        <w:spacing w:before="0" w:after="240"/>
        <w:ind w:left="600" w:right="0" w:hanging="200"/>
        <w:rPr>
          <w:rFonts w:ascii="Times New Roman" w:hAnsi="Times New Roman"/>
          <w:b/>
          <w:i/>
          <w:sz w:val="17"/>
        </w:rPr>
      </w:pPr>
      <w:r>
        <w:rPr>
          <w:rFonts w:ascii="Times New Roman" w:hAnsi="Times New Roman"/>
          <w:b/>
          <w:i/>
          <w:sz w:val="17"/>
        </w:rPr>
        <w:t>Liquidity</w:t>
      </w:r>
    </w:p>
    <w:p>
      <w:pPr>
        <w:pStyle w:val="TextBody"/>
        <w:spacing w:before="0" w:after="240"/>
        <w:ind w:left="0" w:right="0" w:firstLine="400"/>
        <w:rPr>
          <w:rFonts w:ascii="Times New Roman" w:hAnsi="Times New Roman"/>
          <w:sz w:val="17"/>
        </w:rPr>
      </w:pPr>
      <w:r>
        <w:rPr>
          <w:rFonts w:ascii="Times New Roman" w:hAnsi="Times New Roman"/>
          <w:sz w:val="17"/>
        </w:rPr>
        <w:t>Cash generated from operations and our credit facilities are our primary sources of liquidity. At June 30, 2006, we had a working capital deficit of approximately $3 million and approximately $477 million of availability under our committed revolving credit facilities. Usage of the credit facilities is subject to compliance with covenants. We believe we are currently in compliance with all covenants.</w:t>
      </w:r>
    </w:p>
    <w:p>
      <w:pPr>
        <w:pStyle w:val="TextBody"/>
        <w:spacing w:before="0" w:after="240"/>
        <w:ind w:left="0" w:right="0" w:firstLine="400"/>
        <w:rPr>
          <w:rFonts w:ascii="Times New Roman" w:hAnsi="Times New Roman"/>
          <w:sz w:val="17"/>
        </w:rPr>
      </w:pPr>
      <w:r>
        <w:rPr>
          <w:rFonts w:ascii="Times New Roman" w:hAnsi="Times New Roman"/>
          <w:sz w:val="17"/>
        </w:rPr>
        <w:t>In July 2006, we amended our senior unsecured revolving credit facility to increase the aggregate capacity from $1.0 billion to $1.6 billion and the sub-facility for Canadian borrowings from $400 million to $600 million.  The amended facility can be expanded to $2.0 billion, subject to additional lender commitments, and has a final maturity of July 2011.</w:t>
      </w:r>
    </w:p>
    <w:p>
      <w:pPr>
        <w:pStyle w:val="TextBody"/>
        <w:spacing w:before="0" w:after="240"/>
        <w:ind w:left="0" w:right="0" w:firstLine="400"/>
        <w:rPr>
          <w:rFonts w:ascii="Times New Roman" w:hAnsi="Times New Roman"/>
          <w:sz w:val="17"/>
        </w:rPr>
      </w:pPr>
      <w:r>
        <w:rPr>
          <w:rFonts w:ascii="Times New Roman" w:hAnsi="Times New Roman"/>
          <w:sz w:val="17"/>
        </w:rPr>
        <w:t>Also in July 2006, we entered into a $1.0 billion acquisition bridge facility for the cash portion of the Pacific Energy acquisition.  Funding under the bridge facility will occur substantially contemporenously with closing of the acquisition.  The bridge facility has a final maturity date that is the earlier of two years from the date of closing the acquisition or July 2009. The bridge facility has a mandatory reduction of commitments or prepayment requirements following certain public or private debt offerings and asset sales.  Borrowings under the bridge facility will bear interest at a rate similar to our senior unsecured revolving credit facility.</w:t>
      </w:r>
    </w:p>
    <w:p>
      <w:pPr>
        <w:pStyle w:val="TextBody"/>
        <w:keepNext w:val="true"/>
        <w:spacing w:before="0" w:after="240"/>
        <w:ind w:left="600" w:right="0" w:hanging="200"/>
        <w:rPr>
          <w:rFonts w:ascii="Times New Roman" w:hAnsi="Times New Roman"/>
          <w:b/>
          <w:i/>
          <w:sz w:val="17"/>
        </w:rPr>
      </w:pPr>
      <w:r>
        <w:rPr>
          <w:rFonts w:ascii="Times New Roman" w:hAnsi="Times New Roman"/>
          <w:b/>
          <w:i/>
          <w:sz w:val="17"/>
        </w:rPr>
        <w:t>Cash generated from operations</w:t>
      </w:r>
    </w:p>
    <w:p>
      <w:pPr>
        <w:pStyle w:val="TextBody"/>
        <w:spacing w:before="0" w:after="240"/>
        <w:ind w:left="0" w:right="0" w:firstLine="400"/>
        <w:rPr>
          <w:rFonts w:ascii="Times New Roman" w:hAnsi="Times New Roman"/>
          <w:sz w:val="17"/>
        </w:rPr>
      </w:pPr>
      <w:r>
        <w:rPr>
          <w:rFonts w:ascii="Times New Roman" w:hAnsi="Times New Roman"/>
          <w:sz w:val="17"/>
        </w:rPr>
        <w:t>The crude oil market was in contango for most of the first half of 2006. Because we own crude oil storage capacity, during a contango market we can buy crude oil in the current month and simultaneously hedge the crude by selling it forward for delivery in a subsequent month. This activity can cause significant fluctuations in our cash flow from operating activities as described below.</w:t>
      </w:r>
    </w:p>
    <w:p>
      <w:pPr>
        <w:pStyle w:val="TextBody"/>
        <w:spacing w:before="0" w:after="240"/>
        <w:ind w:left="0" w:right="0" w:firstLine="400"/>
        <w:rPr>
          <w:rFonts w:ascii="Times New Roman" w:hAnsi="Times New Roman"/>
          <w:sz w:val="17"/>
        </w:rPr>
      </w:pPr>
      <w:r>
        <w:rPr>
          <w:rFonts w:ascii="Times New Roman" w:hAnsi="Times New Roman"/>
          <w:sz w:val="17"/>
        </w:rPr>
        <w:t>The primary drivers of cash generated from our operations are (i) the collection of amounts related to the sale of crude oil and LPG and the transportation of crude oil for a fee and (ii) the payment of amounts related to the purchase of crude oil and LPG and other expenses, principally field operating costs and general and administrative expenses. The cash settlement from the purchase and sale of crude oil during any particular month typically occurs within thirty days from the end of the month, except (i) in the months that we store the purchased crude oil and hedge it by selling it forward for delivery in a subsequent month because of contango market conditions or (ii) in months in which we increase our share of linefill in third party pipelines. The storage of crude oil in periods of a contango market can have a material negative impact on our cash flows from operating activities for the period in which we pay for and store the crude oil and a material positive impact in the subsequent period in which we receive proceeds from the sale of the crude oil. In the month we pay for the stored crude oil, we borrow under our credit facilities (or pay from cash on hand) to pay for the crude oil, which negatively impacts our operating cash flow. Conversely, cash flow from operating activities increases during the period in which we collect the cash from the sale of the stored crude oil. Similarly, but to a lesser extent, the level of LPG inventory stored and held for resale at period end affects our cash flow from operating activities.</w:t>
      </w:r>
    </w:p>
    <w:p>
      <w:pPr>
        <w:pStyle w:val="TextBody"/>
        <w:spacing w:before="0" w:after="240"/>
        <w:ind w:left="0" w:right="0" w:firstLine="400"/>
        <w:rPr>
          <w:rFonts w:ascii="Times New Roman" w:hAnsi="Times New Roman"/>
          <w:sz w:val="17"/>
        </w:rPr>
      </w:pPr>
      <w:r>
        <w:rPr>
          <w:rFonts w:ascii="Times New Roman" w:hAnsi="Times New Roman"/>
          <w:sz w:val="17"/>
        </w:rPr>
        <w:t>In periods when the market is not in contango, we typically sell our crude oil during the same month in which we purchase it. Our accounts payable and accounts receivable generally vary proportionately because we make payments and receive payments for the purchase and sale of crude oil in the same month, which is the month following such activity. However, when the market is in contango, our accounts receivable, accounts payable, inventory and short-term debt balances are all impacted, depending on the point of the cycle at any particular period end. As a result, we can have significant fluctuations in those working capital accounts, as we buy, store and sell crude oil.</w:t>
      </w:r>
    </w:p>
    <w:p>
      <w:pPr>
        <w:pStyle w:val="TextBody"/>
        <w:spacing w:before="0" w:after="240"/>
        <w:ind w:left="0" w:right="0" w:firstLine="400"/>
        <w:rPr>
          <w:rFonts w:ascii="Times New Roman" w:hAnsi="Times New Roman"/>
          <w:sz w:val="17"/>
        </w:rPr>
      </w:pPr>
      <w:r>
        <w:rPr>
          <w:rFonts w:ascii="Times New Roman" w:hAnsi="Times New Roman"/>
          <w:sz w:val="17"/>
        </w:rPr>
        <w:t xml:space="preserve">Cash used for operating activities was $643 million and $453 million in the first six months of 2006 and 2005, respectively, and reflects cash generated by our recurring operations (as indicated above in describing the primary drivers of cash generated from operations), offset by an increase in the amount of inventory that has been funded under our hedged inventory facility or as a working capital borrowing on our revolving credit facilty during 2006. A significant portion of the increased inventory has been purchased and stored due to contango market conditions and was paid for during the period via borrowings under our credit facilities or from cash on hand. As mentioned above, this activity has a negative impact in the period that we pay for and store the inventory. The fluctuations in our accounts receivable, inventory and accounts payable accounts during the period vary proportionally along with the fluctuations in our short-term debt balances. </w:t>
      </w:r>
    </w:p>
    <w:p>
      <w:pPr>
        <w:pStyle w:val="TextBody"/>
        <w:spacing w:before="480" w:after="480"/>
        <w:ind w:left="0" w:right="0" w:hanging="0"/>
        <w:rPr>
          <w:rFonts w:ascii="Times New Roman" w:hAnsi="Times New Roman"/>
          <w:sz w:val="17"/>
        </w:rPr>
      </w:pPr>
      <w:r>
        <w:rPr>
          <w:rFonts w:ascii="Times New Roman" w:hAnsi="Times New Roman"/>
          <w:sz w:val="17"/>
        </w:rPr>
        <w:t>32</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600" w:right="0" w:hanging="200"/>
        <w:rPr>
          <w:rFonts w:ascii="Times New Roman" w:hAnsi="Times New Roman"/>
          <w:b/>
          <w:i/>
          <w:sz w:val="17"/>
        </w:rPr>
      </w:pPr>
      <w:r>
        <w:rPr>
          <w:rFonts w:ascii="Times New Roman" w:hAnsi="Times New Roman"/>
          <w:b/>
          <w:i/>
          <w:sz w:val="17"/>
        </w:rPr>
        <w:t>Cash provided by equity and debt financing activities</w:t>
      </w:r>
    </w:p>
    <w:p>
      <w:pPr>
        <w:pStyle w:val="TextBody"/>
        <w:spacing w:before="0" w:after="240"/>
        <w:ind w:left="0" w:right="0" w:firstLine="400"/>
        <w:rPr>
          <w:rFonts w:ascii="Times New Roman" w:hAnsi="Times New Roman"/>
          <w:sz w:val="17"/>
        </w:rPr>
      </w:pPr>
      <w:r>
        <w:rPr>
          <w:rFonts w:ascii="Times New Roman" w:hAnsi="Times New Roman"/>
          <w:sz w:val="17"/>
        </w:rPr>
        <w:t>We periodically access the capital markets for both equity and debt financing. We have filed with the Securities and Exchange Commission a universal shelf registration statement that, subject to effectiveness at the time of use, allows us to issue from time to time up to an aggregate of $2 billion of debt or equity securities. At August 2, 2006, we had approximately $1.4 billion remaining under this registration statement.</w:t>
      </w:r>
    </w:p>
    <w:p>
      <w:pPr>
        <w:pStyle w:val="TextBody"/>
        <w:spacing w:before="0" w:after="240"/>
        <w:ind w:left="0" w:right="0" w:firstLine="400"/>
        <w:rPr>
          <w:rFonts w:ascii="Times New Roman" w:hAnsi="Times New Roman"/>
          <w:sz w:val="17"/>
        </w:rPr>
      </w:pPr>
      <w:r>
        <w:rPr>
          <w:rFonts w:ascii="Times New Roman" w:hAnsi="Times New Roman"/>
          <w:sz w:val="17"/>
        </w:rPr>
        <w:t xml:space="preserve">Cash provided by financing activities was approximately $1.1 billion and approximately $577 million for the six months ended June 30, 2006 and 2005, respectively. Our financing activities primarily relate to funding (i) acquisitions, (ii) internal capital projects and (iii) short-term working capital and hedged inventory borrowings related to our contango market activities. Our financing activities have primarily consisted of equity offerings, senior notes offerings and borrowings under our credit facilities. </w:t>
      </w:r>
    </w:p>
    <w:p>
      <w:pPr>
        <w:pStyle w:val="TextBody"/>
        <w:keepNext w:val="true"/>
        <w:spacing w:before="0" w:after="240"/>
        <w:ind w:left="0" w:right="0" w:firstLine="400"/>
        <w:rPr>
          <w:rFonts w:ascii="Times New Roman" w:hAnsi="Times New Roman"/>
          <w:sz w:val="17"/>
        </w:rPr>
      </w:pPr>
      <w:r>
        <w:rPr>
          <w:rFonts w:ascii="Times New Roman" w:hAnsi="Times New Roman"/>
          <w:i/>
          <w:sz w:val="17"/>
        </w:rPr>
        <w:t xml:space="preserve">Equity Offerings.   </w:t>
      </w:r>
      <w:r>
        <w:rPr>
          <w:rFonts w:ascii="Times New Roman" w:hAnsi="Times New Roman"/>
          <w:i w:val="false"/>
          <w:caps w:val="false"/>
          <w:smallCaps w:val="false"/>
          <w:sz w:val="17"/>
        </w:rPr>
        <w:t xml:space="preserve">During the six months ended June 30, 2006 and 2005, we completed equity offerings </w:t>
      </w:r>
      <w:r>
        <w:rPr>
          <w:rFonts w:ascii="Times New Roman" w:hAnsi="Times New Roman"/>
          <w:sz w:val="17"/>
        </w:rPr>
        <w:t>totaling $152.4 million and $22.3 million, respectively.  In addition, during the third quarter we issued a total of 3,720,930 common units pursuant to our existing shelf registration statement in a direct placement to a group of entities affiliated with institutional and private investors.  See Note 7 Partners Capital and Distributions and Note 10 Related Party Transactions.</w:t>
      </w:r>
    </w:p>
    <w:p>
      <w:pPr>
        <w:pStyle w:val="Heading2"/>
        <w:keepNext w:val="true"/>
        <w:spacing w:before="0" w:after="240"/>
        <w:ind w:left="0" w:right="0" w:firstLine="400"/>
        <w:rPr>
          <w:rFonts w:ascii="Times New Roman" w:hAnsi="Times New Roman"/>
          <w:b w:val="false"/>
          <w:sz w:val="17"/>
        </w:rPr>
      </w:pPr>
      <w:r>
        <w:rPr>
          <w:rFonts w:ascii="Times New Roman" w:hAnsi="Times New Roman"/>
          <w:b w:val="false"/>
          <w:i/>
          <w:sz w:val="17"/>
        </w:rPr>
        <w:t>Senior Notes and Credit Facilities</w:t>
      </w:r>
      <w:r>
        <w:rPr>
          <w:rFonts w:ascii="Times New Roman" w:hAnsi="Times New Roman"/>
          <w:b w:val="false"/>
          <w:sz w:val="17"/>
        </w:rPr>
        <w:t>.  During the six months ended June 30, 2006 and 2005 we completed the sale of senior unsecured notes as summarized in the table below (in millions):</w:t>
      </w:r>
    </w:p>
    <w:tbl>
      <w:tblPr>
        <w:tblW w:w="9355" w:type="dxa"/>
        <w:jc w:val="center"/>
        <w:tblInd w:w="0" w:type="dxa"/>
        <w:tblCellMar>
          <w:top w:w="0" w:type="dxa"/>
          <w:left w:w="0" w:type="dxa"/>
          <w:bottom w:w="0" w:type="dxa"/>
          <w:right w:w="0" w:type="dxa"/>
        </w:tblCellMar>
      </w:tblPr>
      <w:tblGrid>
        <w:gridCol w:w="630"/>
        <w:gridCol w:w="240"/>
        <w:gridCol w:w="6675"/>
        <w:gridCol w:w="240"/>
        <w:gridCol w:w="110"/>
        <w:gridCol w:w="525"/>
        <w:gridCol w:w="240"/>
        <w:gridCol w:w="110"/>
        <w:gridCol w:w="525"/>
        <w:gridCol w:w="60"/>
      </w:tblGrid>
      <w:tr>
        <w:trPr/>
        <w:tc>
          <w:tcPr>
            <w:tcW w:w="630" w:type="dxa"/>
            <w:tcBorders/>
            <w:shd w:fill="auto" w:val="clear"/>
            <w:vAlign w:val="bottom"/>
          </w:tcPr>
          <w:p>
            <w:pPr>
              <w:pStyle w:val="TableContents"/>
              <w:spacing w:before="0" w:after="283"/>
              <w:ind w:left="0" w:right="0" w:hanging="0"/>
              <w:rPr>
                <w:sz w:val="4"/>
                <w:szCs w:val="4"/>
              </w:rPr>
            </w:pPr>
            <w:r>
              <w:rPr>
                <w:sz w:val="4"/>
                <w:szCs w:val="4"/>
              </w:rPr>
            </w:r>
          </w:p>
        </w:tc>
        <w:tc>
          <w:tcPr>
            <w:tcW w:w="240" w:type="dxa"/>
            <w:tcBorders/>
            <w:shd w:fill="auto" w:val="clear"/>
            <w:vAlign w:val="bottom"/>
          </w:tcPr>
          <w:p>
            <w:pPr>
              <w:pStyle w:val="TableContents"/>
              <w:spacing w:lineRule="atLeast" w:line="160" w:before="0" w:after="0"/>
              <w:ind w:left="0" w:right="0" w:hanging="0"/>
              <w:rPr/>
            </w:pPr>
            <w:r>
              <w:rPr/>
              <w:t> </w:t>
            </w:r>
          </w:p>
        </w:tc>
        <w:tc>
          <w:tcPr>
            <w:tcW w:w="667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635"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Face</w:t>
            </w:r>
          </w:p>
        </w:tc>
        <w:tc>
          <w:tcPr>
            <w:tcW w:w="240" w:type="dxa"/>
            <w:tcBorders/>
            <w:shd w:fill="auto" w:val="clear"/>
            <w:vAlign w:val="bottom"/>
          </w:tcPr>
          <w:p>
            <w:pPr>
              <w:pStyle w:val="TableContents"/>
              <w:spacing w:lineRule="atLeast" w:line="160" w:before="0" w:after="0"/>
              <w:ind w:left="0" w:right="0" w:hanging="0"/>
              <w:rPr/>
            </w:pPr>
            <w:r>
              <w:rPr/>
              <w:t> </w:t>
            </w:r>
          </w:p>
        </w:tc>
        <w:tc>
          <w:tcPr>
            <w:tcW w:w="635"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Net</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630"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jc w:val="left"/>
              <w:rPr>
                <w:rFonts w:ascii="Times New Roman" w:hAnsi="Times New Roman"/>
                <w:b/>
                <w:sz w:val="13"/>
              </w:rPr>
            </w:pPr>
            <w:r>
              <w:rPr>
                <w:rFonts w:ascii="Times New Roman" w:hAnsi="Times New Roman"/>
                <w:b/>
                <w:sz w:val="13"/>
              </w:rPr>
              <w:t>Year</w:t>
            </w:r>
          </w:p>
        </w:tc>
        <w:tc>
          <w:tcPr>
            <w:tcW w:w="240" w:type="dxa"/>
            <w:tcBorders/>
            <w:shd w:fill="auto" w:val="clear"/>
            <w:vAlign w:val="bottom"/>
          </w:tcPr>
          <w:p>
            <w:pPr>
              <w:pStyle w:val="TableContents"/>
              <w:spacing w:lineRule="atLeast" w:line="160" w:before="0" w:after="0"/>
              <w:ind w:left="0" w:right="0" w:hanging="0"/>
              <w:rPr/>
            </w:pPr>
            <w:r>
              <w:rPr/>
              <w:t> </w:t>
            </w:r>
          </w:p>
        </w:tc>
        <w:tc>
          <w:tcPr>
            <w:tcW w:w="6675"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jc w:val="left"/>
              <w:rPr>
                <w:rFonts w:ascii="Times New Roman" w:hAnsi="Times New Roman"/>
                <w:b/>
                <w:sz w:val="13"/>
              </w:rPr>
            </w:pPr>
            <w:r>
              <w:rPr>
                <w:rFonts w:ascii="Times New Roman" w:hAnsi="Times New Roman"/>
                <w:b/>
                <w:sz w:val="13"/>
              </w:rPr>
              <w:t>Description</w:t>
            </w:r>
          </w:p>
        </w:tc>
        <w:tc>
          <w:tcPr>
            <w:tcW w:w="240" w:type="dxa"/>
            <w:tcBorders/>
            <w:shd w:fill="auto" w:val="clear"/>
            <w:vAlign w:val="bottom"/>
          </w:tcPr>
          <w:p>
            <w:pPr>
              <w:pStyle w:val="TableContents"/>
              <w:spacing w:lineRule="atLeast" w:line="160" w:before="0" w:after="0"/>
              <w:ind w:left="0" w:right="0" w:hanging="0"/>
              <w:rPr/>
            </w:pPr>
            <w:r>
              <w:rPr/>
              <w:t> </w:t>
            </w:r>
          </w:p>
        </w:tc>
        <w:tc>
          <w:tcPr>
            <w:tcW w:w="63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Value</w:t>
            </w:r>
          </w:p>
        </w:tc>
        <w:tc>
          <w:tcPr>
            <w:tcW w:w="240" w:type="dxa"/>
            <w:tcBorders/>
            <w:shd w:fill="auto" w:val="clear"/>
            <w:vAlign w:val="bottom"/>
          </w:tcPr>
          <w:p>
            <w:pPr>
              <w:pStyle w:val="TableContents"/>
              <w:spacing w:lineRule="atLeast" w:line="160" w:before="0" w:after="0"/>
              <w:ind w:left="0" w:right="0" w:hanging="0"/>
              <w:rPr/>
            </w:pPr>
            <w:r>
              <w:rPr/>
              <w:t> </w:t>
            </w:r>
          </w:p>
        </w:tc>
        <w:tc>
          <w:tcPr>
            <w:tcW w:w="635"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Proceeds</w:t>
            </w:r>
          </w:p>
        </w:tc>
        <w:tc>
          <w:tcPr>
            <w:tcW w:w="60" w:type="dxa"/>
            <w:tcBorders/>
            <w:shd w:fill="auto" w:val="clear"/>
            <w:vAlign w:val="bottom"/>
          </w:tcPr>
          <w:p>
            <w:pPr>
              <w:pStyle w:val="TableContents"/>
              <w:spacing w:lineRule="atLeast" w:line="160" w:before="0" w:after="0"/>
              <w:ind w:left="0" w:right="0" w:hanging="0"/>
              <w:rPr/>
            </w:pPr>
            <w:r>
              <w:rPr/>
              <w:t> </w:t>
            </w:r>
          </w:p>
        </w:tc>
      </w:tr>
      <w:tr>
        <w:trPr/>
        <w:tc>
          <w:tcPr>
            <w:tcW w:w="630" w:type="dxa"/>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675"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35"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35" w:type="dxa"/>
            <w:gridSpan w:val="2"/>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r>
      <w:tr>
        <w:trPr/>
        <w:tc>
          <w:tcPr>
            <w:tcW w:w="630"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2006</w:t>
            </w:r>
          </w:p>
        </w:tc>
        <w:tc>
          <w:tcPr>
            <w:tcW w:w="240" w:type="dxa"/>
            <w:tcBorders/>
            <w:shd w:fill="CCEEFF" w:val="clear"/>
            <w:vAlign w:val="bottom"/>
          </w:tcPr>
          <w:p>
            <w:pPr>
              <w:pStyle w:val="TableContents"/>
              <w:spacing w:before="0" w:after="0"/>
              <w:ind w:left="0" w:right="0" w:hanging="0"/>
              <w:rPr/>
            </w:pPr>
            <w:r>
              <w:rPr/>
              <w:t> </w:t>
            </w:r>
          </w:p>
        </w:tc>
        <w:tc>
          <w:tcPr>
            <w:tcW w:w="66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6.7% Senior Notes issued at 99.8% of face value</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250.0</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249.5</w:t>
            </w:r>
          </w:p>
        </w:tc>
        <w:tc>
          <w:tcPr>
            <w:tcW w:w="60" w:type="dxa"/>
            <w:tcBorders/>
            <w:shd w:fill="CCEEFF" w:val="clear"/>
            <w:vAlign w:val="bottom"/>
          </w:tcPr>
          <w:p>
            <w:pPr>
              <w:pStyle w:val="TableContents"/>
              <w:spacing w:before="0" w:after="0"/>
              <w:ind w:left="0" w:right="0" w:hanging="0"/>
              <w:rPr/>
            </w:pPr>
            <w:r>
              <w:rPr/>
              <w:t> </w:t>
            </w:r>
          </w:p>
        </w:tc>
      </w:tr>
      <w:tr>
        <w:trPr/>
        <w:tc>
          <w:tcPr>
            <w:tcW w:w="630" w:type="dxa"/>
            <w:tcBorders/>
            <w:shd w:fill="auto" w:val="clear"/>
          </w:tcPr>
          <w:p>
            <w:pPr>
              <w:pStyle w:val="TableContents"/>
              <w:spacing w:before="0" w:after="0"/>
              <w:ind w:left="0" w:right="0" w:hanging="0"/>
              <w:jc w:val="center"/>
              <w:rPr/>
            </w:pPr>
            <w:r>
              <w:rPr/>
              <w:t> </w:t>
            </w:r>
          </w:p>
        </w:tc>
        <w:tc>
          <w:tcPr>
            <w:tcW w:w="240" w:type="dxa"/>
            <w:tcBorders/>
            <w:shd w:fill="auto" w:val="clear"/>
            <w:vAlign w:val="bottom"/>
          </w:tcPr>
          <w:p>
            <w:pPr>
              <w:pStyle w:val="TableContents"/>
              <w:spacing w:before="0" w:after="0"/>
              <w:ind w:left="0" w:right="0" w:hanging="0"/>
              <w:rPr/>
            </w:pPr>
            <w:r>
              <w:rPr/>
              <w:t> </w:t>
            </w:r>
          </w:p>
        </w:tc>
        <w:tc>
          <w:tcPr>
            <w:tcW w:w="6675" w:type="dxa"/>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35"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635" w:type="dxa"/>
            <w:gridSpan w:val="2"/>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r>
      <w:tr>
        <w:trPr/>
        <w:tc>
          <w:tcPr>
            <w:tcW w:w="630" w:type="dxa"/>
            <w:tcBorders/>
            <w:shd w:fill="CCEEFF" w:val="clear"/>
          </w:tcPr>
          <w:p>
            <w:pPr>
              <w:pStyle w:val="TableContents"/>
              <w:spacing w:before="0" w:after="0"/>
              <w:ind w:left="0" w:right="0" w:hanging="0"/>
              <w:jc w:val="center"/>
              <w:rPr>
                <w:rFonts w:ascii="Times New Roman" w:hAnsi="Times New Roman"/>
                <w:sz w:val="17"/>
              </w:rPr>
            </w:pPr>
            <w:r>
              <w:rPr>
                <w:rFonts w:ascii="Times New Roman" w:hAnsi="Times New Roman"/>
                <w:sz w:val="17"/>
              </w:rPr>
              <w:t>2005</w:t>
            </w:r>
          </w:p>
        </w:tc>
        <w:tc>
          <w:tcPr>
            <w:tcW w:w="240" w:type="dxa"/>
            <w:tcBorders/>
            <w:shd w:fill="CCEEFF" w:val="clear"/>
            <w:vAlign w:val="bottom"/>
          </w:tcPr>
          <w:p>
            <w:pPr>
              <w:pStyle w:val="TableContents"/>
              <w:spacing w:before="0" w:after="0"/>
              <w:ind w:left="0" w:right="0" w:hanging="0"/>
              <w:rPr/>
            </w:pPr>
            <w:r>
              <w:rPr/>
              <w:t> </w:t>
            </w:r>
          </w:p>
        </w:tc>
        <w:tc>
          <w:tcPr>
            <w:tcW w:w="66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5.25% Senior Notes issued at 99.5% of face value</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150.0</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149.3</w:t>
            </w:r>
          </w:p>
        </w:tc>
        <w:tc>
          <w:tcPr>
            <w:tcW w:w="60" w:type="dxa"/>
            <w:tcBorders/>
            <w:shd w:fill="CCEEFF"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spacing w:before="0" w:after="240"/>
        <w:ind w:left="0" w:right="0" w:firstLine="400"/>
        <w:rPr>
          <w:rFonts w:ascii="Times New Roman" w:hAnsi="Times New Roman"/>
          <w:sz w:val="17"/>
        </w:rPr>
      </w:pPr>
      <w:r>
        <w:rPr>
          <w:rFonts w:ascii="Times New Roman" w:hAnsi="Times New Roman"/>
          <w:sz w:val="17"/>
        </w:rPr>
        <w:t>During the six months ended June 30, 2006 and 2005, we had net working capital and short-term hedged inventory borrowings of approximately $809 million and $647 million, respectively. These borrowings were used primarily for purchases of crude oil inventory that was stored.  See Cash generated from operations. We also had net long-term borrowings under our revolving credit facility of approximately $55 million in the six months ended June 30, 2006 and net repayments under our long-term revolving credit facilities of approximately $144 million in the six months ended June 30, 2005.</w:t>
      </w:r>
    </w:p>
    <w:p>
      <w:pPr>
        <w:pStyle w:val="TextBody"/>
        <w:spacing w:before="480" w:after="480"/>
        <w:ind w:left="0" w:right="0" w:hanging="0"/>
        <w:rPr>
          <w:rFonts w:ascii="Times New Roman" w:hAnsi="Times New Roman"/>
          <w:sz w:val="17"/>
        </w:rPr>
      </w:pPr>
      <w:r>
        <w:rPr>
          <w:rFonts w:ascii="Times New Roman" w:hAnsi="Times New Roman"/>
          <w:sz w:val="17"/>
        </w:rPr>
        <w:t>33</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600" w:right="0" w:hanging="200"/>
        <w:rPr>
          <w:rFonts w:ascii="Times New Roman" w:hAnsi="Times New Roman"/>
          <w:b/>
          <w:i/>
          <w:sz w:val="17"/>
        </w:rPr>
      </w:pPr>
      <w:r>
        <w:rPr>
          <w:rFonts w:ascii="Times New Roman" w:hAnsi="Times New Roman"/>
          <w:b/>
          <w:i/>
          <w:sz w:val="17"/>
        </w:rPr>
        <w:t>Capital Expenditures and Distributions Paid to Unitholders and General Partners</w:t>
      </w:r>
    </w:p>
    <w:p>
      <w:pPr>
        <w:pStyle w:val="TextBody"/>
        <w:spacing w:before="0" w:after="240"/>
        <w:ind w:left="0" w:right="0" w:firstLine="400"/>
        <w:rPr>
          <w:rFonts w:ascii="Times New Roman" w:hAnsi="Times New Roman"/>
          <w:sz w:val="17"/>
        </w:rPr>
      </w:pPr>
      <w:r>
        <w:rPr>
          <w:rFonts w:ascii="Times New Roman" w:hAnsi="Times New Roman"/>
          <w:sz w:val="17"/>
        </w:rPr>
        <w:t>We have made and will continue to make capital expenditures for acquisitions, expansion capital and maintenance capital. We finance these expenditures primarily with cash generated by operations and the financing activities discussed above. Our primary uses of cash are for our acquisition activities, capital expenditures for internal growth projects and distributions paid to our unitholders and general partner. See Acquisitions and Internal Growth Projects. The purchase price of the acquisitions includes cash paid, transaction costs and assumed liabilities and net working capital items. Because of the non-cash items included in the total purchase price of the acquisitions and the timing of certain cash payments, the net cash paid may differ significantly from the total purchase price of the acquisitions completed during the year.</w:t>
      </w:r>
    </w:p>
    <w:p>
      <w:pPr>
        <w:pStyle w:val="TextBody"/>
        <w:keepNext w:val="true"/>
        <w:spacing w:before="0" w:after="240"/>
        <w:ind w:left="0" w:right="0" w:firstLine="400"/>
        <w:rPr>
          <w:rFonts w:ascii="Times New Roman" w:hAnsi="Times New Roman"/>
          <w:sz w:val="17"/>
        </w:rPr>
      </w:pPr>
      <w:r>
        <w:rPr>
          <w:rFonts w:ascii="Times New Roman" w:hAnsi="Times New Roman"/>
          <w:i/>
          <w:sz w:val="17"/>
        </w:rPr>
        <w:t>Distributions to unitholders and general partner.</w:t>
      </w:r>
      <w:r>
        <w:rPr>
          <w:rFonts w:ascii="Times New Roman" w:hAnsi="Times New Roman"/>
          <w:sz w:val="17"/>
        </w:rPr>
        <w:t>   We distribute 100% of our available cash within 45 days after the end of each quarter to unitholders of record and to our general partner. Available cash is generally defined as all of our cash and cash equivalents on hand at the end of each quarter less reserves established for future requirements in the discretion of our general partner. Total cash distributions made during the first six months of 2006 and 2005 were $120 million and $93 million, respectively.  In addition, on July 14, 2006, we declared a cash distribution totaling $69 million to be paid on August 14, 2006.  See Note 7 to our Consolidated Financial Statements.</w:t>
      </w:r>
    </w:p>
    <w:p>
      <w:pPr>
        <w:pStyle w:val="TextBody"/>
        <w:keepNext w:val="true"/>
        <w:spacing w:before="0" w:after="240"/>
        <w:ind w:left="600" w:right="0" w:hanging="200"/>
        <w:rPr>
          <w:rFonts w:ascii="Times New Roman" w:hAnsi="Times New Roman"/>
          <w:b/>
          <w:i/>
          <w:sz w:val="17"/>
        </w:rPr>
      </w:pPr>
      <w:r>
        <w:rPr>
          <w:rFonts w:ascii="Times New Roman" w:hAnsi="Times New Roman"/>
          <w:b/>
          <w:i/>
          <w:sz w:val="17"/>
        </w:rPr>
        <w:t>Contingencies</w:t>
      </w:r>
    </w:p>
    <w:p>
      <w:pPr>
        <w:pStyle w:val="TextBody"/>
        <w:spacing w:before="0" w:after="240"/>
        <w:ind w:left="0" w:right="0" w:firstLine="400"/>
        <w:rPr>
          <w:rFonts w:ascii="Times New Roman" w:hAnsi="Times New Roman"/>
          <w:sz w:val="17"/>
        </w:rPr>
      </w:pPr>
      <w:r>
        <w:rPr>
          <w:rFonts w:ascii="Times New Roman" w:hAnsi="Times New Roman"/>
          <w:sz w:val="17"/>
        </w:rPr>
        <w:t>See Note 11 to our Consolidated Financial Statements.</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Commitments</w:t>
      </w:r>
    </w:p>
    <w:p>
      <w:pPr>
        <w:pStyle w:val="TextBody"/>
        <w:spacing w:before="0" w:after="240"/>
        <w:ind w:left="0" w:right="0" w:firstLine="400"/>
        <w:rPr>
          <w:rFonts w:ascii="Times New Roman" w:hAnsi="Times New Roman"/>
          <w:sz w:val="17"/>
        </w:rPr>
      </w:pPr>
      <w:r>
        <w:rPr>
          <w:rFonts w:ascii="Times New Roman" w:hAnsi="Times New Roman"/>
          <w:i/>
          <w:sz w:val="17"/>
        </w:rPr>
        <w:t>Letters of Credit.</w:t>
      </w:r>
      <w:r>
        <w:rPr>
          <w:rFonts w:ascii="Times New Roman" w:hAnsi="Times New Roman"/>
          <w:sz w:val="17"/>
        </w:rPr>
        <w:t>   In connection with our crude oil marketing, we provide certain suppliers and transporters with irrevocable standby letters of credit to secure our obligation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June 30, 2006, we had outstanding letters of credit under our credit facility of approximately $83 million.</w:t>
      </w:r>
    </w:p>
    <w:p>
      <w:pPr>
        <w:pStyle w:val="TextBody"/>
        <w:spacing w:before="0" w:after="240"/>
        <w:ind w:left="0" w:right="0" w:firstLine="400"/>
        <w:rPr>
          <w:rFonts w:ascii="Times New Roman" w:hAnsi="Times New Roman"/>
          <w:sz w:val="17"/>
        </w:rPr>
      </w:pPr>
      <w:r>
        <w:rPr>
          <w:rFonts w:ascii="Times New Roman" w:hAnsi="Times New Roman"/>
          <w:i/>
          <w:sz w:val="17"/>
        </w:rPr>
        <w:t xml:space="preserve">Other.   </w:t>
      </w:r>
      <w:r>
        <w:rPr>
          <w:rFonts w:ascii="Times New Roman" w:hAnsi="Times New Roman"/>
          <w:sz w:val="17"/>
        </w:rPr>
        <w:t>Effective May 1, 2006, we entered into a five-year agreement with a third party marine towing company to charter 22 inland tugboats and 22 tank barges. Annual charter costs are projected to be approximately $22 million, subject to escalation limited by the increase in the Producer Price IndexFinished Goods.</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Recent Accounting Pronouncements and Change in Accounting Principle</w:t>
      </w:r>
    </w:p>
    <w:p>
      <w:pPr>
        <w:pStyle w:val="TextBody"/>
        <w:spacing w:before="0" w:after="240"/>
        <w:ind w:left="0" w:right="0" w:firstLine="400"/>
        <w:rPr>
          <w:rFonts w:ascii="Times New Roman" w:hAnsi="Times New Roman"/>
          <w:sz w:val="17"/>
        </w:rPr>
      </w:pPr>
      <w:r>
        <w:rPr>
          <w:rFonts w:ascii="Times New Roman" w:hAnsi="Times New Roman"/>
          <w:sz w:val="17"/>
        </w:rPr>
        <w:t>See Note 13 to our Consolidated Financial Statements.</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Critical Accounting Policies and Estimates</w:t>
      </w:r>
    </w:p>
    <w:p>
      <w:pPr>
        <w:pStyle w:val="TextBody"/>
        <w:spacing w:before="0" w:after="240"/>
        <w:ind w:left="0" w:right="0" w:firstLine="400"/>
        <w:rPr>
          <w:rFonts w:ascii="Times New Roman" w:hAnsi="Times New Roman"/>
          <w:sz w:val="17"/>
        </w:rPr>
      </w:pPr>
      <w:r>
        <w:rPr>
          <w:rFonts w:ascii="Times New Roman" w:hAnsi="Times New Roman"/>
          <w:sz w:val="17"/>
        </w:rPr>
        <w:t>For a discussion regarding our critical accounting policies and estimates, see Item 7 of our 2005 Annual Report on Form 10-K. Also, see Note 1 to our Consolidated Financial Statements.</w:t>
      </w:r>
    </w:p>
    <w:p>
      <w:pPr>
        <w:pStyle w:val="TextBody"/>
        <w:spacing w:before="480" w:after="480"/>
        <w:ind w:left="0" w:right="0" w:hanging="0"/>
        <w:rPr>
          <w:rFonts w:ascii="Times New Roman" w:hAnsi="Times New Roman"/>
          <w:sz w:val="17"/>
        </w:rPr>
      </w:pPr>
      <w:r>
        <w:rPr>
          <w:rFonts w:ascii="Times New Roman" w:hAnsi="Times New Roman"/>
          <w:sz w:val="17"/>
        </w:rPr>
        <w:t>34</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200" w:right="0" w:hanging="200"/>
        <w:rPr>
          <w:rFonts w:ascii="Times New Roman" w:hAnsi="Times New Roman"/>
          <w:b/>
          <w:sz w:val="17"/>
        </w:rPr>
      </w:pPr>
      <w:r>
        <w:rPr>
          <w:rFonts w:ascii="Times New Roman" w:hAnsi="Times New Roman"/>
          <w:b/>
          <w:sz w:val="17"/>
        </w:rPr>
        <w:t>Forward-Looking Statements and Associated Risks</w:t>
      </w:r>
    </w:p>
    <w:p>
      <w:pPr>
        <w:pStyle w:val="TextBody"/>
        <w:keepNext w:val="true"/>
        <w:spacing w:before="0" w:after="240"/>
        <w:ind w:left="0" w:right="0" w:firstLine="40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However, the absence of these words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the success of our risk management activities;</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environmental liabilities or events that are not covered by an indemnity, insurance or existing reserves;</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maintenance of our credit rating and ability to receive open credit from our suppliers and trade counterparties;</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abrupt or severe declines or interruptions in outer continental shelf production located offshore California and transported on our pipeline system;</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declines in volumes shipped on the Basin Pipeline, Capline Pipeline and our other pipelines by us and third party shippers;</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the availability of adequate third party production volumes for transportation and marketing in the areas in which we operate;</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demand for natural gas or various grades of crude oil and resulting changes in pricing conditions or transmission throughput requirements;</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fluctuations in refinery capacity in areas supplied by our transmission lines;</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the availability of, and our ability to consummate, acquisition or combination opportunities;</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our access to capital to fund additional acquisitions and our ability to obtain debt or equity financing on satisfactory terms;</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successful integration and future performance of acquired assets or businesses and the risks associated with operating in lines of business that are distinct and separate from our historical operations;</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unanticipated changes in crude oil market structure and volatility (or lack thereof);</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the impact of current and future laws, rulings and governmental regulations;</w:t>
      </w:r>
    </w:p>
    <w:p>
      <w:pPr>
        <w:pStyle w:val="TextBody"/>
        <w:spacing w:before="120" w:after="240"/>
        <w:ind w:left="600" w:right="0" w:hanging="200"/>
        <w:rPr>
          <w:rFonts w:ascii="Times New Roman" w:hAnsi="Times New Roman"/>
          <w:sz w:val="17"/>
        </w:rPr>
      </w:pPr>
      <w:r>
        <w:rPr>
          <w:rFonts w:ascii="Symbol" w:hAnsi="Symbol"/>
          <w:sz w:val="17"/>
        </w:rPr>
        <w:t>·</w:t>
      </w:r>
      <w:r>
        <w:rPr>
          <w:rFonts w:ascii="Times New Roman" w:hAnsi="Times New Roman"/>
          <w:sz w:val="17"/>
        </w:rPr>
        <w:t>       the effects of competition;</w:t>
      </w:r>
    </w:p>
    <w:p>
      <w:pPr>
        <w:pStyle w:val="TextBody"/>
        <w:spacing w:before="120" w:after="240"/>
        <w:ind w:left="600" w:right="0" w:hanging="200"/>
        <w:rPr>
          <w:rFonts w:ascii="Times New Roman" w:hAnsi="Times New Roman"/>
          <w:sz w:val="17"/>
        </w:rPr>
      </w:pPr>
      <w:r>
        <w:rPr>
          <w:rFonts w:ascii="Symbol" w:hAnsi="Symbol"/>
          <w:sz w:val="17"/>
        </w:rPr>
        <w:t>·</w:t>
      </w:r>
      <w:r>
        <w:rPr>
          <w:rFonts w:ascii="Times New Roman" w:hAnsi="Times New Roman"/>
          <w:sz w:val="17"/>
        </w:rPr>
        <w:t>       continued creditworthiness of, and performance by, our counterparties;</w:t>
      </w:r>
    </w:p>
    <w:p>
      <w:pPr>
        <w:pStyle w:val="TextBody"/>
        <w:spacing w:before="120" w:after="240"/>
        <w:ind w:left="600" w:right="0" w:hanging="200"/>
        <w:rPr>
          <w:rFonts w:ascii="Times New Roman" w:hAnsi="Times New Roman"/>
          <w:sz w:val="17"/>
        </w:rPr>
      </w:pPr>
      <w:r>
        <w:rPr>
          <w:rFonts w:ascii="Symbol" w:hAnsi="Symbol"/>
          <w:sz w:val="17"/>
        </w:rPr>
        <w:t>·</w:t>
      </w:r>
      <w:r>
        <w:rPr>
          <w:rFonts w:ascii="Times New Roman" w:hAnsi="Times New Roman"/>
          <w:sz w:val="17"/>
        </w:rPr>
        <w:t>       interruptions in service and fluctuations in rates of third party pipelines;</w:t>
      </w:r>
    </w:p>
    <w:p>
      <w:pPr>
        <w:pStyle w:val="TextBody"/>
        <w:spacing w:before="120" w:after="240"/>
        <w:ind w:left="600" w:right="0" w:hanging="200"/>
        <w:rPr>
          <w:rFonts w:ascii="Times New Roman" w:hAnsi="Times New Roman"/>
          <w:sz w:val="17"/>
        </w:rPr>
      </w:pPr>
      <w:r>
        <w:rPr>
          <w:rFonts w:ascii="Symbol" w:hAnsi="Symbol"/>
          <w:sz w:val="17"/>
        </w:rPr>
        <w:t>·</w:t>
      </w:r>
      <w:r>
        <w:rPr>
          <w:rFonts w:ascii="Times New Roman" w:hAnsi="Times New Roman"/>
          <w:sz w:val="17"/>
        </w:rPr>
        <w:t>       increased costs or lack of availability of insurance;</w:t>
      </w:r>
    </w:p>
    <w:p>
      <w:pPr>
        <w:pStyle w:val="TextBody"/>
        <w:spacing w:before="120" w:after="240"/>
        <w:ind w:left="600" w:right="0" w:hanging="200"/>
        <w:rPr>
          <w:rFonts w:ascii="Times New Roman" w:hAnsi="Times New Roman"/>
          <w:sz w:val="17"/>
        </w:rPr>
      </w:pPr>
      <w:r>
        <w:rPr>
          <w:rFonts w:ascii="Symbol" w:hAnsi="Symbol"/>
          <w:sz w:val="17"/>
        </w:rPr>
        <w:t>·</w:t>
      </w:r>
      <w:r>
        <w:rPr>
          <w:rFonts w:ascii="Times New Roman" w:hAnsi="Times New Roman"/>
          <w:sz w:val="17"/>
        </w:rPr>
        <w:t>       fluctuations in the debt and equity markets, including the price of our units at the time of vesting under our Long-Term Incentive Plans;</w:t>
      </w:r>
    </w:p>
    <w:p>
      <w:pPr>
        <w:pStyle w:val="TextBody"/>
        <w:spacing w:before="120" w:after="240"/>
        <w:ind w:left="600" w:right="0" w:hanging="200"/>
        <w:rPr>
          <w:rFonts w:ascii="Times New Roman" w:hAnsi="Times New Roman"/>
          <w:sz w:val="17"/>
        </w:rPr>
      </w:pPr>
      <w:r>
        <w:rPr>
          <w:rFonts w:ascii="Symbol" w:hAnsi="Symbol"/>
          <w:sz w:val="17"/>
        </w:rPr>
        <w:t>·</w:t>
      </w:r>
      <w:r>
        <w:rPr>
          <w:rFonts w:ascii="Times New Roman" w:hAnsi="Times New Roman"/>
          <w:sz w:val="17"/>
        </w:rPr>
        <w:t>       the currency exchange rate of the Canadian dollar;</w:t>
      </w:r>
    </w:p>
    <w:p>
      <w:pPr>
        <w:pStyle w:val="TextBody"/>
        <w:spacing w:before="120" w:after="240"/>
        <w:ind w:left="600" w:right="0" w:hanging="200"/>
        <w:rPr>
          <w:rFonts w:ascii="Times New Roman" w:hAnsi="Times New Roman"/>
          <w:sz w:val="17"/>
        </w:rPr>
      </w:pPr>
      <w:r>
        <w:rPr>
          <w:rFonts w:ascii="Symbol" w:hAnsi="Symbol"/>
          <w:sz w:val="17"/>
        </w:rPr>
        <w:t>·</w:t>
      </w:r>
      <w:r>
        <w:rPr>
          <w:rFonts w:ascii="Times New Roman" w:hAnsi="Times New Roman"/>
          <w:sz w:val="17"/>
        </w:rPr>
        <w:t>       the impact of crude oil and natural gas price fluctuations;</w:t>
      </w:r>
    </w:p>
    <w:p>
      <w:pPr>
        <w:pStyle w:val="TextBody"/>
        <w:spacing w:before="120" w:after="240"/>
        <w:ind w:left="600" w:right="0" w:hanging="200"/>
        <w:rPr>
          <w:rFonts w:ascii="Times New Roman" w:hAnsi="Times New Roman"/>
          <w:sz w:val="17"/>
        </w:rPr>
      </w:pPr>
      <w:r>
        <w:rPr>
          <w:rFonts w:ascii="Symbol" w:hAnsi="Symbol"/>
          <w:sz w:val="17"/>
        </w:rPr>
        <w:t>·</w:t>
      </w:r>
      <w:r>
        <w:rPr>
          <w:rFonts w:ascii="Times New Roman" w:hAnsi="Times New Roman"/>
          <w:sz w:val="17"/>
        </w:rPr>
        <w:t>       shortages or cost increases of power supplies, materials or labor;</w:t>
      </w:r>
    </w:p>
    <w:p>
      <w:pPr>
        <w:pStyle w:val="TextBody"/>
        <w:spacing w:before="120" w:after="240"/>
        <w:ind w:left="600" w:right="0" w:hanging="200"/>
        <w:rPr>
          <w:rFonts w:ascii="Times New Roman" w:hAnsi="Times New Roman"/>
          <w:sz w:val="17"/>
        </w:rPr>
      </w:pPr>
      <w:r>
        <w:rPr>
          <w:rFonts w:ascii="Symbol" w:hAnsi="Symbol"/>
          <w:sz w:val="17"/>
        </w:rPr>
        <w:t>·</w:t>
      </w:r>
      <w:r>
        <w:rPr>
          <w:rFonts w:ascii="Times New Roman" w:hAnsi="Times New Roman"/>
          <w:sz w:val="17"/>
        </w:rPr>
        <w:t>       weather interference with business operations or project construction;</w:t>
      </w:r>
    </w:p>
    <w:p>
      <w:pPr>
        <w:pStyle w:val="TextBody"/>
        <w:spacing w:before="120" w:after="240"/>
        <w:ind w:left="600" w:right="0" w:hanging="200"/>
        <w:rPr>
          <w:rFonts w:ascii="Times New Roman" w:hAnsi="Times New Roman"/>
          <w:sz w:val="17"/>
        </w:rPr>
      </w:pPr>
      <w:r>
        <w:rPr>
          <w:rFonts w:ascii="Symbol" w:hAnsi="Symbol"/>
          <w:sz w:val="17"/>
        </w:rPr>
        <w:t>·</w:t>
      </w:r>
      <w:r>
        <w:rPr>
          <w:rFonts w:ascii="Times New Roman" w:hAnsi="Times New Roman"/>
          <w:sz w:val="17"/>
        </w:rPr>
        <w:t>       general economic, market or business conditions; and</w:t>
      </w:r>
    </w:p>
    <w:p>
      <w:pPr>
        <w:pStyle w:val="TextBody"/>
        <w:spacing w:before="480" w:after="480"/>
        <w:ind w:left="0" w:right="0" w:hanging="0"/>
        <w:rPr>
          <w:rFonts w:ascii="Times New Roman" w:hAnsi="Times New Roman"/>
          <w:sz w:val="17"/>
        </w:rPr>
      </w:pPr>
      <w:r>
        <w:rPr>
          <w:rFonts w:ascii="Times New Roman" w:hAnsi="Times New Roman"/>
          <w:sz w:val="17"/>
        </w:rPr>
        <w:t>35</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240"/>
        <w:ind w:left="600" w:right="0" w:hanging="200"/>
        <w:rPr>
          <w:rFonts w:ascii="Times New Roman" w:hAnsi="Times New Roman"/>
          <w:sz w:val="17"/>
        </w:rPr>
      </w:pPr>
      <w:r>
        <w:rPr>
          <w:rFonts w:ascii="Symbol" w:hAnsi="Symbol"/>
          <w:sz w:val="17"/>
        </w:rPr>
        <w:t>·</w:t>
      </w:r>
      <w:r>
        <w:rPr>
          <w:rFonts w:ascii="Times New Roman" w:hAnsi="Times New Roman"/>
          <w:sz w:val="17"/>
        </w:rPr>
        <w:t>       other factors and uncertainties inherent in the marketing, transportation, terminalling, gathering and storage of crude oil and liquefied petroleum gas.</w:t>
      </w:r>
    </w:p>
    <w:p>
      <w:pPr>
        <w:pStyle w:val="TextBody"/>
        <w:spacing w:before="0" w:after="240"/>
        <w:ind w:left="0" w:right="0" w:firstLine="400"/>
        <w:rPr>
          <w:rFonts w:ascii="Times New Roman" w:hAnsi="Times New Roman"/>
          <w:sz w:val="17"/>
        </w:rPr>
      </w:pPr>
      <w:r>
        <w:rPr>
          <w:rFonts w:ascii="Times New Roman" w:hAnsi="Times New Roman"/>
          <w:sz w:val="17"/>
        </w:rPr>
        <w:t>Other factors, such as the Risks Related to Our Business discussed in Item 1A. Risk Factors of our most recent annual report on Form 10-K, the factors discussed in Item 1A of Part II of this report, and factors that are unknown or unpredictable, could also have a material adverse effect on future results. Except as required by applicable securities laws, we do not intend to update these forward-looking statements and information.</w:t>
      </w:r>
    </w:p>
    <w:p>
      <w:pPr>
        <w:pStyle w:val="TextBody"/>
        <w:keepNext w:val="true"/>
        <w:spacing w:before="0" w:after="240"/>
        <w:ind w:left="940" w:right="0" w:hanging="940"/>
        <w:rPr>
          <w:rFonts w:ascii="Times New Roman" w:hAnsi="Times New Roman"/>
          <w:b/>
          <w:sz w:val="17"/>
        </w:rPr>
      </w:pPr>
      <w:r>
        <w:rPr>
          <w:rFonts w:ascii="Times New Roman" w:hAnsi="Times New Roman"/>
          <w:b/>
          <w:sz w:val="17"/>
        </w:rPr>
        <w:t>Item 3.                          QUANTITATIVE AND QUALITATIVE DISCLOSURES ABOUT MARKET RISK</w:t>
      </w:r>
      <w:bookmarkStart w:id="13" w:name="Item3_QuantitativeAndQualitativeD_140827"/>
      <w:bookmarkEnd w:id="13"/>
    </w:p>
    <w:p>
      <w:pPr>
        <w:pStyle w:val="TextBody"/>
        <w:keepNext w:val="true"/>
        <w:spacing w:before="0" w:after="240"/>
        <w:ind w:left="0" w:right="0" w:firstLine="400"/>
        <w:rPr>
          <w:rFonts w:ascii="Times New Roman" w:hAnsi="Times New Roman"/>
          <w:sz w:val="17"/>
        </w:rPr>
      </w:pPr>
      <w:r>
        <w:rPr>
          <w:rFonts w:ascii="Times New Roman" w:hAnsi="Times New Roman"/>
          <w:sz w:val="17"/>
        </w:rPr>
        <w:t>The following should be read in conjunction with Quantitative and Qualitative Disclosures About Market Risks included in Item 7A in our 2005 Annual Report on Form 10-K. There have been no material changes in that information other than as discussed below. Also, see Note 9 to our Consolidated Financial Statements for additional discussion related to derivative instruments and hedging activities.</w:t>
      </w:r>
    </w:p>
    <w:p>
      <w:pPr>
        <w:pStyle w:val="TextBody"/>
        <w:keepNext w:val="true"/>
        <w:spacing w:before="0" w:after="240"/>
        <w:ind w:left="600" w:right="0" w:hanging="200"/>
        <w:rPr>
          <w:rFonts w:ascii="Times New Roman" w:hAnsi="Times New Roman"/>
          <w:b/>
          <w:i/>
          <w:sz w:val="17"/>
        </w:rPr>
      </w:pPr>
      <w:r>
        <w:rPr>
          <w:rFonts w:ascii="Times New Roman" w:hAnsi="Times New Roman"/>
          <w:b/>
          <w:i/>
          <w:sz w:val="17"/>
        </w:rPr>
        <w:t>Commodity Price Risk</w:t>
      </w:r>
    </w:p>
    <w:p>
      <w:pPr>
        <w:pStyle w:val="TextBody"/>
        <w:keepNext w:val="true"/>
        <w:spacing w:before="0" w:after="240"/>
        <w:ind w:left="0" w:right="0" w:firstLine="400"/>
        <w:rPr>
          <w:rFonts w:ascii="Times New Roman" w:hAnsi="Times New Roman"/>
          <w:sz w:val="17"/>
        </w:rPr>
      </w:pPr>
      <w:r>
        <w:rPr>
          <w:rFonts w:ascii="Times New Roman" w:hAnsi="Times New Roman"/>
          <w:sz w:val="17"/>
        </w:rPr>
        <w:t>All of our open commodity price risk derivatives at June 30, 2006 were categorized as non-trading. The fair value of these instruments and the change in fair value that would be expected from a 10 percent price decrease are shown in the table below:</w:t>
      </w:r>
    </w:p>
    <w:tbl>
      <w:tblPr>
        <w:tblW w:w="7735" w:type="dxa"/>
        <w:jc w:val="center"/>
        <w:tblInd w:w="0" w:type="dxa"/>
        <w:tblCellMar>
          <w:top w:w="0" w:type="dxa"/>
          <w:left w:w="0" w:type="dxa"/>
          <w:bottom w:w="0" w:type="dxa"/>
          <w:right w:w="0" w:type="dxa"/>
        </w:tblCellMar>
      </w:tblPr>
      <w:tblGrid>
        <w:gridCol w:w="5085"/>
        <w:gridCol w:w="240"/>
        <w:gridCol w:w="110"/>
        <w:gridCol w:w="930"/>
        <w:gridCol w:w="240"/>
        <w:gridCol w:w="110"/>
        <w:gridCol w:w="930"/>
        <w:gridCol w:w="90"/>
      </w:tblGrid>
      <w:tr>
        <w:trPr/>
        <w:tc>
          <w:tcPr>
            <w:tcW w:w="5085" w:type="dxa"/>
            <w:tcBorders/>
            <w:shd w:fill="auto" w:val="clear"/>
            <w:vAlign w:val="bottom"/>
          </w:tcPr>
          <w:p>
            <w:pPr>
              <w:pStyle w:val="TableContents"/>
              <w:spacing w:before="0" w:after="283"/>
              <w:ind w:left="0" w:right="0" w:hanging="0"/>
              <w:rPr>
                <w:sz w:val="4"/>
                <w:szCs w:val="4"/>
              </w:rPr>
            </w:pPr>
            <w:r>
              <w:rPr>
                <w:sz w:val="4"/>
                <w:szCs w:val="4"/>
              </w:rPr>
            </w:r>
          </w:p>
        </w:tc>
        <w:tc>
          <w:tcPr>
            <w:tcW w:w="240" w:type="dxa"/>
            <w:tcBorders/>
            <w:shd w:fill="auto" w:val="clear"/>
            <w:vAlign w:val="bottom"/>
          </w:tcPr>
          <w:p>
            <w:pPr>
              <w:pStyle w:val="TableContents"/>
              <w:spacing w:lineRule="atLeast" w:line="160" w:before="0" w:after="0"/>
              <w:ind w:left="0" w:right="0" w:hanging="0"/>
              <w:rPr/>
            </w:pPr>
            <w:r>
              <w:rPr/>
              <w:t> </w:t>
            </w:r>
          </w:p>
        </w:tc>
        <w:tc>
          <w:tcPr>
            <w:tcW w:w="1040" w:type="dxa"/>
            <w:gridSpan w:val="2"/>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040" w:type="dxa"/>
            <w:gridSpan w:val="2"/>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Effect of 10%</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08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104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Fair Value</w:t>
            </w:r>
          </w:p>
        </w:tc>
        <w:tc>
          <w:tcPr>
            <w:tcW w:w="240" w:type="dxa"/>
            <w:tcBorders/>
            <w:shd w:fill="auto" w:val="clear"/>
            <w:vAlign w:val="bottom"/>
          </w:tcPr>
          <w:p>
            <w:pPr>
              <w:pStyle w:val="TableContents"/>
              <w:spacing w:lineRule="atLeast" w:line="160" w:before="0" w:after="0"/>
              <w:ind w:left="0" w:right="0" w:hanging="0"/>
              <w:rPr/>
            </w:pPr>
            <w:r>
              <w:rPr/>
              <w:t> </w:t>
            </w:r>
          </w:p>
        </w:tc>
        <w:tc>
          <w:tcPr>
            <w:tcW w:w="1040" w:type="dxa"/>
            <w:gridSpan w:val="2"/>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Price Decrease</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085"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2320" w:type="dxa"/>
            <w:gridSpan w:val="5"/>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(in millions)</w:t>
            </w:r>
          </w:p>
        </w:tc>
        <w:tc>
          <w:tcPr>
            <w:tcW w:w="90" w:type="dxa"/>
            <w:tcBorders/>
            <w:shd w:fill="auto" w:val="clear"/>
            <w:vAlign w:val="bottom"/>
          </w:tcPr>
          <w:p>
            <w:pPr>
              <w:pStyle w:val="TableContents"/>
              <w:spacing w:lineRule="atLeast" w:line="160" w:before="0" w:after="0"/>
              <w:ind w:left="0" w:right="0" w:hanging="0"/>
              <w:rPr/>
            </w:pPr>
            <w:r>
              <w:rPr/>
              <w:t> </w:t>
            </w:r>
          </w:p>
        </w:tc>
      </w:tr>
      <w:tr>
        <w:trPr/>
        <w:tc>
          <w:tcPr>
            <w:tcW w:w="50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Crude Oil:</w:t>
            </w:r>
          </w:p>
        </w:tc>
        <w:tc>
          <w:tcPr>
            <w:tcW w:w="240" w:type="dxa"/>
            <w:tcBorders/>
            <w:shd w:fill="CCEEFF" w:val="clear"/>
            <w:vAlign w:val="bottom"/>
          </w:tcPr>
          <w:p>
            <w:pPr>
              <w:pStyle w:val="TableContents"/>
              <w:spacing w:before="0" w:after="0"/>
              <w:ind w:left="0" w:right="0" w:hanging="0"/>
              <w:rPr/>
            </w:pPr>
            <w:r>
              <w:rPr/>
              <w:t> </w:t>
            </w:r>
          </w:p>
        </w:tc>
        <w:tc>
          <w:tcPr>
            <w:tcW w:w="1040" w:type="dxa"/>
            <w:gridSpan w:val="2"/>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1040"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50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Futures contracts</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(14.2</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(22.0</w:t>
            </w:r>
          </w:p>
        </w:tc>
        <w:tc>
          <w:tcPr>
            <w:tcW w:w="9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Swaps and options contracts</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20.3</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(26.0</w:t>
            </w:r>
          </w:p>
        </w:tc>
        <w:tc>
          <w:tcPr>
            <w:tcW w:w="9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85" w:type="dxa"/>
            <w:tcBorders/>
            <w:shd w:fill="auto" w:val="clear"/>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1040" w:type="dxa"/>
            <w:gridSpan w:val="2"/>
            <w:tcBorders/>
            <w:shd w:fill="auto" w:val="clear"/>
            <w:vAlign w:val="bottom"/>
          </w:tcPr>
          <w:p>
            <w:pPr>
              <w:pStyle w:val="TableContents"/>
              <w:spacing w:before="0" w:after="0"/>
              <w:ind w:left="0" w:right="0" w:hanging="0"/>
              <w:rPr/>
            </w:pPr>
            <w:r>
              <w:rPr/>
              <w:t> </w:t>
            </w:r>
          </w:p>
        </w:tc>
        <w:tc>
          <w:tcPr>
            <w:tcW w:w="240" w:type="dxa"/>
            <w:tcBorders/>
            <w:shd w:fill="auto" w:val="clear"/>
            <w:vAlign w:val="bottom"/>
          </w:tcPr>
          <w:p>
            <w:pPr>
              <w:pStyle w:val="TableContents"/>
              <w:spacing w:before="0" w:after="0"/>
              <w:ind w:left="0" w:right="0" w:hanging="0"/>
              <w:rPr/>
            </w:pPr>
            <w:r>
              <w:rPr/>
              <w:t> </w:t>
            </w:r>
          </w:p>
        </w:tc>
        <w:tc>
          <w:tcPr>
            <w:tcW w:w="1040" w:type="dxa"/>
            <w:gridSpan w:val="2"/>
            <w:tcBorders/>
            <w:shd w:fill="auto" w:val="clear"/>
            <w:vAlign w:val="bottom"/>
          </w:tcPr>
          <w:p>
            <w:pPr>
              <w:pStyle w:val="TableContents"/>
              <w:spacing w:before="0" w:after="0"/>
              <w:ind w:left="0" w:right="0" w:hanging="0"/>
              <w:rPr/>
            </w:pPr>
            <w:r>
              <w:rPr/>
              <w:t> </w:t>
            </w:r>
          </w:p>
        </w:tc>
        <w:tc>
          <w:tcPr>
            <w:tcW w:w="90" w:type="dxa"/>
            <w:tcBorders/>
            <w:shd w:fill="auto" w:val="clear"/>
            <w:vAlign w:val="bottom"/>
          </w:tcPr>
          <w:p>
            <w:pPr>
              <w:pStyle w:val="TableContents"/>
              <w:spacing w:before="0" w:after="0"/>
              <w:ind w:left="0" w:right="0" w:hanging="0"/>
              <w:rPr/>
            </w:pPr>
            <w:r>
              <w:rPr/>
              <w:t> </w:t>
            </w:r>
          </w:p>
        </w:tc>
      </w:tr>
      <w:tr>
        <w:trPr/>
        <w:tc>
          <w:tcPr>
            <w:tcW w:w="50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240" w:type="dxa"/>
            <w:tcBorders/>
            <w:shd w:fill="CCEEFF" w:val="clear"/>
            <w:vAlign w:val="bottom"/>
          </w:tcPr>
          <w:p>
            <w:pPr>
              <w:pStyle w:val="TableContents"/>
              <w:spacing w:before="0" w:after="0"/>
              <w:ind w:left="0" w:right="0" w:hanging="0"/>
              <w:rPr/>
            </w:pPr>
            <w:r>
              <w:rPr/>
              <w:t> </w:t>
            </w:r>
          </w:p>
        </w:tc>
        <w:tc>
          <w:tcPr>
            <w:tcW w:w="1040" w:type="dxa"/>
            <w:gridSpan w:val="2"/>
            <w:tcBorders/>
            <w:shd w:fill="CCEEFF" w:val="clear"/>
            <w:vAlign w:val="bottom"/>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1040" w:type="dxa"/>
            <w:gridSpan w:val="2"/>
            <w:tcBorders/>
            <w:shd w:fill="CCEEFF" w:val="clear"/>
            <w:vAlign w:val="bottom"/>
          </w:tcPr>
          <w:p>
            <w:pPr>
              <w:pStyle w:val="TableContents"/>
              <w:spacing w:before="0" w:after="0"/>
              <w:ind w:left="0" w:right="0" w:hanging="0"/>
              <w:rPr/>
            </w:pPr>
            <w:r>
              <w:rPr/>
              <w:t> </w:t>
            </w:r>
          </w:p>
        </w:tc>
        <w:tc>
          <w:tcPr>
            <w:tcW w:w="90" w:type="dxa"/>
            <w:tcBorders/>
            <w:shd w:fill="CCEEFF" w:val="clear"/>
            <w:vAlign w:val="bottom"/>
          </w:tcPr>
          <w:p>
            <w:pPr>
              <w:pStyle w:val="TableContents"/>
              <w:spacing w:before="0" w:after="0"/>
              <w:ind w:left="0" w:right="0" w:hanging="0"/>
              <w:rPr/>
            </w:pPr>
            <w:r>
              <w:rPr/>
              <w:t> </w:t>
            </w:r>
          </w:p>
        </w:tc>
      </w:tr>
      <w:tr>
        <w:trPr/>
        <w:tc>
          <w:tcPr>
            <w:tcW w:w="50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Futures contracts</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w:t>
            </w:r>
          </w:p>
        </w:tc>
        <w:tc>
          <w:tcPr>
            <w:tcW w:w="2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5.7</w:t>
            </w:r>
          </w:p>
        </w:tc>
        <w:tc>
          <w:tcPr>
            <w:tcW w:w="90" w:type="dxa"/>
            <w:tcBorders/>
            <w:shd w:fill="auto" w:val="clear"/>
            <w:vAlign w:val="bottom"/>
          </w:tcPr>
          <w:p>
            <w:pPr>
              <w:pStyle w:val="TableContents"/>
              <w:spacing w:before="0" w:after="0"/>
              <w:ind w:left="0" w:right="0" w:hanging="0"/>
              <w:rPr/>
            </w:pPr>
            <w:r>
              <w:rPr/>
              <w:t> </w:t>
            </w:r>
          </w:p>
        </w:tc>
      </w:tr>
      <w:tr>
        <w:trPr/>
        <w:tc>
          <w:tcPr>
            <w:tcW w:w="508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Swaps and options contracts</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28.4</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9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20.4</w:t>
            </w:r>
          </w:p>
        </w:tc>
        <w:tc>
          <w:tcPr>
            <w:tcW w:w="90" w:type="dxa"/>
            <w:tcBorders/>
            <w:shd w:fill="CCEEFF"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keepNext w:val="true"/>
        <w:spacing w:before="0" w:after="240"/>
        <w:ind w:left="600" w:right="0" w:hanging="200"/>
        <w:rPr>
          <w:rFonts w:ascii="Times New Roman" w:hAnsi="Times New Roman"/>
          <w:b/>
          <w:i/>
          <w:sz w:val="17"/>
        </w:rPr>
      </w:pPr>
      <w:r>
        <w:rPr>
          <w:rFonts w:ascii="Times New Roman" w:hAnsi="Times New Roman"/>
          <w:b/>
          <w:i/>
          <w:sz w:val="17"/>
        </w:rPr>
        <w:t>Currency Exchange Risk</w:t>
      </w:r>
    </w:p>
    <w:p>
      <w:pPr>
        <w:pStyle w:val="TextBody"/>
        <w:keepNext w:val="true"/>
        <w:spacing w:before="0" w:after="240"/>
        <w:ind w:left="0" w:right="0" w:firstLine="400"/>
        <w:rPr>
          <w:rFonts w:ascii="Times New Roman" w:hAnsi="Times New Roman"/>
          <w:sz w:val="17"/>
        </w:rPr>
      </w:pPr>
      <w:r>
        <w:rPr>
          <w:rFonts w:ascii="Times New Roman" w:hAnsi="Times New Roman"/>
          <w:sz w:val="17"/>
        </w:rPr>
        <w:t>At December 31, we had cross currency swap contracts for an aggregate notional principal amount of $19.0 million, effectively converting this amount of our U.S. dollar denominated debt to $29.4 million of Canadian dollar debt (based on a Canadian dollar to U.S. dollar exchange rate of 1.55 to1) and had a fair value of $6.4 million.  During the second quarter 2006, all of the cross currency swap contracts matured.</w:t>
      </w:r>
    </w:p>
    <w:p>
      <w:pPr>
        <w:pStyle w:val="TextBody"/>
        <w:keepNext w:val="true"/>
        <w:spacing w:before="0" w:after="240"/>
        <w:ind w:left="940" w:right="0" w:hanging="940"/>
        <w:rPr>
          <w:rFonts w:ascii="Times New Roman" w:hAnsi="Times New Roman"/>
          <w:b/>
          <w:sz w:val="17"/>
        </w:rPr>
      </w:pPr>
      <w:r>
        <w:rPr>
          <w:rFonts w:ascii="Times New Roman" w:hAnsi="Times New Roman"/>
          <w:b/>
          <w:sz w:val="17"/>
        </w:rPr>
        <w:t>Item 4.                          CONTROLS AND PROCEDURES</w:t>
      </w:r>
      <w:bookmarkStart w:id="14" w:name="Item4_ControlsAndProcedures_140833"/>
      <w:bookmarkEnd w:id="14"/>
    </w:p>
    <w:p>
      <w:pPr>
        <w:pStyle w:val="TextBody"/>
        <w:spacing w:before="0" w:after="240"/>
        <w:ind w:left="0" w:right="0" w:firstLine="400"/>
        <w:rPr>
          <w:rFonts w:ascii="Times New Roman" w:hAnsi="Times New Roman"/>
          <w:sz w:val="17"/>
        </w:rPr>
      </w:pPr>
      <w:r>
        <w:rPr>
          <w:rFonts w:ascii="Times New Roman" w:hAnsi="Times New Roman"/>
          <w:sz w:val="17"/>
        </w:rPr>
        <w:t>We maintain written disclosure controls and procedures, which we refer to as our DCP. The purpose of our DCP is to provide reasonable assurance that information is (i) recorded, processed, summarized and reported in a manner that allows for timely disclosure of such information in accordance with the securities laws and SEC regulations and (ii) accumulated and communicated to management, including our Chief Executive Officer and Chief Financial Officer, to allow for timely decisions regarding required disclosure.</w:t>
      </w:r>
    </w:p>
    <w:p>
      <w:pPr>
        <w:pStyle w:val="TextBody"/>
        <w:spacing w:before="0" w:after="240"/>
        <w:ind w:left="0" w:right="0" w:firstLine="400"/>
        <w:rPr>
          <w:rFonts w:ascii="Times New Roman" w:hAnsi="Times New Roman"/>
          <w:sz w:val="17"/>
        </w:rPr>
      </w:pPr>
      <w:r>
        <w:rPr>
          <w:rFonts w:ascii="Times New Roman" w:hAnsi="Times New Roman"/>
          <w:sz w:val="17"/>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June 30, 2006,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pStyle w:val="TextBody"/>
        <w:spacing w:before="0" w:after="240"/>
        <w:ind w:left="0" w:right="0" w:firstLine="400"/>
        <w:rPr>
          <w:rFonts w:ascii="Times New Roman" w:hAnsi="Times New Roman"/>
          <w:sz w:val="17"/>
        </w:rPr>
      </w:pPr>
      <w:r>
        <w:rPr>
          <w:rFonts w:ascii="Times New Roman" w:hAnsi="Times New Roman"/>
          <w:sz w:val="17"/>
        </w:rPr>
        <w:t>In addition to the information concerning our DCP, we are required to disclose certain changes in our internal control over financial reporting (internal control) that occurred during the second quarter and that has materially affected, or is reasonably likely to materially affect, our internal control. In the process of documenting and testing our internal control in connection with compliance with Rule 13a-15(c) under the Securities Exchange Act of 1934, as amended (required by Section 404 of the Sarbanes-Oxley Act of 2002) we have made changes, and will continue to make changes, to refine and improve our internal control. However, as a result of their evaluation of changes in internal control, management identified no changes during the second quarter of 2006 that materially affected, or would be reasonably likely to materially affect, our internal control.</w:t>
      </w:r>
    </w:p>
    <w:p>
      <w:pPr>
        <w:pStyle w:val="TextBody"/>
        <w:spacing w:before="480" w:after="480"/>
        <w:ind w:left="0" w:right="0" w:hanging="0"/>
        <w:rPr>
          <w:rFonts w:ascii="Times New Roman" w:hAnsi="Times New Roman"/>
          <w:sz w:val="17"/>
        </w:rPr>
      </w:pPr>
      <w:r>
        <w:rPr>
          <w:rFonts w:ascii="Times New Roman" w:hAnsi="Times New Roman"/>
          <w:sz w:val="17"/>
        </w:rPr>
        <w:t>36</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spacing w:before="0" w:after="240"/>
        <w:ind w:left="0" w:right="0" w:firstLine="400"/>
        <w:rPr>
          <w:rFonts w:ascii="Times New Roman" w:hAnsi="Times New Roman"/>
          <w:sz w:val="17"/>
        </w:rPr>
      </w:pPr>
      <w:r>
        <w:rPr>
          <w:rFonts w:ascii="Times New Roman" w:hAnsi="Times New Roman"/>
          <w:sz w:val="17"/>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spacing w:before="480" w:after="480"/>
        <w:ind w:left="0" w:right="0" w:hanging="0"/>
        <w:rPr>
          <w:rFonts w:ascii="Times New Roman" w:hAnsi="Times New Roman"/>
          <w:sz w:val="17"/>
        </w:rPr>
      </w:pPr>
      <w:r>
        <w:rPr>
          <w:rFonts w:ascii="Times New Roman" w:hAnsi="Times New Roman"/>
          <w:sz w:val="17"/>
        </w:rPr>
        <w:t>37</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PART II. OTHER INFORMATION</w:t>
      </w:r>
      <w:bookmarkStart w:id="15" w:name="Partii_OtherInformation_140147"/>
      <w:bookmarkEnd w:id="15"/>
    </w:p>
    <w:p>
      <w:pPr>
        <w:pStyle w:val="TextBody"/>
        <w:keepNext w:val="true"/>
        <w:spacing w:before="0" w:after="240"/>
        <w:ind w:left="940" w:right="0" w:hanging="940"/>
        <w:rPr>
          <w:rFonts w:ascii="Times New Roman" w:hAnsi="Times New Roman"/>
          <w:b/>
          <w:sz w:val="17"/>
        </w:rPr>
      </w:pPr>
      <w:r>
        <w:rPr>
          <w:rFonts w:ascii="Times New Roman" w:hAnsi="Times New Roman"/>
          <w:b/>
          <w:sz w:val="17"/>
        </w:rPr>
        <w:t>Item 1.                          LEGAL PROCEEDINGS</w:t>
      </w:r>
      <w:bookmarkStart w:id="16" w:name="Item1_LegalProceedings_121340"/>
      <w:bookmarkEnd w:id="16"/>
    </w:p>
    <w:p>
      <w:pPr>
        <w:pStyle w:val="TextBody"/>
        <w:spacing w:before="0" w:after="240"/>
        <w:ind w:left="0" w:right="0" w:firstLine="400"/>
        <w:rPr>
          <w:rFonts w:ascii="Times New Roman" w:hAnsi="Times New Roman"/>
          <w:sz w:val="17"/>
        </w:rPr>
      </w:pPr>
      <w:r>
        <w:rPr>
          <w:rFonts w:ascii="Times New Roman" w:hAnsi="Times New Roman"/>
          <w:sz w:val="17"/>
        </w:rPr>
        <w:t>See Note 11 to our Consolidated Financial Statements.</w:t>
      </w:r>
    </w:p>
    <w:p>
      <w:pPr>
        <w:pStyle w:val="TextBody"/>
        <w:keepNext w:val="true"/>
        <w:spacing w:before="0" w:after="240"/>
        <w:ind w:left="940" w:right="0" w:hanging="940"/>
        <w:rPr>
          <w:rFonts w:ascii="Times New Roman" w:hAnsi="Times New Roman"/>
          <w:b/>
          <w:sz w:val="17"/>
        </w:rPr>
      </w:pPr>
      <w:r>
        <w:rPr>
          <w:rFonts w:ascii="Times New Roman" w:hAnsi="Times New Roman"/>
          <w:b/>
          <w:sz w:val="17"/>
        </w:rPr>
        <w:t>Item 1A.                 RISK FACTORS</w:t>
      </w:r>
      <w:bookmarkStart w:id="17" w:name="Item1a_RiskFactors_121342"/>
      <w:bookmarkEnd w:id="17"/>
    </w:p>
    <w:p>
      <w:pPr>
        <w:pStyle w:val="TextBody"/>
        <w:spacing w:before="0" w:after="0"/>
        <w:ind w:left="0" w:right="0" w:hanging="0"/>
        <w:rPr>
          <w:rFonts w:ascii="Times New Roman" w:hAnsi="Times New Roman"/>
          <w:sz w:val="17"/>
        </w:rPr>
      </w:pPr>
      <w:r>
        <w:rPr>
          <w:rFonts w:ascii="Times New Roman" w:hAnsi="Times New Roman"/>
          <w:sz w:val="17"/>
        </w:rPr>
        <w:t>For a discussion regarding our risk factors, see Item 1A of our 2005 Annual Report on Form 10-K.  These risks and uncertainties are not the only ones facing us and there may be additional matters that we are unaware of or that we currently consider immaterial.  All of these risks and uncertainties could adversely affect our business, financial condition and/or results of operations, as could the following risks related to our proposed merger with Pacific Energy Partners, L.P.:</w:t>
      </w:r>
    </w:p>
    <w:p>
      <w:pPr>
        <w:pStyle w:val="TextBody"/>
        <w:spacing w:before="225" w:after="225"/>
        <w:ind w:left="0" w:right="0" w:hanging="0"/>
        <w:rPr>
          <w:rFonts w:ascii="Times New Roman" w:hAnsi="Times New Roman"/>
          <w:b/>
          <w:i w:val="false"/>
          <w:caps w:val="false"/>
          <w:smallCaps w:val="false"/>
          <w:sz w:val="17"/>
        </w:rPr>
      </w:pPr>
      <w:r>
        <w:rPr>
          <w:rFonts w:ascii="Times New Roman" w:hAnsi="Times New Roman"/>
          <w:b/>
          <w:i w:val="false"/>
          <w:caps w:val="false"/>
          <w:smallCaps w:val="false"/>
          <w:sz w:val="17"/>
        </w:rPr>
        <w:t>Risks Related to the Pacific Merger and Related Transactions</w:t>
      </w:r>
    </w:p>
    <w:p>
      <w:pPr>
        <w:pStyle w:val="TextBody"/>
        <w:spacing w:before="225" w:after="225"/>
        <w:ind w:left="0" w:right="0" w:hanging="0"/>
        <w:rPr>
          <w:rFonts w:ascii="Times New Roman" w:hAnsi="Times New Roman"/>
          <w:b/>
          <w:i/>
          <w:sz w:val="17"/>
        </w:rPr>
      </w:pPr>
      <w:r>
        <w:rPr>
          <w:rFonts w:ascii="Times New Roman" w:hAnsi="Times New Roman"/>
          <w:b/>
          <w:i/>
          <w:sz w:val="17"/>
        </w:rPr>
        <w:t>Plains may not be able to timely and successfully integrate Pacific's operations with its operations, and thus may fail to realize all of the anticipated benefits of the transaction.</w:t>
      </w:r>
    </w:p>
    <w:p>
      <w:pPr>
        <w:pStyle w:val="TextBody"/>
        <w:spacing w:before="225" w:after="225"/>
        <w:ind w:left="0" w:right="0" w:hanging="0"/>
        <w:rPr>
          <w:rFonts w:ascii="Times New Roman" w:hAnsi="Times New Roman"/>
          <w:sz w:val="17"/>
        </w:rPr>
      </w:pPr>
      <w:r>
        <w:rPr>
          <w:rFonts w:ascii="Times New Roman" w:hAnsi="Times New Roman"/>
          <w:sz w:val="17"/>
        </w:rPr>
        <w:t>Integration of the two previously independent companies will be a complex, time consuming and costly process.  Failure to timely and successfully integrate these companies may have a material adverse effect on the combined company's business, financial condition and results of operations.  The difficulties of combining the companies will present challenges to the combined company's management, including:</w:t>
      </w:r>
    </w:p>
    <w:p>
      <w:pPr>
        <w:pStyle w:val="TextBody"/>
        <w:spacing w:before="225" w:after="225"/>
        <w:ind w:left="0" w:right="0" w:hanging="0"/>
        <w:rPr>
          <w:rFonts w:ascii="Times New Roman" w:hAnsi="Times New Roman"/>
          <w:sz w:val="17"/>
        </w:rPr>
      </w:pPr>
      <w:r>
        <w:rPr>
          <w:rFonts w:ascii="Times New Roman" w:hAnsi="Times New Roman"/>
          <w:sz w:val="17"/>
        </w:rPr>
        <w:t>      combining companies with diverse backgrounds and organizational cultures;</w:t>
      </w:r>
    </w:p>
    <w:p>
      <w:pPr>
        <w:pStyle w:val="TextBody"/>
        <w:spacing w:before="0" w:after="0"/>
        <w:ind w:left="0" w:right="0" w:hanging="0"/>
        <w:rPr>
          <w:rFonts w:ascii="Times New Roman" w:hAnsi="Times New Roman"/>
          <w:sz w:val="17"/>
        </w:rPr>
      </w:pPr>
      <w:r>
        <w:rPr>
          <w:rFonts w:ascii="Times New Roman" w:hAnsi="Times New Roman"/>
          <w:sz w:val="17"/>
        </w:rPr>
        <w:t>      experiencing operational interruptions or the loss of key employees, customers or suppliers;</w:t>
      </w:r>
    </w:p>
    <w:p>
      <w:pPr>
        <w:pStyle w:val="TextBody"/>
        <w:spacing w:before="0" w:after="0"/>
        <w:ind w:left="0" w:right="0" w:hanging="0"/>
        <w:rPr>
          <w:rFonts w:ascii="Times New Roman" w:hAnsi="Times New Roman"/>
          <w:sz w:val="17"/>
        </w:rPr>
      </w:pPr>
      <w:r>
        <w:rPr>
          <w:rFonts w:ascii="Times New Roman" w:hAnsi="Times New Roman"/>
          <w:sz w:val="17"/>
        </w:rPr>
        <w:t>      operating a significantly larger combined company with operations in geographic areas and business lines in which Plains has not previously operated; and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consolidating corporate and administrative functions.</w:t>
      </w:r>
    </w:p>
    <w:p>
      <w:pPr>
        <w:pStyle w:val="TextBody"/>
        <w:spacing w:before="225" w:after="225"/>
        <w:ind w:left="0" w:right="0" w:hanging="0"/>
        <w:rPr>
          <w:rFonts w:ascii="Times New Roman" w:hAnsi="Times New Roman"/>
          <w:sz w:val="17"/>
        </w:rPr>
      </w:pPr>
      <w:r>
        <w:rPr>
          <w:rFonts w:ascii="Times New Roman" w:hAnsi="Times New Roman"/>
          <w:sz w:val="17"/>
        </w:rPr>
        <w:t>The combined company will also be exposed to other risks that are commonly associated with transactions similar to the merger, such as unanticipated liabilities and costs, some of which may be material, and diversion of management's attention.  As a result, the anticipated benefits of the merger, including anticipated synergies, may not be fully realized, if at all.</w:t>
      </w:r>
      <w:bookmarkStart w:id="18" w:name="A2171512ZS_4_HTM_PAGE_DE1172_1_25"/>
      <w:bookmarkStart w:id="19" w:name="eolPage33"/>
      <w:bookmarkEnd w:id="18"/>
      <w:bookmarkEnd w:id="19"/>
    </w:p>
    <w:p>
      <w:pPr>
        <w:pStyle w:val="TextBody"/>
        <w:spacing w:before="225" w:after="225"/>
        <w:ind w:left="0" w:right="0" w:hanging="0"/>
        <w:rPr>
          <w:rFonts w:ascii="Times New Roman" w:hAnsi="Times New Roman"/>
          <w:b/>
          <w:i/>
          <w:sz w:val="17"/>
        </w:rPr>
      </w:pPr>
      <w:r>
        <w:rPr>
          <w:rFonts w:ascii="Times New Roman" w:hAnsi="Times New Roman"/>
          <w:b/>
          <w:i/>
          <w:sz w:val="17"/>
        </w:rPr>
        <w:t>The transactions contemplated by the merger agreement may not be consummated even if unitholder approvals for the merger are obtained.</w:t>
      </w:r>
    </w:p>
    <w:p>
      <w:pPr>
        <w:pStyle w:val="TextBody"/>
        <w:spacing w:before="225" w:after="225"/>
        <w:ind w:left="0" w:right="0" w:hanging="0"/>
        <w:rPr>
          <w:rFonts w:ascii="Times New Roman" w:hAnsi="Times New Roman"/>
          <w:sz w:val="17"/>
        </w:rPr>
      </w:pPr>
      <w:r>
        <w:rPr>
          <w:rFonts w:ascii="Times New Roman" w:hAnsi="Times New Roman"/>
          <w:sz w:val="17"/>
        </w:rPr>
        <w:t>The merger agreement contains conditions that, if not satisfied or waived, would result in the merger not occurring, even though Plains' and Pacifics unitholders may have voted in favor of the merger agreement and related matters.  In addition, Pacific and Plains can agree not to consummate the merger even if all unitholder approvals have been received.  The closing conditions to the merger may not be satisfied, and any unsatisfied conditions may not be waived, which may cause the merger not to occur.</w:t>
      </w:r>
    </w:p>
    <w:p>
      <w:pPr>
        <w:pStyle w:val="TextBody"/>
        <w:spacing w:before="225" w:after="225"/>
        <w:ind w:left="0" w:right="0" w:hanging="0"/>
        <w:rPr>
          <w:rFonts w:ascii="Times New Roman" w:hAnsi="Times New Roman"/>
          <w:b/>
          <w:i/>
          <w:sz w:val="17"/>
        </w:rPr>
      </w:pPr>
      <w:r>
        <w:rPr>
          <w:rFonts w:ascii="Times New Roman" w:hAnsi="Times New Roman"/>
          <w:b/>
          <w:i/>
          <w:sz w:val="17"/>
        </w:rPr>
        <w:t>While the merger agreement is in effect, Plains may be limited in its ability to pursue other attractive business opportunities.</w:t>
      </w:r>
    </w:p>
    <w:p>
      <w:pPr>
        <w:pStyle w:val="TextBody"/>
        <w:spacing w:before="225" w:after="225"/>
        <w:ind w:left="0" w:right="0" w:hanging="0"/>
        <w:rPr>
          <w:rFonts w:ascii="Times New Roman" w:hAnsi="Times New Roman"/>
          <w:sz w:val="17"/>
        </w:rPr>
      </w:pPr>
      <w:r>
        <w:rPr>
          <w:rFonts w:ascii="Times New Roman" w:hAnsi="Times New Roman"/>
          <w:sz w:val="17"/>
        </w:rPr>
        <w:t xml:space="preserve">The merger agreement provides for the payment of up to $40 million in termination fees under specified circumstances, which fees are intended to provide a financial incentive for each of Plains and Pacific to seek to complete the proposed merger rather than to explore alternative transactions that potentially could be more favorable to its unitholders.   </w:t>
      </w:r>
    </w:p>
    <w:p>
      <w:pPr>
        <w:pStyle w:val="TextBody"/>
        <w:spacing w:before="225" w:after="225"/>
        <w:ind w:left="0" w:right="0" w:hanging="0"/>
        <w:rPr>
          <w:rFonts w:ascii="Times New Roman" w:hAnsi="Times New Roman"/>
          <w:sz w:val="17"/>
        </w:rPr>
      </w:pPr>
      <w:r>
        <w:rPr>
          <w:rFonts w:ascii="Times New Roman" w:hAnsi="Times New Roman"/>
          <w:sz w:val="17"/>
        </w:rPr>
        <w:t>Plains has also agreed to refrain from taking certain actions with respect to its business and financial affairs pending completion of the merger or termination of the merger agreement.  These restrictions and the no-solicitation provisions could be in effect for an extended period of time if completion of the merger is delayed.</w:t>
      </w:r>
    </w:p>
    <w:p>
      <w:pPr>
        <w:pStyle w:val="TextBody"/>
        <w:spacing w:before="225" w:after="225"/>
        <w:ind w:left="0" w:right="0" w:hanging="0"/>
        <w:rPr>
          <w:rFonts w:ascii="Times New Roman" w:hAnsi="Times New Roman"/>
          <w:sz w:val="17"/>
        </w:rPr>
      </w:pPr>
      <w:r>
        <w:rPr>
          <w:rFonts w:ascii="Times New Roman" w:hAnsi="Times New Roman"/>
          <w:sz w:val="17"/>
        </w:rPr>
        <w:t>In addition to the economic costs associated with pursuing a merger, Plains' management is devoting substantial time and other human resources to the proposed transaction and related matters, which could limit Plains' ability to pursue other attractive business opportunities, including potential joint ventures, stand-alone projects and other transactions.  If Plains is unable to pursue such other attractive business opportunities, then its growth prospects and the long-term strategic position of its business and the combined business could be adversely affected.</w:t>
      </w:r>
    </w:p>
    <w:p>
      <w:pPr>
        <w:pStyle w:val="TextBody"/>
        <w:spacing w:before="225" w:after="225"/>
        <w:ind w:left="0" w:right="0" w:hanging="0"/>
        <w:rPr>
          <w:rFonts w:ascii="Times New Roman" w:hAnsi="Times New Roman"/>
          <w:b/>
          <w:i/>
          <w:sz w:val="17"/>
        </w:rPr>
      </w:pPr>
      <w:r>
        <w:rPr>
          <w:rFonts w:ascii="Times New Roman" w:hAnsi="Times New Roman"/>
          <w:b/>
          <w:i/>
          <w:sz w:val="17"/>
        </w:rPr>
        <w:t>Regulatory agencies may delay approval of the merger, which may diminish the anticipated benefits of the merger.</w:t>
      </w:r>
    </w:p>
    <w:p>
      <w:pPr>
        <w:pStyle w:val="TextBody"/>
        <w:spacing w:before="225" w:after="225"/>
        <w:ind w:left="0" w:right="0" w:hanging="0"/>
        <w:rPr>
          <w:rFonts w:ascii="Times New Roman" w:hAnsi="Times New Roman"/>
          <w:sz w:val="17"/>
        </w:rPr>
      </w:pPr>
      <w:r>
        <w:rPr>
          <w:rFonts w:ascii="Times New Roman" w:hAnsi="Times New Roman"/>
          <w:sz w:val="17"/>
        </w:rPr>
        <w:t>Completion of the merger is conditioned upon the receipt of required governmental consents, approvals, orders and authorizations.  Although Plains and Pacific intend to pursue vigorously all required governmental approvals, the requirement to receive these approvals before the merger could delay the completion of the merger, possibly for a significant period of time after Plains' and Pacific's unitholders have approved the merger.  Any delay in the completion of the merger could diminish anticipated benefits of the merger or result in additional transaction costs, loss of revenue or other effects associated with uncertainty about the transaction.  Any uncertainty over the ability of the partnerships to complete the merger could make it more difficult for them to retain key employees or</w:t>
      </w:r>
      <w:bookmarkStart w:id="20" w:name="A2171512ZS_4_HTM_PAGE_DE1172_1_26"/>
      <w:bookmarkStart w:id="21" w:name="eolPage34"/>
      <w:bookmarkEnd w:id="20"/>
      <w:bookmarkEnd w:id="21"/>
      <w:r>
        <w:rPr>
          <w:rFonts w:ascii="Times New Roman" w:hAnsi="Times New Roman"/>
          <w:sz w:val="17"/>
        </w:rPr>
        <w:t xml:space="preserve"> to pursue business strategies. In addition, until the merger is completed, the attention of management may be diverted from ongoing business concerns and regular business responsibilities to the extent management is focused on matters relating to the transaction, such as obtaining regulatory approvals.</w:t>
      </w:r>
    </w:p>
    <w:p>
      <w:pPr>
        <w:pStyle w:val="TextBody"/>
        <w:spacing w:before="480" w:after="480"/>
        <w:ind w:left="0" w:right="0" w:hanging="0"/>
        <w:rPr>
          <w:rFonts w:ascii="Times New Roman" w:hAnsi="Times New Roman"/>
          <w:sz w:val="17"/>
        </w:rPr>
      </w:pPr>
      <w:r>
        <w:rPr>
          <w:rFonts w:ascii="Times New Roman" w:hAnsi="Times New Roman"/>
          <w:sz w:val="17"/>
        </w:rPr>
        <w:t>38</w:t>
      </w:r>
    </w:p>
    <w:p>
      <w:pPr>
        <w:pStyle w:val="TextBody"/>
        <w:spacing w:before="0" w:after="0"/>
        <w:rPr/>
      </w:pPr>
      <w:r>
        <w:rPr/>
      </w:r>
    </w:p>
    <w:p>
      <w:pPr>
        <w:pStyle w:val="HorizontalLine"/>
        <w:pBdr>
          <w:bottom w:val="single" w:sz="18" w:space="0" w:color="010101"/>
        </w:pBdr>
        <w:rPr/>
      </w:pPr>
      <w:r>
        <w:rPr/>
      </w:r>
      <w:r>
        <w:br w:type="page"/>
      </w:r>
    </w:p>
    <w:p>
      <w:pPr>
        <w:pStyle w:val="TextBody"/>
        <w:spacing w:before="225" w:after="225"/>
        <w:ind w:left="0" w:right="0" w:hanging="0"/>
        <w:rPr>
          <w:rFonts w:ascii="Times New Roman" w:hAnsi="Times New Roman"/>
          <w:b/>
          <w:i/>
          <w:sz w:val="17"/>
        </w:rPr>
      </w:pPr>
      <w:r>
        <w:rPr>
          <w:rFonts w:ascii="Times New Roman" w:hAnsi="Times New Roman"/>
          <w:b/>
          <w:i/>
          <w:sz w:val="17"/>
        </w:rPr>
        <w:t>The completion of the merger will effectively require the amendment or refinancing of Pacific's credit facility.</w:t>
      </w:r>
    </w:p>
    <w:p>
      <w:pPr>
        <w:pStyle w:val="TextBody"/>
        <w:spacing w:before="225" w:after="225"/>
        <w:ind w:left="0" w:right="0" w:hanging="0"/>
        <w:rPr>
          <w:rFonts w:ascii="Times New Roman" w:hAnsi="Times New Roman"/>
          <w:sz w:val="17"/>
        </w:rPr>
      </w:pPr>
      <w:r>
        <w:rPr>
          <w:rFonts w:ascii="Times New Roman" w:hAnsi="Times New Roman"/>
          <w:sz w:val="17"/>
        </w:rPr>
        <w:t>The completion of the merger will result in an event of default under Pacific's credit facility.  To avoid a default, the credit facility must be amended or refinanced at or before the completion of the merger. Plains currently intends to refinance this credit facility in connection with the completion of the merger.  If Pacific's credit facility is not amended or refinanced prior to the completion of the merger, the resulting default could have a material adverse effect on the combined company.</w:t>
      </w:r>
    </w:p>
    <w:p>
      <w:pPr>
        <w:pStyle w:val="TextBody"/>
        <w:spacing w:before="225" w:after="225"/>
        <w:ind w:left="0" w:right="0" w:hanging="0"/>
        <w:rPr>
          <w:rFonts w:ascii="Times New Roman" w:hAnsi="Times New Roman"/>
          <w:b/>
          <w:i/>
          <w:sz w:val="17"/>
        </w:rPr>
      </w:pPr>
      <w:r>
        <w:rPr>
          <w:rFonts w:ascii="Times New Roman" w:hAnsi="Times New Roman"/>
          <w:b/>
          <w:i/>
          <w:sz w:val="17"/>
        </w:rPr>
        <w:t>The closing of the merger may trigger a repurchase obligation with respect to Pacific's outstanding senior notes.</w:t>
      </w:r>
    </w:p>
    <w:p>
      <w:pPr>
        <w:pStyle w:val="TextBody"/>
        <w:spacing w:before="225" w:after="225"/>
        <w:ind w:left="0" w:right="0" w:hanging="0"/>
        <w:rPr>
          <w:rFonts w:ascii="Times New Roman" w:hAnsi="Times New Roman"/>
          <w:sz w:val="17"/>
        </w:rPr>
      </w:pPr>
      <w:r>
        <w:rPr>
          <w:rFonts w:ascii="Times New Roman" w:hAnsi="Times New Roman"/>
          <w:sz w:val="17"/>
        </w:rPr>
        <w:t>The closing of the merger will constitute a "change of control" under Pacific's indentures for its senior notes.  If the change of control results in a ratings downgrade of the Pacific senior notes by either Moody's Investors Service or Standard &amp; Poor's within 90 days after the change of control has occurred, the combined company will be obligated to offer to repurchase each holder's senior notes at 101% of their aggregate principal amount, plus accrued interest.  Pacific has $425 million aggregate principal amount of senior notes outstanding.</w:t>
      </w:r>
    </w:p>
    <w:p>
      <w:pPr>
        <w:pStyle w:val="TextBody"/>
        <w:spacing w:before="225" w:after="225"/>
        <w:ind w:left="0" w:right="0" w:hanging="0"/>
        <w:rPr>
          <w:rFonts w:ascii="Times New Roman" w:hAnsi="Times New Roman"/>
          <w:sz w:val="17"/>
        </w:rPr>
      </w:pPr>
      <w:r>
        <w:rPr>
          <w:rFonts w:ascii="Times New Roman" w:hAnsi="Times New Roman"/>
          <w:sz w:val="17"/>
        </w:rPr>
        <w:t>If the combined company makes an offer to repurchase the notes, it is possible that holders of a large amount of Pacific's notes may exercise their repurchase right, in which case the combined company would be required to raise significant capital in the short term to fulfill the repurchase obligations.  If the combined company were for any reason unable to satisfy the repurchase obligations,</w:t>
      </w:r>
      <w:bookmarkStart w:id="22" w:name="A2171512ZS_4_HTM_PAGE_DE1172_1_27"/>
      <w:bookmarkStart w:id="23" w:name="eolPage35"/>
      <w:bookmarkEnd w:id="22"/>
      <w:bookmarkEnd w:id="23"/>
      <w:r>
        <w:rPr>
          <w:rFonts w:ascii="Times New Roman" w:hAnsi="Times New Roman"/>
          <w:sz w:val="17"/>
        </w:rPr>
        <w:t xml:space="preserve"> it would result in an event of default under Pacific's indentures, which could have a material adverse effect on the combined company.</w:t>
      </w:r>
    </w:p>
    <w:p>
      <w:pPr>
        <w:pStyle w:val="TextBody"/>
        <w:spacing w:before="225" w:after="225"/>
        <w:ind w:left="0" w:right="0" w:hanging="0"/>
        <w:rPr>
          <w:rFonts w:ascii="Times New Roman" w:hAnsi="Times New Roman"/>
          <w:b/>
          <w:sz w:val="17"/>
        </w:rPr>
      </w:pPr>
      <w:r>
        <w:rPr>
          <w:rFonts w:ascii="Times New Roman" w:hAnsi="Times New Roman"/>
          <w:b/>
          <w:sz w:val="17"/>
        </w:rPr>
        <w:t>Risks Related to the Combined Company's Business</w:t>
      </w:r>
    </w:p>
    <w:p>
      <w:pPr>
        <w:pStyle w:val="TextBody"/>
        <w:spacing w:before="225" w:after="225"/>
        <w:ind w:left="0" w:right="0" w:hanging="0"/>
        <w:rPr>
          <w:rFonts w:ascii="Times New Roman" w:hAnsi="Times New Roman"/>
          <w:b/>
          <w:i/>
          <w:sz w:val="17"/>
        </w:rPr>
      </w:pPr>
      <w:r>
        <w:rPr>
          <w:rFonts w:ascii="Times New Roman" w:hAnsi="Times New Roman"/>
          <w:b/>
          <w:i/>
          <w:sz w:val="17"/>
        </w:rPr>
        <w:t>The combined company's future financial and operating flexibility may be adversely affected by restrictions in its debt agreements and by its leverage.</w:t>
      </w:r>
    </w:p>
    <w:p>
      <w:pPr>
        <w:pStyle w:val="TextBody"/>
        <w:spacing w:before="225" w:after="225"/>
        <w:ind w:left="0" w:right="0" w:hanging="0"/>
        <w:rPr>
          <w:rFonts w:ascii="Times New Roman" w:hAnsi="Times New Roman"/>
          <w:sz w:val="17"/>
        </w:rPr>
      </w:pPr>
      <w:r>
        <w:rPr>
          <w:rFonts w:ascii="Times New Roman" w:hAnsi="Times New Roman"/>
          <w:sz w:val="17"/>
        </w:rPr>
        <w:t>Following the completion of the merger, the combined company will have a substantially increased level of consolidated debt.  Among other things, this increased leverage may be viewed negatively by credit rating agencies.  Pacific's indentures for its senior notes contain non-investment grade, or high-yield, financial covenants and other restrictions.  These indentures restrict, among other things, Pacific's ability to pay distributions, incur debt, sell assets, enter into affiliate transactions or create liens on its assets.  In the event that the combined company maintains Plains' current investment grade credit ratings, the high-yield covenants contained in Pacific's senior note indentures will fall away, effectively resulting in indentures with investment grade covenants.  In the event that the combined company does not maintain Plains' investment grade credit ratings following the merger, the combined company will be subject to the high-yield covenants currently contained in Pacific's senior note indentures.  Accordingly, the combined company would be required to comply with these restrictive covenants on an enterprise-wide basis and could be subject to increased capital costs.</w:t>
      </w:r>
      <w:bookmarkStart w:id="24" w:name="A2171512ZS_4_HTM_PAGE_DE1172_1_28"/>
      <w:bookmarkStart w:id="25" w:name="eolPage36"/>
      <w:bookmarkEnd w:id="24"/>
      <w:bookmarkEnd w:id="25"/>
      <w:r>
        <w:rPr>
          <w:rFonts w:ascii="Times New Roman" w:hAnsi="Times New Roman"/>
          <w:sz w:val="17"/>
        </w:rPr>
        <w:t>  Debt service obligations, restrictive covenants in its revolving credit facility and the indentures governing its outstanding senior notes and maturities resulting from this leverage may adversely affect the combined company's ability to finance future operations, pursue acquisitions and fund other capital needs and the combined company's ability to pay cash distributions to unitholders, and may make the combined company's results of operations more susceptible to adverse economic or operating conditions.  During an event of default under any of its debt agreements, the combined company would be prohibited from making cash distributions to its unitholders.</w:t>
      </w:r>
      <w:bookmarkStart w:id="26" w:name="A2171512ZS_4_HTM_PAGE_DE1172_1_31"/>
      <w:bookmarkStart w:id="27" w:name="eolPage39"/>
      <w:bookmarkStart w:id="28" w:name="A2171512ZS_4_HTM_PAGE_DE1172_1_29"/>
      <w:bookmarkEnd w:id="26"/>
      <w:bookmarkEnd w:id="27"/>
      <w:bookmarkEnd w:id="28"/>
    </w:p>
    <w:p>
      <w:pPr>
        <w:pStyle w:val="TextBody"/>
        <w:spacing w:before="225" w:after="225"/>
        <w:ind w:left="0" w:right="0" w:hanging="0"/>
        <w:rPr>
          <w:rFonts w:ascii="Times New Roman" w:hAnsi="Times New Roman"/>
          <w:b/>
          <w:i/>
          <w:sz w:val="17"/>
        </w:rPr>
      </w:pPr>
      <w:r>
        <w:rPr>
          <w:rFonts w:ascii="Times New Roman" w:hAnsi="Times New Roman"/>
          <w:b/>
          <w:i/>
          <w:sz w:val="17"/>
        </w:rPr>
        <w:t>The additional pipeline assets acquired in the merger will increase the combined companys compliance costs and liabilities.</w:t>
      </w:r>
    </w:p>
    <w:p>
      <w:pPr>
        <w:pStyle w:val="TextBody"/>
        <w:spacing w:before="225" w:after="225"/>
        <w:ind w:left="0" w:right="0" w:hanging="0"/>
        <w:rPr/>
      </w:pPr>
      <w:r>
        <w:rPr/>
        <w:t xml:space="preserve">                </w:t>
      </w:r>
      <w:r>
        <w:rPr>
          <w:rFonts w:ascii="Times New Roman" w:hAnsi="Times New Roman"/>
          <w:b w:val="false"/>
          <w:i w:val="false"/>
          <w:caps w:val="false"/>
          <w:smallCaps w:val="false"/>
          <w:sz w:val="17"/>
        </w:rPr>
        <w:t>Pro forma for the merger, the combined company would own more than three times the miles of pipeline Plains owned three years ago.  As Plains has expanded its pipeline assets, it has experienced a corresponding increase in the number of releases of crude oil to the environment.  The combined company will be exposed to potentially substantial expense, including clean 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The incurrence of such expenses not covered by insurance, indemnity or reserves could materially adversely affect the combined companys results of operations.</w:t>
      </w:r>
    </w:p>
    <w:p>
      <w:pPr>
        <w:pStyle w:val="TextBody"/>
        <w:spacing w:before="225" w:after="225"/>
        <w:ind w:left="0" w:right="0" w:hanging="0"/>
        <w:rPr>
          <w:rFonts w:ascii="Times New Roman" w:hAnsi="Times New Roman"/>
          <w:b/>
          <w:i/>
          <w:sz w:val="17"/>
        </w:rPr>
      </w:pPr>
      <w:r>
        <w:rPr>
          <w:rFonts w:ascii="Times New Roman" w:hAnsi="Times New Roman"/>
          <w:b/>
          <w:i/>
          <w:sz w:val="17"/>
        </w:rPr>
        <w:t>The combined company may not be able to fully capitalize upon planned growth projects.</w:t>
      </w:r>
    </w:p>
    <w:p>
      <w:pPr>
        <w:pStyle w:val="TextBody"/>
        <w:spacing w:before="225" w:after="225"/>
        <w:ind w:left="0" w:right="0" w:hanging="0"/>
        <w:rPr>
          <w:rFonts w:ascii="Times New Roman" w:hAnsi="Times New Roman"/>
          <w:sz w:val="17"/>
        </w:rPr>
      </w:pPr>
      <w:r>
        <w:rPr>
          <w:rFonts w:ascii="Times New Roman" w:hAnsi="Times New Roman"/>
          <w:sz w:val="17"/>
        </w:rPr>
        <w:t>The combined company will have a number of significant organic growth projects that require the expenditure of significant amounts of capital, including Pacific's Pier 400 project, Salt Lake City expansion and Cheyenne pipeline projects, and Plains' Pine Prairie joint venture and St. James terminal projects. Many of these projects involve numerous regulatory, environmental, weather-related, political and legal uncertainties that will be beyond the control of the combined company.  As these projects are undertaken, required approvals may not be obtained, may be delayed or may be obtained with conditions that materially alter the expected return associated with the underlying projects.  These projects may require significant outlays of capital.  Moreover, revenues associated with these organic growth projects will not increase immediately upon the expenditures of funds with respect to a particular project and these projects may be completed behind schedule or over budgeted cost.  Because of continuing increased demand for materials, equipment and services, there could be shortages and cost increases associated with construction projects. The combined company may construct pipelines, facilities or other assets in anticipation of market demand that dissipates or market growth that never materializes.  As a result of these uncertainties, the anticipated benefits associated with the combined company's capital projects may not be achieved.</w:t>
      </w:r>
      <w:bookmarkStart w:id="29" w:name="A2171512ZS_4_HTM_PAGE_DE1172_1_32"/>
      <w:bookmarkStart w:id="30" w:name="eolPage40"/>
      <w:bookmarkEnd w:id="29"/>
      <w:bookmarkEnd w:id="30"/>
    </w:p>
    <w:p>
      <w:pPr>
        <w:pStyle w:val="TextBody"/>
        <w:spacing w:before="225" w:after="225"/>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39</w:t>
      </w:r>
    </w:p>
    <w:p>
      <w:pPr>
        <w:pStyle w:val="TextBody"/>
        <w:spacing w:before="0" w:after="0"/>
        <w:rPr/>
      </w:pPr>
      <w:r>
        <w:rPr/>
      </w:r>
    </w:p>
    <w:p>
      <w:pPr>
        <w:pStyle w:val="HorizontalLine"/>
        <w:pBdr>
          <w:bottom w:val="single" w:sz="18" w:space="0" w:color="010101"/>
        </w:pBdr>
        <w:rPr/>
      </w:pPr>
      <w:r>
        <w:rPr/>
      </w:r>
      <w:r>
        <w:br w:type="page"/>
      </w:r>
    </w:p>
    <w:p>
      <w:pPr>
        <w:pStyle w:val="TextBody"/>
        <w:spacing w:before="225" w:after="225"/>
        <w:ind w:left="0" w:right="0" w:hanging="0"/>
        <w:rPr>
          <w:rFonts w:ascii="Times New Roman" w:hAnsi="Times New Roman"/>
          <w:b/>
          <w:i/>
          <w:sz w:val="17"/>
        </w:rPr>
      </w:pPr>
      <w:r>
        <w:rPr>
          <w:rFonts w:ascii="Times New Roman" w:hAnsi="Times New Roman"/>
          <w:b/>
          <w:i/>
          <w:sz w:val="17"/>
        </w:rPr>
        <w:t>The combined company's assets will be subject to federal, state and provincial regulation.</w:t>
      </w:r>
    </w:p>
    <w:p>
      <w:pPr>
        <w:pStyle w:val="TextBody"/>
        <w:spacing w:before="225" w:after="225"/>
        <w:ind w:left="0" w:right="0" w:hanging="0"/>
        <w:rPr>
          <w:rFonts w:ascii="Times New Roman" w:hAnsi="Times New Roman"/>
          <w:sz w:val="17"/>
        </w:rPr>
      </w:pPr>
      <w:r>
        <w:rPr>
          <w:rFonts w:ascii="Times New Roman" w:hAnsi="Times New Roman"/>
          <w:sz w:val="17"/>
        </w:rPr>
        <w:t>The combined company's domestic interstate common carrier pipelines will be subject to regulation by the FERC under the Interstate Commerce Act.  The Interstate Commerce Act requires that tariff rates for petroleum pipelines be just and reasonable and non-discriminatory.  The combined company's natural gas storage operations are subject to regulations by the FERC or the Michigan Public Service Commission.  In addition, failure to comply with applicable regulations under the Natural Gas Act, and certain other state laws could result in the imposition of administrative, civil and criminal remedies. The combined company also will be subject to the Pipeline Safety Regulations of the DOT.  The combined company's intrastate pipeline transportation activities will be subject to various state laws and regulations as well as orders of regulatory bodies.</w:t>
      </w:r>
    </w:p>
    <w:p>
      <w:pPr>
        <w:pStyle w:val="TextBody"/>
        <w:spacing w:before="225" w:after="225"/>
        <w:ind w:left="0" w:right="0" w:hanging="0"/>
        <w:rPr>
          <w:rFonts w:ascii="Times New Roman" w:hAnsi="Times New Roman"/>
          <w:sz w:val="17"/>
        </w:rPr>
      </w:pPr>
      <w:r>
        <w:rPr>
          <w:rFonts w:ascii="Times New Roman" w:hAnsi="Times New Roman"/>
          <w:sz w:val="17"/>
        </w:rPr>
        <w:t>The combined company's Canadian pipelines will be subject to regulation by the National Energy Board ("NEB") or by provincial agencies.  Under the National Energy Board Act, the NEB could investigate the tariff rates or the combined company's terms and conditions of service relating to a jurisdictional pipeline on its own initiative or at the urging of a shipper or other interested party and, if it found its rates or terms of service relating to such pipeline unjust or unreasonable or unjustly discriminatory, require the combined company to reduce its rates, provide access to other shippers, or change its terms of service.  A provincial agency could, on the application of a shipper or other interested party, investigate the tariff rates or the combined company's terms and conditions of service relating to its provincially regulated proprietary pipelines and, if it found its rates or terms of service unreasonable or unjustly discriminatory, declare the pipelines to be common carrier pipelines and require it to reduce its rates, provide access to other shippers, or otherwise alter its terms of service.  Any reduction in the combined company's tariff rates would most likely result in lower revenue and cash flows.</w:t>
      </w:r>
    </w:p>
    <w:p>
      <w:pPr>
        <w:pStyle w:val="TextBody"/>
        <w:spacing w:before="225" w:after="225"/>
        <w:ind w:left="0" w:right="0" w:hanging="0"/>
        <w:rPr>
          <w:rFonts w:ascii="Times New Roman" w:hAnsi="Times New Roman"/>
          <w:sz w:val="17"/>
        </w:rPr>
      </w:pPr>
      <w:r>
        <w:rPr>
          <w:rFonts w:ascii="Times New Roman" w:hAnsi="Times New Roman"/>
          <w:sz w:val="17"/>
        </w:rPr>
        <w:t>The laws and regulations governing pipeline operations are subject to change and interpretation by the relevant governmental agency.  Any such change or interpretation adverse to the combined company could have a material adverse effect on its operations, revenues and profitability.</w:t>
      </w:r>
      <w:bookmarkStart w:id="31" w:name="A2171512ZS_4_HTM_PAGE_DE1172_1_35"/>
      <w:bookmarkEnd w:id="31"/>
    </w:p>
    <w:p>
      <w:pPr>
        <w:pStyle w:val="TextBody"/>
        <w:spacing w:before="225" w:after="225"/>
        <w:ind w:left="0" w:right="0" w:hanging="0"/>
        <w:rPr>
          <w:rFonts w:ascii="Times New Roman" w:hAnsi="Times New Roman"/>
          <w:b/>
          <w:i/>
          <w:sz w:val="17"/>
        </w:rPr>
      </w:pPr>
      <w:r>
        <w:rPr>
          <w:rFonts w:ascii="Times New Roman" w:hAnsi="Times New Roman"/>
          <w:b/>
          <w:i/>
          <w:sz w:val="17"/>
        </w:rPr>
        <w:t>The combined companys operations will be subject to cross border regulation.</w:t>
      </w:r>
    </w:p>
    <w:p>
      <w:pPr>
        <w:pStyle w:val="TextBody"/>
        <w:spacing w:before="225" w:after="225"/>
        <w:ind w:left="0" w:right="0" w:hanging="0"/>
        <w:rPr>
          <w:caps w:val="false"/>
          <w:smallCaps w:val="false"/>
        </w:rPr>
      </w:pPr>
      <w:r>
        <w:rPr>
          <w:caps w:val="false"/>
          <w:smallCaps w:val="false"/>
        </w:rPr>
        <w:t xml:space="preserve">                </w:t>
      </w:r>
      <w:r>
        <w:rPr>
          <w:rFonts w:ascii="Times New Roman" w:hAnsi="Times New Roman"/>
          <w:b w:val="false"/>
          <w:i w:val="false"/>
          <w:caps w:val="false"/>
          <w:smallCaps w:val="false"/>
          <w:sz w:val="17"/>
        </w:rPr>
        <w:t>The combined companys cross border activities with its Canadian subsidiaries will subject it to regulatory matters, including export licenses, tariffs, Canadian and U.S. customs and tax issues and toxic substance certifications.  Regulations include the Short Supply Controls of the Export Administration Act, the North American Free Trade Agreement and the Toxic Substances Control Act.  Violations of these license, tariffs and tax reporting requirements could result in the imposition of significant administrative, civil and criminal penalties.</w:t>
      </w:r>
    </w:p>
    <w:p>
      <w:pPr>
        <w:pStyle w:val="TextBody"/>
        <w:spacing w:before="225" w:after="225"/>
        <w:ind w:left="0" w:right="0" w:hanging="0"/>
        <w:rPr>
          <w:rFonts w:ascii="Times New Roman" w:hAnsi="Times New Roman"/>
          <w:b/>
          <w:i/>
          <w:sz w:val="17"/>
        </w:rPr>
      </w:pPr>
      <w:r>
        <w:rPr>
          <w:rFonts w:ascii="Times New Roman" w:hAnsi="Times New Roman"/>
          <w:b/>
          <w:i/>
          <w:sz w:val="17"/>
        </w:rPr>
        <w:t>The combined company will be dependent on use of a third-party marine dock for delivery of waterborne crude oil into its storage and distribution facilities in the Los Angeles basin.</w:t>
      </w:r>
    </w:p>
    <w:p>
      <w:pPr>
        <w:pStyle w:val="TextBody"/>
        <w:spacing w:before="225" w:after="225"/>
        <w:ind w:left="0" w:right="0" w:hanging="0"/>
        <w:rPr>
          <w:rFonts w:ascii="Times New Roman" w:hAnsi="Times New Roman"/>
          <w:sz w:val="17"/>
        </w:rPr>
      </w:pPr>
      <w:r>
        <w:rPr>
          <w:rFonts w:ascii="Times New Roman" w:hAnsi="Times New Roman"/>
          <w:sz w:val="17"/>
        </w:rPr>
        <w:t>A portion of the combined company's storage and distribution business conducted in the Los Angeles basin will be dependent on its ability to receive waterborne crude oil and other dark products, a major portion of which are presently being received through dock facilities operated by Shell Oil Products in the Port of Long Beach.  The agreement that will allow the combined company to utilize these dock facilities expires in October 2006, and there is no guarantee that it will be renewed.  If this agreement is not renewed and if other alternative dock access cannot be arranged, the volumes of crude oil and other dark products that Pacific presently receives from its customers in the Los Angeles basin may be reduced, which could result in a reduction of storage and distribution revenue and cash flow.</w:t>
      </w:r>
    </w:p>
    <w:p>
      <w:pPr>
        <w:pStyle w:val="TextBody"/>
        <w:spacing w:before="225" w:after="225"/>
        <w:ind w:left="0" w:right="0" w:hanging="0"/>
        <w:rPr>
          <w:rFonts w:ascii="Times New Roman" w:hAnsi="Times New Roman"/>
          <w:b/>
          <w:i/>
          <w:sz w:val="17"/>
        </w:rPr>
      </w:pPr>
      <w:r>
        <w:rPr>
          <w:rFonts w:ascii="Times New Roman" w:hAnsi="Times New Roman"/>
          <w:b/>
          <w:i/>
          <w:sz w:val="17"/>
        </w:rPr>
        <w:t>An impairment of goodwill could reduce the combined company's earnings.</w:t>
      </w:r>
    </w:p>
    <w:p>
      <w:pPr>
        <w:pStyle w:val="TextBody"/>
        <w:spacing w:before="225" w:after="225"/>
        <w:ind w:left="0" w:right="0" w:hanging="0"/>
        <w:rPr>
          <w:rFonts w:ascii="Times New Roman" w:hAnsi="Times New Roman"/>
          <w:sz w:val="17"/>
        </w:rPr>
      </w:pPr>
      <w:r>
        <w:rPr>
          <w:rFonts w:ascii="Times New Roman" w:hAnsi="Times New Roman"/>
          <w:sz w:val="17"/>
        </w:rPr>
        <w:t>Plains currently expects to record a significant amount of goodwill upon completion of the merger with Pacific, but Plains preliminary estimate is subject to change pending the completion of an independent</w:t>
      </w:r>
      <w:bookmarkStart w:id="32" w:name="A2171512ZS_4_HTM_PAGE_DE1172_1_36"/>
      <w:bookmarkStart w:id="33" w:name="eolPage44"/>
      <w:bookmarkEnd w:id="32"/>
      <w:bookmarkEnd w:id="33"/>
      <w:r>
        <w:rPr>
          <w:rFonts w:ascii="Times New Roman" w:hAnsi="Times New Roman"/>
          <w:sz w:val="17"/>
        </w:rPr>
        <w:t xml:space="preserve"> appraisal.  Goodwill is recorded when the purchase price of a business exceeds the fair market value of the acquired tangible and separately measurable intangible net assets.  U.S. generally accepted accounting principles, or GAAP, will require the combined company to test goodwill for impairment on an annual basis or when events or circumstances occur indicating that goodwill might be impaired.  If the combined company were to determine that any of its remaining balance of goodwill was impaired, it would be required to take an immediate charge to earnings with a corresponding reduction of partners' equity and increase in balance sheet leverage as measured by debt to total capitalization.</w:t>
      </w:r>
      <w:bookmarkStart w:id="34" w:name="A2171512ZS_4_HTM_PAGE_DE1172_1_38"/>
      <w:bookmarkStart w:id="35" w:name="eolPage46"/>
      <w:bookmarkStart w:id="36" w:name="A2171512ZS_4_HTM_PAGE_DE1172_1_37"/>
      <w:bookmarkStart w:id="37" w:name="eolPage45"/>
      <w:bookmarkEnd w:id="34"/>
      <w:bookmarkEnd w:id="35"/>
      <w:bookmarkEnd w:id="36"/>
      <w:bookmarkEnd w:id="37"/>
    </w:p>
    <w:p>
      <w:pPr>
        <w:pStyle w:val="TextBody"/>
        <w:spacing w:before="225" w:after="225"/>
        <w:ind w:left="0" w:right="0" w:hanging="0"/>
        <w:rPr>
          <w:rFonts w:ascii="Times New Roman" w:hAnsi="Times New Roman"/>
          <w:b/>
          <w:sz w:val="17"/>
        </w:rPr>
      </w:pPr>
      <w:r>
        <w:rPr>
          <w:rFonts w:ascii="Times New Roman" w:hAnsi="Times New Roman"/>
          <w:b/>
          <w:sz w:val="17"/>
        </w:rPr>
        <w:t xml:space="preserve">Tax Risks Related to the Merger </w:t>
      </w:r>
    </w:p>
    <w:p>
      <w:pPr>
        <w:pStyle w:val="TextBody"/>
        <w:spacing w:before="225" w:after="225"/>
        <w:ind w:left="0" w:right="0" w:hanging="0"/>
        <w:rPr>
          <w:rFonts w:ascii="Times New Roman" w:hAnsi="Times New Roman"/>
          <w:b/>
          <w:i/>
          <w:sz w:val="17"/>
        </w:rPr>
      </w:pPr>
      <w:r>
        <w:rPr>
          <w:rFonts w:ascii="Times New Roman" w:hAnsi="Times New Roman"/>
          <w:b/>
          <w:i/>
          <w:sz w:val="17"/>
        </w:rPr>
        <w:t>No ruling has been obtained with respect to the tax consequences of the merger.</w:t>
      </w:r>
    </w:p>
    <w:p>
      <w:pPr>
        <w:pStyle w:val="TextBody"/>
        <w:spacing w:before="225" w:after="225"/>
        <w:ind w:left="0" w:right="0" w:hanging="0"/>
        <w:rPr>
          <w:rFonts w:ascii="Times New Roman" w:hAnsi="Times New Roman"/>
          <w:sz w:val="17"/>
        </w:rPr>
      </w:pPr>
      <w:r>
        <w:rPr>
          <w:rFonts w:ascii="Times New Roman" w:hAnsi="Times New Roman"/>
          <w:sz w:val="17"/>
        </w:rPr>
        <w:t>Although it is anticipated that no gain or loss will be recognized by a Plains unitholder as a result of the merger (except with respect to a net decrease in a unitholder's share of nonrecourse liabilities discussed below), no ruling has been or will be requested from the Internal Revenue Service, or IRS, with respect to the tax consequences of the merger.  Instead, Plains is relying on the opinion of its counsel as to the tax consequences of the merger, and counsel's conclusions may not be sustained if challenged by the IRS.</w:t>
      </w:r>
    </w:p>
    <w:p>
      <w:pPr>
        <w:pStyle w:val="TextBody"/>
        <w:spacing w:before="225" w:after="225"/>
        <w:ind w:left="0" w:right="0" w:hanging="0"/>
        <w:rPr>
          <w:rFonts w:ascii="Times New Roman" w:hAnsi="Times New Roman"/>
          <w:b/>
          <w:i/>
          <w:sz w:val="17"/>
        </w:rPr>
      </w:pPr>
      <w:r>
        <w:rPr>
          <w:rFonts w:ascii="Times New Roman" w:hAnsi="Times New Roman"/>
          <w:b/>
          <w:i/>
          <w:sz w:val="17"/>
        </w:rPr>
        <w:t>The merger may result in income recognition by Plains unitholders.</w:t>
      </w:r>
    </w:p>
    <w:p>
      <w:pPr>
        <w:pStyle w:val="TextBody"/>
        <w:spacing w:before="225" w:after="225"/>
        <w:ind w:left="0" w:right="0" w:hanging="0"/>
        <w:rPr>
          <w:rFonts w:ascii="Times New Roman" w:hAnsi="Times New Roman"/>
          <w:sz w:val="17"/>
        </w:rPr>
      </w:pPr>
      <w:r>
        <w:rPr>
          <w:rFonts w:ascii="Times New Roman" w:hAnsi="Times New Roman"/>
          <w:sz w:val="17"/>
        </w:rPr>
        <w:t>As a result of the merger, a Plains unitholder's share of nonrecourse liabilities will be recalculated. Each Plains unitholder will be treated as receiving a deemed cash distribution equal to the excess, if any, of such unitholder's share of nonrecourse liabilities immediately before the merger over such unitholder's share of nonrecourse liabilities immediately following the merger.  If the amount of the deemed cash distribution received by a Plains unitholder exceeds the unitholder's basis in his partnership interest, such unitholder will recognize gain in an amount equal to such excess.  The application of the rules governing the allocation of nonrecourse liabilities in the context of the merger is complex and subject to uncertainty. There can be no assurance that there will not be a net decrease in the amount of nonrecourse liabilities allocable to a Plains common unitholder as a result of the merger.</w:t>
      </w:r>
      <w:bookmarkStart w:id="38" w:name="A2171512ZS_4_HTM_PAGE_DE1172_1_41"/>
      <w:bookmarkStart w:id="39" w:name="eolPage49"/>
      <w:bookmarkStart w:id="40" w:name="A2171512ZS_4_HTM_PAGE_DE1172_1_39"/>
      <w:bookmarkStart w:id="41" w:name="eolPage47"/>
      <w:bookmarkEnd w:id="38"/>
      <w:bookmarkEnd w:id="39"/>
      <w:bookmarkEnd w:id="40"/>
      <w:bookmarkEnd w:id="41"/>
    </w:p>
    <w:p>
      <w:pPr>
        <w:pStyle w:val="TextBody"/>
        <w:spacing w:before="480" w:after="480"/>
        <w:ind w:left="0" w:right="0" w:hanging="0"/>
        <w:rPr>
          <w:rFonts w:ascii="Times New Roman" w:hAnsi="Times New Roman"/>
          <w:sz w:val="17"/>
        </w:rPr>
      </w:pPr>
      <w:r>
        <w:rPr>
          <w:rFonts w:ascii="Times New Roman" w:hAnsi="Times New Roman"/>
          <w:sz w:val="17"/>
        </w:rPr>
        <w:t>40</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940" w:right="0" w:hanging="940"/>
        <w:rPr>
          <w:rFonts w:ascii="Times New Roman" w:hAnsi="Times New Roman"/>
          <w:b/>
          <w:sz w:val="17"/>
        </w:rPr>
      </w:pPr>
      <w:r>
        <w:rPr>
          <w:rFonts w:ascii="Times New Roman" w:hAnsi="Times New Roman"/>
          <w:b/>
          <w:sz w:val="17"/>
        </w:rPr>
        <w:t>Item 2.                          UNREGISTERED SALES OF EQUITY SECURITIES AND USE OF PROCEEDS</w:t>
      </w:r>
      <w:bookmarkStart w:id="42" w:name="Item2_UnregisteredSalesOfEquitySe_121345"/>
      <w:bookmarkEnd w:id="42"/>
    </w:p>
    <w:p>
      <w:pPr>
        <w:pStyle w:val="TextBody"/>
        <w:spacing w:before="0" w:after="240"/>
        <w:ind w:left="0" w:right="0" w:firstLine="400"/>
        <w:rPr>
          <w:rFonts w:ascii="Times New Roman" w:hAnsi="Times New Roman"/>
          <w:sz w:val="17"/>
        </w:rPr>
      </w:pPr>
      <w:r>
        <w:rPr>
          <w:rFonts w:ascii="Times New Roman" w:hAnsi="Times New Roman"/>
          <w:sz w:val="17"/>
        </w:rPr>
        <w:t>None.</w:t>
      </w:r>
    </w:p>
    <w:p>
      <w:pPr>
        <w:pStyle w:val="TextBody"/>
        <w:keepNext w:val="true"/>
        <w:spacing w:before="0" w:after="240"/>
        <w:ind w:left="940" w:right="0" w:hanging="940"/>
        <w:rPr>
          <w:rFonts w:ascii="Times New Roman" w:hAnsi="Times New Roman"/>
          <w:b/>
          <w:sz w:val="17"/>
        </w:rPr>
      </w:pPr>
      <w:r>
        <w:rPr>
          <w:rFonts w:ascii="Times New Roman" w:hAnsi="Times New Roman"/>
          <w:b/>
          <w:sz w:val="17"/>
        </w:rPr>
        <w:t>Item 3.                          DEFAULTS UPON SENIOR SECURITIES</w:t>
      </w:r>
      <w:bookmarkStart w:id="43" w:name="Item3_DefaultsUponSeniorSecuritie_121348"/>
      <w:bookmarkEnd w:id="43"/>
    </w:p>
    <w:p>
      <w:pPr>
        <w:pStyle w:val="TextBody"/>
        <w:spacing w:before="0" w:after="240"/>
        <w:ind w:left="0" w:right="0" w:firstLine="400"/>
        <w:rPr>
          <w:rFonts w:ascii="Times New Roman" w:hAnsi="Times New Roman"/>
          <w:sz w:val="17"/>
        </w:rPr>
      </w:pPr>
      <w:r>
        <w:rPr>
          <w:rFonts w:ascii="Times New Roman" w:hAnsi="Times New Roman"/>
          <w:sz w:val="17"/>
        </w:rPr>
        <w:t>None.</w:t>
      </w:r>
    </w:p>
    <w:p>
      <w:pPr>
        <w:pStyle w:val="TextBody"/>
        <w:keepNext w:val="true"/>
        <w:spacing w:before="0" w:after="240"/>
        <w:ind w:left="940" w:right="0" w:hanging="940"/>
        <w:rPr>
          <w:rFonts w:ascii="Times New Roman" w:hAnsi="Times New Roman"/>
          <w:b/>
          <w:sz w:val="17"/>
        </w:rPr>
      </w:pPr>
      <w:r>
        <w:rPr>
          <w:rFonts w:ascii="Times New Roman" w:hAnsi="Times New Roman"/>
          <w:b/>
          <w:sz w:val="17"/>
        </w:rPr>
        <w:t>Item 4.                          SUBMISSION OF MATTERS TO A VOTE OF SECURITY HOLDERS</w:t>
      </w:r>
      <w:bookmarkStart w:id="44" w:name="Item4_SubmissionOfMattersToAVoteO_121351"/>
      <w:bookmarkEnd w:id="44"/>
    </w:p>
    <w:p>
      <w:pPr>
        <w:pStyle w:val="TextBody"/>
        <w:spacing w:before="0" w:after="240"/>
        <w:ind w:left="0" w:right="0" w:firstLine="400"/>
        <w:rPr>
          <w:rFonts w:ascii="Times New Roman" w:hAnsi="Times New Roman"/>
          <w:sz w:val="17"/>
        </w:rPr>
      </w:pPr>
      <w:r>
        <w:rPr>
          <w:rFonts w:ascii="Times New Roman" w:hAnsi="Times New Roman"/>
          <w:sz w:val="17"/>
        </w:rPr>
        <w:t>None.</w:t>
      </w:r>
    </w:p>
    <w:p>
      <w:pPr>
        <w:pStyle w:val="TextBody"/>
        <w:keepNext w:val="true"/>
        <w:spacing w:before="0" w:after="240"/>
        <w:ind w:left="940" w:right="0" w:hanging="940"/>
        <w:rPr>
          <w:rFonts w:ascii="Times New Roman" w:hAnsi="Times New Roman"/>
          <w:b/>
          <w:sz w:val="17"/>
        </w:rPr>
      </w:pPr>
      <w:r>
        <w:rPr>
          <w:rFonts w:ascii="Times New Roman" w:hAnsi="Times New Roman"/>
          <w:b/>
          <w:sz w:val="17"/>
        </w:rPr>
        <w:t>Item 5.                          OTHER INFORMATION</w:t>
      </w:r>
      <w:bookmarkStart w:id="45" w:name="Item5_OtherInformation_121354"/>
      <w:bookmarkEnd w:id="45"/>
    </w:p>
    <w:p>
      <w:pPr>
        <w:pStyle w:val="TextBody"/>
        <w:spacing w:before="0" w:after="240"/>
        <w:ind w:left="0" w:right="0" w:firstLine="400"/>
        <w:rPr>
          <w:rFonts w:ascii="Times New Roman" w:hAnsi="Times New Roman"/>
          <w:sz w:val="17"/>
        </w:rPr>
      </w:pPr>
      <w:r>
        <w:rPr>
          <w:rFonts w:ascii="Times New Roman" w:hAnsi="Times New Roman"/>
          <w:sz w:val="17"/>
        </w:rPr>
        <w:t>None.</w:t>
      </w:r>
    </w:p>
    <w:p>
      <w:pPr>
        <w:pStyle w:val="TextBody"/>
        <w:spacing w:before="480" w:after="480"/>
        <w:ind w:left="0" w:right="0" w:hanging="0"/>
        <w:rPr>
          <w:rFonts w:ascii="Times New Roman" w:hAnsi="Times New Roman"/>
          <w:sz w:val="17"/>
        </w:rPr>
      </w:pPr>
      <w:r>
        <w:rPr>
          <w:rFonts w:ascii="Times New Roman" w:hAnsi="Times New Roman"/>
          <w:sz w:val="17"/>
        </w:rPr>
        <w:t>41</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940" w:right="0" w:hanging="940"/>
        <w:rPr>
          <w:rFonts w:ascii="Times New Roman" w:hAnsi="Times New Roman"/>
          <w:b/>
          <w:sz w:val="17"/>
        </w:rPr>
      </w:pPr>
      <w:r>
        <w:rPr>
          <w:rFonts w:ascii="Times New Roman" w:hAnsi="Times New Roman"/>
          <w:b/>
          <w:sz w:val="17"/>
        </w:rPr>
        <w:t>Item 6.                          EXHIBITS</w:t>
      </w:r>
      <w:bookmarkStart w:id="46" w:name="Item6_Exhibits_140139"/>
      <w:bookmarkEnd w:id="46"/>
    </w:p>
    <w:tbl>
      <w:tblPr>
        <w:tblW w:w="5000" w:type="pct"/>
        <w:jc w:val="left"/>
        <w:tblInd w:w="0" w:type="dxa"/>
        <w:tblCellMar>
          <w:top w:w="0" w:type="dxa"/>
          <w:left w:w="0" w:type="dxa"/>
          <w:bottom w:w="0" w:type="dxa"/>
          <w:right w:w="0" w:type="dxa"/>
        </w:tblCellMar>
      </w:tblPr>
      <w:tblGrid>
        <w:gridCol w:w="514"/>
        <w:gridCol w:w="206"/>
        <w:gridCol w:w="9485"/>
      </w:tblGrid>
      <w:tr>
        <w:trPr/>
        <w:tc>
          <w:tcPr>
            <w:tcW w:w="514" w:type="dxa"/>
            <w:tcBorders/>
            <w:shd w:fill="auto" w:val="clear"/>
          </w:tcPr>
          <w:p>
            <w:pPr>
              <w:pStyle w:val="TableContents"/>
              <w:spacing w:before="0" w:after="0"/>
              <w:ind w:left="0" w:right="0" w:hanging="0"/>
              <w:jc w:val="right"/>
              <w:rPr>
                <w:sz w:val="17"/>
              </w:rPr>
            </w:pPr>
            <w:r>
              <w:rPr>
                <w:sz w:val="17"/>
              </w:rPr>
              <w:t>2.1</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Agreement and Plan of Merger dated as of June 11, 2006 by and among Plains All American Pipeline, L.P., Plains AAP, L.P., Plains All American GP LLC, Pacific Energy Partners, L.P., Pacific Energy Management LLC and Pacific Energy GP, LP (incorporated by reference to Exhibit 2.2 to the Current Report on Form 8-K filed June 12, 2006)</w:t>
            </w:r>
          </w:p>
        </w:tc>
      </w:tr>
      <w:tr>
        <w:trPr/>
        <w:tc>
          <w:tcPr>
            <w:tcW w:w="514"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 Agreement dated as of June 11, 2006 by and between Plains All American Pipeline, L.P. and LB Pacific, LP (incorporated by reference to Exhibit 2.1 to the Current Report on Form 8-K filed June 12, 2006)</w:t>
            </w:r>
          </w:p>
        </w:tc>
      </w:tr>
      <w:tr>
        <w:trPr/>
        <w:tc>
          <w:tcPr>
            <w:tcW w:w="514"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All American Pipeline, L.P., dated as of June 27, 2001 (incorporated by reference to Exhibit 3.1 to Form 8-K filed August 27, 2001), as amended by Amendment No. 1 to the Third Amended and Restated Agreement of Limited Partnership of Plains All American Pipeline, L.P., dated as of April 15, 2004 (incorporated by reference to Exhibit 3.1 to the Quarterly Report on Form 10-Q for the quarter ended March 31, 2004)</w:t>
            </w:r>
          </w:p>
        </w:tc>
      </w:tr>
      <w:tr>
        <w:trPr/>
        <w:tc>
          <w:tcPr>
            <w:tcW w:w="514"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Marketing, L.P. dated as of April 1, 2004 (incorporated by reference to Exhibit 3.2 to the Quarterly Report on Form 10-Q for the quarter ended March 31, 2004)</w:t>
            </w:r>
          </w:p>
        </w:tc>
      </w:tr>
      <w:tr>
        <w:trPr/>
        <w:tc>
          <w:tcPr>
            <w:tcW w:w="514"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Amended and Restated Agreement of Limited Partnership of Plains Pipeline, L.P. dated as of April 1, 2004 (incorporated by reference to Exhibit 3.3 to the Quarterly Report on Form 10-Q for the quarter ended March 31, 2004)</w:t>
            </w:r>
          </w:p>
        </w:tc>
      </w:tr>
      <w:tr>
        <w:trPr/>
        <w:tc>
          <w:tcPr>
            <w:tcW w:w="514"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Certificate of Incorporation of PAA Finance Corp. (incorporated by reference to Exhibit 3.6 to the Registration Statement on Form S-3 filed August 27, 2001)</w:t>
            </w:r>
          </w:p>
        </w:tc>
      </w:tr>
      <w:tr>
        <w:trPr/>
        <w:tc>
          <w:tcPr>
            <w:tcW w:w="514"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Bylaws of PAA Finance Corp. (incorporated by reference to Exhibit 3.7 to the Registration Statement on Form S-3 filed August 27, 2001)</w:t>
            </w:r>
          </w:p>
        </w:tc>
      </w:tr>
      <w:tr>
        <w:trPr/>
        <w:tc>
          <w:tcPr>
            <w:tcW w:w="514"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Amended and Restated Limited Liability Company Agreement of Plains All American GP LLC, dated September 12, 2005 (incorporated by reference to Exhibit 3.1 to the Current Report on Form 8-K filed September 16, 2005)</w:t>
            </w:r>
          </w:p>
        </w:tc>
      </w:tr>
      <w:tr>
        <w:trPr/>
        <w:tc>
          <w:tcPr>
            <w:tcW w:w="514"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Amended and Restated Limited Partnership Agreement of Plains AAP, L.P., dated September 12, 2005 (incorporated by reference to Exhibit 3.2 to the Current Report on Form 8-K filed September 16, 2005)</w:t>
            </w:r>
          </w:p>
        </w:tc>
      </w:tr>
      <w:tr>
        <w:trPr/>
        <w:tc>
          <w:tcPr>
            <w:tcW w:w="514"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Indenture dated September 25, 2002 among Plains All American Pipeline, L.P., PAA Finance Corp. and Wachovia Bank, National Association (incorporated by reference to Exhibit 4.1 to the Quarterly Report on Form 10-Q for the quarter ended September 30, 2002)</w:t>
            </w:r>
          </w:p>
        </w:tc>
      </w:tr>
      <w:tr>
        <w:trPr/>
        <w:tc>
          <w:tcPr>
            <w:tcW w:w="514"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the Quarterly Report on Form 10-Q for the quarter ended September 30, 2002)</w:t>
            </w:r>
          </w:p>
        </w:tc>
      </w:tr>
      <w:tr>
        <w:trPr/>
        <w:tc>
          <w:tcPr>
            <w:tcW w:w="514"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the Annual Report on Form 10-K for the year ended December 31, 2003)</w:t>
            </w:r>
          </w:p>
        </w:tc>
      </w:tr>
      <w:tr>
        <w:trPr/>
        <w:tc>
          <w:tcPr>
            <w:tcW w:w="514"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 Supplemental Indenture (Series A and Series B 4.75% Senior Notes due 2009) dated August 12, 2004 among Plains All American Pipeline, L.P., PAA Finance Corp., the Subsidiary Guarantors named therein and Wachovia Bank, National Association (incorporated by reference to Exhibit 4.4 to the Registration Statement on Form S-4, File No. 333-121168)</w:t>
            </w:r>
          </w:p>
        </w:tc>
      </w:tr>
      <w:tr>
        <w:trPr/>
        <w:tc>
          <w:tcPr>
            <w:tcW w:w="514"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Fourth Supplemental Indenture (Series A and Series B 5.875% Senior Notes due 2016) dated August 12, 2004 among Plains All American Pipeline, L.P., PAA Finance Corp., the Subsidiary Guarantors named therein and Wachovia Bank, National Association (incorporated by reference to Exhibit 4.5 to the Registration Statement on Form S-4, File No. 333-121168)</w:t>
            </w:r>
          </w:p>
        </w:tc>
      </w:tr>
    </w:tbl>
    <w:p>
      <w:pPr>
        <w:pStyle w:val="TextBody"/>
        <w:spacing w:before="0" w:after="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42</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
        <w:gridCol w:w="206"/>
        <w:gridCol w:w="9484"/>
      </w:tblGrid>
      <w:tr>
        <w:trPr/>
        <w:tc>
          <w:tcPr>
            <w:tcW w:w="515" w:type="dxa"/>
            <w:tcBorders/>
            <w:shd w:fill="auto" w:val="clear"/>
          </w:tcPr>
          <w:p>
            <w:pPr>
              <w:pStyle w:val="TableContents"/>
              <w:spacing w:before="0" w:after="0"/>
              <w:ind w:left="0" w:right="0" w:hanging="0"/>
              <w:jc w:val="right"/>
              <w:rPr>
                <w:sz w:val="17"/>
              </w:rPr>
            </w:pPr>
            <w:r>
              <w:rPr>
                <w:sz w:val="17"/>
              </w:rPr>
              <w:t>4.6</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Fifth Supplemental Indenture (Series A and Series B 5.25% Senior Notes due 2015) dated May 27, 2005 among Plains All American Pipeline, L.P., PAA Finance Corp., the Subsidiary Guarantors named therein and Wachovia Bank, National Association (incorporated by reference to Exhibit 4.1 to the Current Report on Form 8-K filed May 31, 2005)</w:t>
            </w:r>
          </w:p>
        </w:tc>
      </w:tr>
      <w:tr>
        <w:trPr/>
        <w:tc>
          <w:tcPr>
            <w:tcW w:w="515"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4" w:type="dxa"/>
            <w:tcBorders/>
            <w:shd w:fill="auto" w:val="clear"/>
          </w:tcPr>
          <w:p>
            <w:pPr>
              <w:pStyle w:val="TableContents"/>
              <w:spacing w:before="0" w:after="0"/>
              <w:ind w:left="0" w:right="0" w:hanging="0"/>
              <w:rPr/>
            </w:pPr>
            <w:r>
              <w:rPr/>
              <w:t> </w:t>
            </w:r>
          </w:p>
        </w:tc>
      </w:tr>
      <w:tr>
        <w:trPr/>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Sixth Supplemental Indenture, dated as of May 12, 2006, to Indenture, dated as of September 25, 2002, among Plains All American Pipeline, L.P., PAA Finance Corp. and subsidiary guarantors signatory thereto and Wachovia Bank, National Association, as trustee (incorporated by reference to Exhibit 4.1 to the Current Report on Form 8-K filed May 12, 2006)</w:t>
            </w:r>
          </w:p>
        </w:tc>
      </w:tr>
      <w:tr>
        <w:trPr/>
        <w:tc>
          <w:tcPr>
            <w:tcW w:w="515"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4" w:type="dxa"/>
            <w:tcBorders/>
            <w:shd w:fill="auto" w:val="clear"/>
          </w:tcPr>
          <w:p>
            <w:pPr>
              <w:pStyle w:val="TableContents"/>
              <w:spacing w:before="0" w:after="0"/>
              <w:ind w:left="0" w:right="0" w:hanging="0"/>
              <w:rPr/>
            </w:pPr>
            <w:r>
              <w:rPr/>
              <w:t> </w:t>
            </w:r>
          </w:p>
        </w:tc>
      </w:tr>
      <w:tr>
        <w:trPr/>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Exchange and Registration Rights Agreement, dated as of May 12, 2006, among Plains All American Pipeline, L.P., PAA Finance Corp., Plains Marketing, L.P., Plains Pipeline, L.P., Plains Marketing GP Inc., Plains Marketing Canada LLC, PMC (Nova Scotia) Company, Plains Marketing Canada, L.P., Basin Holdings GP LLC, Basin Pipeline Holdings, L.P., Rancho Holdings GP LLC, Rancho Pipeline Holdings, L.P., Plains LPG Services GP LLC, Plains LPG Services, L.P., Lone Star Trucking, LLC, Citigroup Global Markets Inc., UBS Securities LLC, BNP Paribas Securities Corp., Banc of America Securities LLC, Fortis Securities LLC, J.P. Morgan Securities Inc., Piper Jaffray &amp; Co., Wachovia Capital Markets, LLC, Amegy Bank National Association, Commerzbank Capital Markets Corp., DnB NOR Markets, Inc., HSBC Securities (USA) Inc. and Mitsubishi UFJ Securities International plc (incorporated by reference to Exhibit 4.2 to the Current Report on Form 8-K filed May 12, 2006)</w:t>
            </w:r>
          </w:p>
        </w:tc>
      </w:tr>
      <w:tr>
        <w:trPr/>
        <w:tc>
          <w:tcPr>
            <w:tcW w:w="515"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4" w:type="dxa"/>
            <w:tcBorders/>
            <w:shd w:fill="auto" w:val="clear"/>
          </w:tcPr>
          <w:p>
            <w:pPr>
              <w:pStyle w:val="TableContents"/>
              <w:spacing w:before="0" w:after="0"/>
              <w:ind w:left="0" w:right="0" w:hanging="0"/>
              <w:rPr/>
            </w:pPr>
            <w:r>
              <w:rPr/>
              <w:t> </w:t>
            </w:r>
          </w:p>
        </w:tc>
      </w:tr>
      <w:tr>
        <w:trPr/>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Seventh Supplemental Indenture, dated as of May 12, 2006, to Indenture, dated as of September 25, 2002, among Plains All American Pipeline, L.P., PAA Finance Corp., Plains LPG Services GP LLC, Plains LPG Services, L.P. and Lone Star Trucking, LLC and Wachovia Bank, National Association, as trustee (incorporated by reference to Exhibit 4.3 to the Current Report on Form 8-K filed May 12, 2006)</w:t>
            </w:r>
          </w:p>
        </w:tc>
      </w:tr>
      <w:tr>
        <w:trPr/>
        <w:tc>
          <w:tcPr>
            <w:tcW w:w="515"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4" w:type="dxa"/>
            <w:tcBorders/>
            <w:shd w:fill="auto" w:val="clear"/>
          </w:tcPr>
          <w:p>
            <w:pPr>
              <w:pStyle w:val="TableContents"/>
              <w:spacing w:before="0" w:after="0"/>
              <w:ind w:left="0" w:right="0" w:hanging="0"/>
              <w:rPr/>
            </w:pPr>
            <w:r>
              <w:rPr/>
              <w:t> </w:t>
            </w:r>
          </w:p>
        </w:tc>
      </w:tr>
      <w:tr>
        <w:trPr/>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0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w:t>
            </w:r>
          </w:p>
        </w:tc>
        <w:tc>
          <w:tcPr>
            <w:tcW w:w="94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First Amendment dated May 9, 2006 to the Amended and Restated Limited Liability Company Agreement of PAA/Vulcan Gas Storage, LLC dated September 13, 2005 (incorporated by reference to Exhibit 10.1 to the Current Report on Form 8-K filed May 15, 2006)</w:t>
            </w:r>
          </w:p>
        </w:tc>
      </w:tr>
      <w:tr>
        <w:trPr/>
        <w:tc>
          <w:tcPr>
            <w:tcW w:w="515"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4" w:type="dxa"/>
            <w:tcBorders/>
            <w:shd w:fill="auto" w:val="clear"/>
          </w:tcPr>
          <w:p>
            <w:pPr>
              <w:pStyle w:val="TableContents"/>
              <w:spacing w:before="0" w:after="0"/>
              <w:ind w:left="0" w:right="0" w:hanging="0"/>
              <w:rPr/>
            </w:pPr>
            <w:r>
              <w:rPr/>
              <w:t> </w:t>
            </w:r>
          </w:p>
        </w:tc>
      </w:tr>
      <w:tr>
        <w:trPr/>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31.1</w:t>
            </w:r>
          </w:p>
        </w:tc>
        <w:tc>
          <w:tcPr>
            <w:tcW w:w="206" w:type="dxa"/>
            <w:tcBorders/>
            <w:shd w:fill="auto" w:val="clear"/>
          </w:tcPr>
          <w:p>
            <w:pPr>
              <w:pStyle w:val="TableContents"/>
              <w:spacing w:before="0" w:after="0"/>
              <w:ind w:left="0" w:right="0" w:hanging="0"/>
              <w:jc w:val="center"/>
              <w:rPr/>
            </w:pPr>
            <w:r>
              <w:rPr/>
              <w:t> </w:t>
            </w:r>
          </w:p>
        </w:tc>
        <w:tc>
          <w:tcPr>
            <w:tcW w:w="94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Exchange Act Rules 13a-14(a) and 15d-14(a)</w:t>
            </w:r>
          </w:p>
        </w:tc>
      </w:tr>
      <w:tr>
        <w:trPr/>
        <w:tc>
          <w:tcPr>
            <w:tcW w:w="515"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4" w:type="dxa"/>
            <w:tcBorders/>
            <w:shd w:fill="auto" w:val="clear"/>
          </w:tcPr>
          <w:p>
            <w:pPr>
              <w:pStyle w:val="TableContents"/>
              <w:spacing w:before="0" w:after="0"/>
              <w:ind w:left="0" w:right="0" w:hanging="0"/>
              <w:rPr/>
            </w:pPr>
            <w:r>
              <w:rPr/>
              <w:t> </w:t>
            </w:r>
          </w:p>
        </w:tc>
      </w:tr>
      <w:tr>
        <w:trPr/>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206" w:type="dxa"/>
            <w:tcBorders/>
            <w:shd w:fill="auto" w:val="clear"/>
          </w:tcPr>
          <w:p>
            <w:pPr>
              <w:pStyle w:val="TableContents"/>
              <w:spacing w:before="0" w:after="0"/>
              <w:ind w:left="0" w:right="0" w:hanging="0"/>
              <w:jc w:val="center"/>
              <w:rPr/>
            </w:pPr>
            <w:r>
              <w:rPr/>
              <w:t> </w:t>
            </w:r>
          </w:p>
        </w:tc>
        <w:tc>
          <w:tcPr>
            <w:tcW w:w="94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Exchange Act Rules 13a-14(a) and 15d-14(a)</w:t>
            </w:r>
          </w:p>
        </w:tc>
      </w:tr>
      <w:tr>
        <w:trPr/>
        <w:tc>
          <w:tcPr>
            <w:tcW w:w="515"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4" w:type="dxa"/>
            <w:tcBorders/>
            <w:shd w:fill="auto" w:val="clear"/>
          </w:tcPr>
          <w:p>
            <w:pPr>
              <w:pStyle w:val="TableContents"/>
              <w:spacing w:before="0" w:after="0"/>
              <w:ind w:left="0" w:right="0" w:hanging="0"/>
              <w:rPr/>
            </w:pPr>
            <w:r>
              <w:rPr/>
              <w:t> </w:t>
            </w:r>
          </w:p>
        </w:tc>
      </w:tr>
      <w:tr>
        <w:trPr/>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*32.1</w:t>
            </w:r>
          </w:p>
        </w:tc>
        <w:tc>
          <w:tcPr>
            <w:tcW w:w="206" w:type="dxa"/>
            <w:tcBorders/>
            <w:shd w:fill="auto" w:val="clear"/>
          </w:tcPr>
          <w:p>
            <w:pPr>
              <w:pStyle w:val="TableContents"/>
              <w:spacing w:before="0" w:after="0"/>
              <w:ind w:left="0" w:right="0" w:hanging="0"/>
              <w:jc w:val="center"/>
              <w:rPr/>
            </w:pPr>
            <w:r>
              <w:rPr/>
              <w:t> </w:t>
            </w:r>
          </w:p>
        </w:tc>
        <w:tc>
          <w:tcPr>
            <w:tcW w:w="94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Executive Officer pursuant to 18 U.S.C. 1350</w:t>
            </w:r>
          </w:p>
        </w:tc>
      </w:tr>
      <w:tr>
        <w:trPr/>
        <w:tc>
          <w:tcPr>
            <w:tcW w:w="515" w:type="dxa"/>
            <w:tcBorders/>
            <w:shd w:fill="auto" w:val="clear"/>
          </w:tcPr>
          <w:p>
            <w:pPr>
              <w:pStyle w:val="TableContents"/>
              <w:spacing w:before="0" w:after="0"/>
              <w:ind w:left="0" w:right="0" w:hanging="0"/>
              <w:jc w:val="right"/>
              <w:rPr/>
            </w:pPr>
            <w:r>
              <w:rPr/>
              <w:t> </w:t>
            </w:r>
          </w:p>
        </w:tc>
        <w:tc>
          <w:tcPr>
            <w:tcW w:w="206" w:type="dxa"/>
            <w:tcBorders/>
            <w:shd w:fill="auto" w:val="clear"/>
          </w:tcPr>
          <w:p>
            <w:pPr>
              <w:pStyle w:val="TableContents"/>
              <w:spacing w:before="0" w:after="0"/>
              <w:ind w:left="0" w:right="0" w:hanging="0"/>
              <w:jc w:val="center"/>
              <w:rPr/>
            </w:pPr>
            <w:r>
              <w:rPr/>
              <w:t> </w:t>
            </w:r>
          </w:p>
        </w:tc>
        <w:tc>
          <w:tcPr>
            <w:tcW w:w="9484" w:type="dxa"/>
            <w:tcBorders/>
            <w:shd w:fill="auto" w:val="clear"/>
          </w:tcPr>
          <w:p>
            <w:pPr>
              <w:pStyle w:val="TableContents"/>
              <w:spacing w:before="0" w:after="0"/>
              <w:ind w:left="0" w:right="0" w:hanging="0"/>
              <w:rPr/>
            </w:pPr>
            <w:r>
              <w:rPr/>
              <w:t> </w:t>
            </w:r>
          </w:p>
        </w:tc>
      </w:tr>
      <w:tr>
        <w:trPr/>
        <w:tc>
          <w:tcPr>
            <w:tcW w:w="51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06" w:type="dxa"/>
            <w:tcBorders/>
            <w:shd w:fill="auto" w:val="clear"/>
          </w:tcPr>
          <w:p>
            <w:pPr>
              <w:pStyle w:val="TableContents"/>
              <w:spacing w:before="0" w:after="0"/>
              <w:ind w:left="0" w:right="0" w:hanging="0"/>
              <w:jc w:val="center"/>
              <w:rPr/>
            </w:pPr>
            <w:r>
              <w:rPr/>
              <w:t> </w:t>
            </w:r>
          </w:p>
        </w:tc>
        <w:tc>
          <w:tcPr>
            <w:tcW w:w="948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Certification of Principal Financial Officer pursuant to 18 U.S.C. 1350</w:t>
            </w:r>
          </w:p>
        </w:tc>
      </w:tr>
    </w:tbl>
    <w:p>
      <w:pPr>
        <w:pStyle w:val="TextBody"/>
        <w:spacing w:before="0" w:after="0"/>
        <w:ind w:left="0" w:right="0" w:hanging="0"/>
        <w:rPr/>
      </w:pPr>
      <w:r>
        <w:rPr/>
        <w:t> </w:t>
      </w:r>
    </w:p>
    <w:p>
      <w:pPr>
        <w:pStyle w:val="HorizontalLine"/>
        <w:pBdr>
          <w:bottom w:val="single" w:sz="6" w:space="0" w:color="000000"/>
        </w:pBdr>
        <w:spacing w:before="0" w:after="0"/>
        <w:rPr/>
      </w:pPr>
      <w:r>
        <w:rPr/>
      </w:r>
    </w:p>
    <w:p>
      <w:pPr>
        <w:pStyle w:val="TextBody"/>
        <w:keepNext w:val="true"/>
        <w:spacing w:before="0" w:after="240"/>
        <w:ind w:left="400" w:right="0" w:hanging="400"/>
        <w:rPr>
          <w:rFonts w:ascii="Times New Roman" w:hAnsi="Times New Roman"/>
          <w:sz w:val="17"/>
        </w:rPr>
      </w:pPr>
      <w:r>
        <w:rPr>
          <w:rFonts w:ascii="Times New Roman" w:hAnsi="Times New Roman"/>
          <w:sz w:val="17"/>
        </w:rPr>
        <w:t>                     Filed herewith.</w:t>
      </w:r>
    </w:p>
    <w:p>
      <w:pPr>
        <w:pStyle w:val="TextBody"/>
        <w:keepNext w:val="true"/>
        <w:spacing w:before="0" w:after="240"/>
        <w:ind w:left="400" w:right="0" w:hanging="400"/>
        <w:rPr>
          <w:rFonts w:ascii="Times New Roman" w:hAnsi="Times New Roman"/>
          <w:sz w:val="17"/>
        </w:rPr>
      </w:pPr>
      <w:r>
        <w:rPr>
          <w:rFonts w:ascii="Times New Roman" w:hAnsi="Times New Roman"/>
          <w:sz w:val="17"/>
        </w:rPr>
        <w:t>*                    Furnished herewith.</w:t>
      </w:r>
    </w:p>
    <w:p>
      <w:pPr>
        <w:pStyle w:val="TextBody"/>
        <w:spacing w:before="480" w:after="480"/>
        <w:ind w:left="0" w:right="0" w:hanging="0"/>
        <w:rPr>
          <w:rFonts w:ascii="Times New Roman" w:hAnsi="Times New Roman"/>
          <w:sz w:val="17"/>
        </w:rPr>
      </w:pPr>
      <w:r>
        <w:rPr>
          <w:rFonts w:ascii="Times New Roman" w:hAnsi="Times New Roman"/>
          <w:sz w:val="17"/>
        </w:rPr>
        <w:t>43</w:t>
      </w:r>
    </w:p>
    <w:p>
      <w:pPr>
        <w:pStyle w:val="TextBody"/>
        <w:spacing w:before="0" w:after="0"/>
        <w:rPr/>
      </w:pPr>
      <w:r>
        <w:rPr/>
      </w:r>
    </w:p>
    <w:p>
      <w:pPr>
        <w:pStyle w:val="HorizontalLine"/>
        <w:pBdr>
          <w:bottom w:val="single" w:sz="18" w:space="0" w:color="010101"/>
        </w:pBdr>
        <w:rPr/>
      </w:pPr>
      <w:r>
        <w:rPr/>
      </w:r>
      <w:r>
        <w:br w:type="page"/>
      </w:r>
    </w:p>
    <w:p>
      <w:pPr>
        <w:pStyle w:val="TextBody"/>
        <w:spacing w:before="0" w:after="0"/>
        <w:ind w:left="0" w:right="0" w:hanging="0"/>
        <w:rPr/>
      </w:pPr>
      <w:r>
        <w:rPr/>
        <w:t> </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SIGNATURES</w:t>
      </w:r>
      <w:bookmarkStart w:id="47" w:name="Signatures_140129"/>
      <w:bookmarkEnd w:id="47"/>
    </w:p>
    <w:p>
      <w:pPr>
        <w:pStyle w:val="TextBody"/>
        <w:keepNext w:val="true"/>
        <w:spacing w:before="0" w:after="240"/>
        <w:ind w:left="0" w:right="0" w:firstLine="40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thereunto duly authorized.</w:t>
      </w:r>
    </w:p>
    <w:tbl>
      <w:tblPr>
        <w:tblW w:w="5000" w:type="pct"/>
        <w:jc w:val="left"/>
        <w:tblInd w:w="0" w:type="dxa"/>
        <w:tblCellMar>
          <w:top w:w="0" w:type="dxa"/>
          <w:left w:w="0" w:type="dxa"/>
          <w:bottom w:w="0" w:type="dxa"/>
          <w:right w:w="0" w:type="dxa"/>
        </w:tblCellMar>
      </w:tblPr>
      <w:tblGrid>
        <w:gridCol w:w="5154"/>
        <w:gridCol w:w="412"/>
        <w:gridCol w:w="4639"/>
      </w:tblGrid>
      <w:tr>
        <w:trPr/>
        <w:tc>
          <w:tcPr>
            <w:tcW w:w="5154" w:type="dxa"/>
            <w:tcBorders/>
            <w:shd w:fill="auto" w:val="clear"/>
          </w:tcPr>
          <w:p>
            <w:pPr>
              <w:pStyle w:val="TableContents"/>
              <w:spacing w:before="0" w:after="283"/>
              <w:ind w:left="0" w:right="0" w:hanging="0"/>
              <w:rPr>
                <w:sz w:val="4"/>
                <w:szCs w:val="4"/>
              </w:rPr>
            </w:pPr>
            <w:r>
              <w:rPr>
                <w:sz w:val="4"/>
                <w:szCs w:val="4"/>
              </w:rPr>
            </w:r>
          </w:p>
        </w:tc>
        <w:tc>
          <w:tcPr>
            <w:tcW w:w="5051" w:type="dxa"/>
            <w:gridSpan w:val="2"/>
            <w:tcBorders/>
            <w:shd w:fill="auto" w:val="clear"/>
          </w:tcPr>
          <w:p>
            <w:pPr>
              <w:pStyle w:val="TableContents"/>
              <w:spacing w:before="0" w:after="0"/>
              <w:ind w:left="0" w:right="0" w:hanging="0"/>
              <w:rPr>
                <w:rFonts w:ascii="Times New Roman" w:hAnsi="Times New Roman"/>
                <w:caps/>
                <w:sz w:val="17"/>
              </w:rPr>
            </w:pPr>
            <w:r>
              <w:rPr>
                <w:rFonts w:ascii="Times New Roman" w:hAnsi="Times New Roman"/>
                <w:caps/>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PLAINS ALL AMERICAN GP LLC, its </w:t>
              <w:br/>
              <w:t>general partner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4, 2006</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/s/ </w:t>
            </w:r>
            <w:r>
              <w:rPr>
                <w:rFonts w:ascii="Times New Roman" w:hAnsi="Times New Roman"/>
                <w:caps/>
                <w:sz w:val="17"/>
              </w:rPr>
              <w:t>Greg L. Armstrong</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Greg L. Armstrong, </w:t>
            </w:r>
            <w:r>
              <w:rPr>
                <w:rFonts w:ascii="Times New Roman" w:hAnsi="Times New Roman"/>
                <w:i/>
                <w:sz w:val="17"/>
              </w:rPr>
              <w:t xml:space="preserve">Chairman of the Board, </w:t>
              <w:br/>
              <w:t xml:space="preserve">Chief Executive Officer and Director (Principal </w:t>
              <w:br/>
              <w:t>Executive Officer)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pPr>
            <w:r>
              <w:rPr/>
              <w:t> </w:t>
            </w:r>
          </w:p>
        </w:tc>
      </w:tr>
      <w:tr>
        <w:trPr/>
        <w:tc>
          <w:tcPr>
            <w:tcW w:w="515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4, 2006</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/s/ </w:t>
            </w:r>
            <w:r>
              <w:rPr>
                <w:rFonts w:ascii="Times New Roman" w:hAnsi="Times New Roman"/>
                <w:caps/>
                <w:sz w:val="17"/>
              </w:rPr>
              <w:t>Phil Kramer</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Phil Kramer, </w:t>
            </w:r>
            <w:r>
              <w:rPr>
                <w:rFonts w:ascii="Times New Roman" w:hAnsi="Times New Roman"/>
                <w:i/>
                <w:sz w:val="17"/>
              </w:rPr>
              <w:t xml:space="preserve">Executive Vice President and </w:t>
              <w:br/>
              <w:t xml:space="preserve">Chief Financial Officer </w:t>
              <w:br/>
              <w:t>(Principal Financial Officer)</w:t>
            </w:r>
          </w:p>
        </w:tc>
      </w:tr>
    </w:tbl>
    <w:p>
      <w:pPr>
        <w:pStyle w:val="TextBody"/>
        <w:spacing w:lineRule="atLeast" w:line="141" w:before="0" w:after="240"/>
        <w:ind w:left="0" w:right="0" w:hanging="0"/>
        <w:rPr/>
      </w:pPr>
      <w:r>
        <w:rPr/>
        <w:t> </w:t>
      </w:r>
    </w:p>
    <w:p>
      <w:pPr>
        <w:pStyle w:val="TextBody"/>
        <w:spacing w:before="480" w:after="480"/>
        <w:ind w:left="0" w:right="0" w:hanging="0"/>
        <w:rPr>
          <w:rFonts w:ascii="Times New Roman" w:hAnsi="Times New Roman"/>
          <w:sz w:val="17"/>
        </w:rPr>
      </w:pPr>
      <w:r>
        <w:rPr>
          <w:rFonts w:ascii="Times New Roman" w:hAnsi="Times New Roman"/>
          <w:sz w:val="17"/>
        </w:rPr>
        <w:t>44</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200" w:right="0" w:hanging="200"/>
        <w:jc w:val="right"/>
        <w:rPr>
          <w:rFonts w:ascii="Times New Roman" w:hAnsi="Times New Roman"/>
          <w:b/>
          <w:sz w:val="17"/>
        </w:rPr>
      </w:pPr>
      <w:bookmarkStart w:id="48" w:name="a06-15544_1ex31d1.htm"/>
      <w:bookmarkStart w:id="49" w:name="ksa0615544_1ex31d1"/>
      <w:bookmarkEnd w:id="48"/>
      <w:bookmarkEnd w:id="49"/>
      <w:r>
        <w:rPr>
          <w:rFonts w:ascii="Times New Roman" w:hAnsi="Times New Roman"/>
          <w:b/>
          <w:sz w:val="17"/>
        </w:rPr>
        <w:t>EXHIBIT 31.1</w:t>
      </w:r>
    </w:p>
    <w:p>
      <w:pPr>
        <w:pStyle w:val="TextBody"/>
        <w:keepNext w:val="true"/>
        <w:spacing w:before="0" w:after="120"/>
        <w:ind w:left="0" w:right="0" w:hanging="0"/>
        <w:jc w:val="center"/>
        <w:rPr>
          <w:rFonts w:ascii="Times New Roman" w:hAnsi="Times New Roman"/>
          <w:b/>
          <w:sz w:val="17"/>
        </w:rPr>
      </w:pPr>
      <w:r>
        <w:rPr>
          <w:rFonts w:ascii="Times New Roman" w:hAnsi="Times New Roman"/>
          <w:b/>
          <w:sz w:val="17"/>
        </w:rPr>
        <w:t>CERTIFICATION OF PRINCIPAL EXECUTIVE OFFICER</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240"/>
        <w:ind w:left="0" w:right="0" w:hanging="0"/>
        <w:rPr>
          <w:rFonts w:ascii="Times New Roman" w:hAnsi="Times New Roman"/>
          <w:sz w:val="17"/>
        </w:rPr>
      </w:pPr>
      <w:r>
        <w:rPr>
          <w:rFonts w:ascii="Times New Roman" w:hAnsi="Times New Roman"/>
          <w:sz w:val="17"/>
        </w:rPr>
        <w:t>I, Greg L. Armstrong, certify that:</w:t>
      </w:r>
    </w:p>
    <w:p>
      <w:pPr>
        <w:pStyle w:val="TextBody"/>
        <w:spacing w:before="0" w:after="240"/>
        <w:ind w:left="400" w:right="0" w:hanging="400"/>
        <w:rPr>
          <w:rFonts w:ascii="Times New Roman" w:hAnsi="Times New Roman"/>
          <w:sz w:val="17"/>
        </w:rPr>
      </w:pPr>
      <w:r>
        <w:rPr>
          <w:rFonts w:ascii="Times New Roman" w:hAnsi="Times New Roman"/>
          <w:sz w:val="17"/>
        </w:rPr>
        <w:t>1.                  I have reviewed this quarterly report on Form 10-Q of Plains All American Pipeline, L.P.;</w:t>
      </w:r>
    </w:p>
    <w:p>
      <w:pPr>
        <w:pStyle w:val="TextBody"/>
        <w:spacing w:before="0" w:after="240"/>
        <w:ind w:left="400" w:right="0" w:hanging="400"/>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240"/>
        <w:ind w:left="400" w:right="0" w:hanging="400"/>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240"/>
        <w:ind w:left="400" w:right="0" w:hanging="400"/>
        <w:rPr>
          <w:rFonts w:ascii="Times New Roman" w:hAnsi="Times New Roman"/>
          <w:sz w:val="17"/>
        </w:rPr>
      </w:pPr>
      <w:r>
        <w:rPr>
          <w:rFonts w:ascii="Times New Roman" w:hAnsi="Times New Roman"/>
          <w:sz w:val="17"/>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240"/>
        <w:ind w:left="800" w:right="0" w:hanging="400"/>
        <w:rPr>
          <w:rFonts w:ascii="Times New Roman" w:hAnsi="Times New Roman"/>
          <w:sz w:val="17"/>
        </w:rPr>
      </w:pPr>
      <w:r>
        <w:rPr>
          <w:rFonts w:ascii="Times New Roman" w:hAnsi="Times New Roman"/>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240"/>
        <w:ind w:left="800" w:right="0" w:hanging="400"/>
        <w:rPr>
          <w:rFonts w:ascii="Times New Roman" w:hAnsi="Times New Roman"/>
          <w:sz w:val="17"/>
        </w:rPr>
      </w:pPr>
      <w:r>
        <w:rPr>
          <w:rFonts w:ascii="Times New Roman" w:hAnsi="Times New Roman"/>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240"/>
        <w:ind w:left="800" w:right="0" w:hanging="400"/>
        <w:rPr>
          <w:rFonts w:ascii="Times New Roman" w:hAnsi="Times New Roman"/>
          <w:sz w:val="17"/>
        </w:rPr>
      </w:pPr>
      <w:r>
        <w:rPr>
          <w:rFonts w:ascii="Times New Roman" w:hAnsi="Times New Roman"/>
          <w:sz w:val="17"/>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240"/>
        <w:ind w:left="800" w:right="0" w:hanging="400"/>
        <w:rPr>
          <w:rFonts w:ascii="Times New Roman" w:hAnsi="Times New Roman"/>
          <w:sz w:val="17"/>
        </w:rPr>
      </w:pPr>
      <w:r>
        <w:rPr>
          <w:rFonts w:ascii="Times New Roman" w:hAnsi="Times New Roman"/>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240"/>
        <w:ind w:left="400" w:right="0" w:hanging="400"/>
        <w:rPr>
          <w:rFonts w:ascii="Times New Roman" w:hAnsi="Times New Roman"/>
          <w:sz w:val="17"/>
        </w:rPr>
      </w:pPr>
      <w:r>
        <w:rPr>
          <w:rFonts w:ascii="Times New Roman" w:hAnsi="Times New Roman"/>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240"/>
        <w:ind w:left="800" w:right="0" w:hanging="400"/>
        <w:rPr>
          <w:rFonts w:ascii="Times New Roman" w:hAnsi="Times New Roman"/>
          <w:sz w:val="17"/>
        </w:rPr>
      </w:pPr>
      <w:r>
        <w:rPr>
          <w:rFonts w:ascii="Times New Roman" w:hAnsi="Times New Roman"/>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240"/>
        <w:ind w:left="800" w:right="0" w:hanging="400"/>
        <w:rPr>
          <w:rFonts w:ascii="Times New Roman" w:hAnsi="Times New Roman"/>
          <w:sz w:val="17"/>
        </w:rPr>
      </w:pPr>
      <w:r>
        <w:rPr>
          <w:rFonts w:ascii="Times New Roman" w:hAnsi="Times New Roman"/>
          <w:sz w:val="17"/>
        </w:rPr>
        <w:t>(b)           Any fraud, whether or not material, that involves management or other employees who have a significant role in the registrants internal control over financial reporting.</w:t>
      </w:r>
    </w:p>
    <w:p>
      <w:pPr>
        <w:pStyle w:val="TextBody"/>
        <w:keepNext w:val="true"/>
        <w:spacing w:before="0" w:after="120"/>
        <w:ind w:left="0" w:right="0" w:hanging="0"/>
        <w:rPr>
          <w:rFonts w:ascii="Times New Roman" w:hAnsi="Times New Roman"/>
          <w:sz w:val="17"/>
        </w:rPr>
      </w:pPr>
      <w:r>
        <w:rPr>
          <w:rFonts w:ascii="Times New Roman" w:hAnsi="Times New Roman"/>
          <w:sz w:val="17"/>
        </w:rPr>
        <w:t>Date: August 4, 2006</w:t>
      </w:r>
    </w:p>
    <w:tbl>
      <w:tblPr>
        <w:tblW w:w="5000" w:type="pct"/>
        <w:jc w:val="left"/>
        <w:tblInd w:w="0" w:type="dxa"/>
        <w:tblCellMar>
          <w:top w:w="0" w:type="dxa"/>
          <w:left w:w="0" w:type="dxa"/>
          <w:bottom w:w="28" w:type="dxa"/>
          <w:right w:w="0" w:type="dxa"/>
        </w:tblCellMar>
      </w:tblPr>
      <w:tblGrid>
        <w:gridCol w:w="2782"/>
        <w:gridCol w:w="2267"/>
        <w:gridCol w:w="5156"/>
      </w:tblGrid>
      <w:tr>
        <w:trPr/>
        <w:tc>
          <w:tcPr>
            <w:tcW w:w="2782" w:type="dxa"/>
            <w:tcBorders>
              <w:bottom w:val="single" w:sz="8" w:space="0" w:color="000000"/>
            </w:tcBorders>
            <w:shd w:fill="auto" w:val="clear"/>
          </w:tcPr>
          <w:p>
            <w:pPr>
              <w:pStyle w:val="TableContents"/>
              <w:spacing w:before="0" w:after="0"/>
              <w:ind w:left="0" w:right="0" w:hanging="0"/>
              <w:rPr>
                <w:sz w:val="17"/>
              </w:rPr>
            </w:pPr>
            <w:r>
              <w:rPr>
                <w:sz w:val="17"/>
              </w:rPr>
              <w:t>/s/ GREG L. ARMSTRONG</w:t>
            </w:r>
          </w:p>
        </w:tc>
        <w:tc>
          <w:tcPr>
            <w:tcW w:w="2267" w:type="dxa"/>
            <w:tcBorders/>
            <w:shd w:fill="auto" w:val="clear"/>
            <w:tcMar>
              <w:bottom w:w="0" w:type="dxa"/>
            </w:tcMar>
          </w:tcPr>
          <w:p>
            <w:pPr>
              <w:pStyle w:val="TableContents"/>
              <w:spacing w:before="0" w:after="0"/>
              <w:ind w:left="0" w:right="0" w:hanging="0"/>
              <w:rPr/>
            </w:pPr>
            <w:r>
              <w:rPr/>
              <w:t> </w:t>
            </w:r>
          </w:p>
        </w:tc>
        <w:tc>
          <w:tcPr>
            <w:tcW w:w="5156" w:type="dxa"/>
            <w:tcBorders/>
            <w:shd w:fill="auto" w:val="clear"/>
            <w:tcMar>
              <w:bottom w:w="0" w:type="dxa"/>
            </w:tcMar>
          </w:tcPr>
          <w:p>
            <w:pPr>
              <w:pStyle w:val="TableContents"/>
              <w:spacing w:before="0" w:after="0"/>
              <w:ind w:left="0" w:right="0" w:hanging="0"/>
              <w:rPr/>
            </w:pPr>
            <w:r>
              <w:rPr/>
              <w:t> </w:t>
            </w:r>
          </w:p>
        </w:tc>
      </w:tr>
      <w:tr>
        <w:trPr/>
        <w:tc>
          <w:tcPr>
            <w:tcW w:w="5049" w:type="dxa"/>
            <w:gridSpan w:val="2"/>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Greg L. Armstrong</w:t>
            </w:r>
          </w:p>
        </w:tc>
        <w:tc>
          <w:tcPr>
            <w:tcW w:w="5156" w:type="dxa"/>
            <w:tcBorders/>
            <w:shd w:fill="auto" w:val="clear"/>
            <w:tcMar>
              <w:bottom w:w="0" w:type="dxa"/>
            </w:tcMar>
          </w:tcPr>
          <w:p>
            <w:pPr>
              <w:pStyle w:val="TableContents"/>
              <w:spacing w:before="0" w:after="0"/>
              <w:ind w:left="0" w:right="0" w:hanging="0"/>
              <w:rPr/>
            </w:pPr>
            <w:r>
              <w:rPr/>
              <w:t> </w:t>
            </w:r>
          </w:p>
        </w:tc>
      </w:tr>
      <w:tr>
        <w:trPr/>
        <w:tc>
          <w:tcPr>
            <w:tcW w:w="5049" w:type="dxa"/>
            <w:gridSpan w:val="2"/>
            <w:tcBorders/>
            <w:shd w:fill="auto" w:val="clear"/>
            <w:tcMar>
              <w:bottom w:w="0" w:type="dxa"/>
            </w:tcMar>
          </w:tcPr>
          <w:p>
            <w:pPr>
              <w:pStyle w:val="TableContents"/>
              <w:spacing w:before="0" w:after="0"/>
              <w:ind w:left="0" w:right="0" w:hanging="0"/>
              <w:rPr>
                <w:rFonts w:ascii="Times New Roman" w:hAnsi="Times New Roman"/>
                <w:i/>
                <w:sz w:val="17"/>
              </w:rPr>
            </w:pPr>
            <w:r>
              <w:rPr>
                <w:rFonts w:ascii="Times New Roman" w:hAnsi="Times New Roman"/>
                <w:i/>
                <w:sz w:val="17"/>
              </w:rPr>
              <w:t>Chief Executive Officer</w:t>
            </w:r>
          </w:p>
        </w:tc>
        <w:tc>
          <w:tcPr>
            <w:tcW w:w="5156" w:type="dxa"/>
            <w:tcBorders/>
            <w:shd w:fill="auto" w:val="clear"/>
            <w:tcMar>
              <w:bottom w:w="0" w:type="dxa"/>
            </w:tcMar>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200" w:right="0" w:hanging="200"/>
        <w:jc w:val="right"/>
        <w:rPr>
          <w:rFonts w:ascii="Times New Roman" w:hAnsi="Times New Roman"/>
          <w:b/>
          <w:sz w:val="17"/>
        </w:rPr>
      </w:pPr>
      <w:bookmarkStart w:id="50" w:name="a06-15544_1ex31d2.htm"/>
      <w:bookmarkStart w:id="51" w:name="ksa0615544_1ex31d2"/>
      <w:bookmarkEnd w:id="50"/>
      <w:bookmarkEnd w:id="51"/>
      <w:r>
        <w:rPr>
          <w:rFonts w:ascii="Times New Roman" w:hAnsi="Times New Roman"/>
          <w:b/>
          <w:sz w:val="17"/>
        </w:rPr>
        <w:t>EXHIBIT 31.2</w:t>
      </w:r>
    </w:p>
    <w:p>
      <w:pPr>
        <w:pStyle w:val="TextBody"/>
        <w:keepNext w:val="true"/>
        <w:spacing w:before="0" w:after="120"/>
        <w:ind w:left="0" w:right="0" w:hanging="0"/>
        <w:jc w:val="center"/>
        <w:rPr>
          <w:rFonts w:ascii="Times New Roman" w:hAnsi="Times New Roman"/>
          <w:b/>
          <w:sz w:val="17"/>
        </w:rPr>
      </w:pPr>
      <w:r>
        <w:rPr>
          <w:rFonts w:ascii="Times New Roman" w:hAnsi="Times New Roman"/>
          <w:b/>
          <w:sz w:val="17"/>
        </w:rPr>
        <w:t>CERTIFICATION OF PRINCIPAL FINANCIAL OFFICER</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240"/>
        <w:ind w:left="0" w:right="0" w:hanging="0"/>
        <w:rPr>
          <w:rFonts w:ascii="Times New Roman" w:hAnsi="Times New Roman"/>
          <w:sz w:val="17"/>
        </w:rPr>
      </w:pPr>
      <w:r>
        <w:rPr>
          <w:rFonts w:ascii="Times New Roman" w:hAnsi="Times New Roman"/>
          <w:sz w:val="17"/>
        </w:rPr>
        <w:t>I, Phil Kramer, certify that:</w:t>
      </w:r>
    </w:p>
    <w:p>
      <w:pPr>
        <w:pStyle w:val="TextBody"/>
        <w:spacing w:before="0" w:after="240"/>
        <w:ind w:left="400" w:right="0" w:hanging="400"/>
        <w:rPr>
          <w:rFonts w:ascii="Times New Roman" w:hAnsi="Times New Roman"/>
          <w:sz w:val="17"/>
        </w:rPr>
      </w:pPr>
      <w:r>
        <w:rPr>
          <w:rFonts w:ascii="Times New Roman" w:hAnsi="Times New Roman"/>
          <w:sz w:val="17"/>
        </w:rPr>
        <w:t>1.                  I have reviewed this quarterly report on Form 10-Q of Plains All American Pipeline, L.P.;</w:t>
      </w:r>
    </w:p>
    <w:p>
      <w:pPr>
        <w:pStyle w:val="TextBody"/>
        <w:spacing w:before="0" w:after="240"/>
        <w:ind w:left="400" w:right="0" w:hanging="400"/>
        <w:rPr>
          <w:rFonts w:ascii="Times New Roman" w:hAnsi="Times New Roman"/>
          <w:sz w:val="17"/>
        </w:rPr>
      </w:pPr>
      <w:r>
        <w:rPr>
          <w:rFonts w:ascii="Times New Roman" w:hAnsi="Times New Roman"/>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240"/>
        <w:ind w:left="400" w:right="0" w:hanging="400"/>
        <w:rPr>
          <w:rFonts w:ascii="Times New Roman" w:hAnsi="Times New Roman"/>
          <w:sz w:val="17"/>
        </w:rPr>
      </w:pPr>
      <w:r>
        <w:rPr>
          <w:rFonts w:ascii="Times New Roman" w:hAnsi="Times New Roman"/>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240"/>
        <w:ind w:left="400" w:right="0" w:hanging="400"/>
        <w:rPr>
          <w:rFonts w:ascii="Times New Roman" w:hAnsi="Times New Roman"/>
          <w:sz w:val="17"/>
        </w:rPr>
      </w:pPr>
      <w:r>
        <w:rPr>
          <w:rFonts w:ascii="Times New Roman" w:hAnsi="Times New Roman"/>
          <w:sz w:val="17"/>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240"/>
        <w:ind w:left="800" w:right="0" w:hanging="400"/>
        <w:rPr>
          <w:rFonts w:ascii="Times New Roman" w:hAnsi="Times New Roman"/>
          <w:sz w:val="17"/>
        </w:rPr>
      </w:pPr>
      <w:r>
        <w:rPr>
          <w:rFonts w:ascii="Times New Roman" w:hAnsi="Times New Roman"/>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240"/>
        <w:ind w:left="800" w:right="0" w:hanging="400"/>
        <w:rPr>
          <w:rFonts w:ascii="Times New Roman" w:hAnsi="Times New Roman"/>
          <w:sz w:val="17"/>
        </w:rPr>
      </w:pPr>
      <w:r>
        <w:rPr>
          <w:rFonts w:ascii="Times New Roman" w:hAnsi="Times New Roman"/>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240"/>
        <w:ind w:left="800" w:right="0" w:hanging="400"/>
        <w:rPr>
          <w:rFonts w:ascii="Times New Roman" w:hAnsi="Times New Roman"/>
          <w:sz w:val="17"/>
        </w:rPr>
      </w:pPr>
      <w:r>
        <w:rPr>
          <w:rFonts w:ascii="Times New Roman" w:hAnsi="Times New Roman"/>
          <w:sz w:val="17"/>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240"/>
        <w:ind w:left="800" w:right="0" w:hanging="400"/>
        <w:rPr>
          <w:rFonts w:ascii="Times New Roman" w:hAnsi="Times New Roman"/>
          <w:sz w:val="17"/>
        </w:rPr>
      </w:pPr>
      <w:r>
        <w:rPr>
          <w:rFonts w:ascii="Times New Roman" w:hAnsi="Times New Roman"/>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240"/>
        <w:ind w:left="400" w:right="0" w:hanging="400"/>
        <w:rPr>
          <w:rFonts w:ascii="Times New Roman" w:hAnsi="Times New Roman"/>
          <w:sz w:val="17"/>
        </w:rPr>
      </w:pPr>
      <w:r>
        <w:rPr>
          <w:rFonts w:ascii="Times New Roman" w:hAnsi="Times New Roman"/>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240"/>
        <w:ind w:left="800" w:right="0" w:hanging="400"/>
        <w:rPr>
          <w:rFonts w:ascii="Times New Roman" w:hAnsi="Times New Roman"/>
          <w:sz w:val="17"/>
        </w:rPr>
      </w:pPr>
      <w:r>
        <w:rPr>
          <w:rFonts w:ascii="Times New Roman" w:hAnsi="Times New Roman"/>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240"/>
        <w:ind w:left="800" w:right="0" w:hanging="400"/>
        <w:rPr>
          <w:rFonts w:ascii="Times New Roman" w:hAnsi="Times New Roman"/>
          <w:sz w:val="17"/>
        </w:rPr>
      </w:pPr>
      <w:r>
        <w:rPr>
          <w:rFonts w:ascii="Times New Roman" w:hAnsi="Times New Roman"/>
          <w:sz w:val="17"/>
        </w:rPr>
        <w:t>(b)           Any fraud, whether or not material, that involves management or other employees who have a significant role in the registrants internal control over financial reporting.</w:t>
      </w:r>
    </w:p>
    <w:p>
      <w:pPr>
        <w:pStyle w:val="TextBody"/>
        <w:keepNext w:val="true"/>
        <w:spacing w:before="0" w:after="120"/>
        <w:ind w:left="0" w:right="0" w:hanging="0"/>
        <w:rPr>
          <w:rFonts w:ascii="Times New Roman" w:hAnsi="Times New Roman"/>
          <w:sz w:val="17"/>
        </w:rPr>
      </w:pPr>
      <w:r>
        <w:rPr>
          <w:rFonts w:ascii="Times New Roman" w:hAnsi="Times New Roman"/>
          <w:sz w:val="17"/>
        </w:rPr>
        <w:t>Date: August 4, 2006</w:t>
      </w:r>
    </w:p>
    <w:tbl>
      <w:tblPr>
        <w:tblW w:w="5000" w:type="pct"/>
        <w:jc w:val="left"/>
        <w:tblInd w:w="0" w:type="dxa"/>
        <w:tblCellMar>
          <w:top w:w="0" w:type="dxa"/>
          <w:left w:w="0" w:type="dxa"/>
          <w:bottom w:w="28" w:type="dxa"/>
          <w:right w:w="0" w:type="dxa"/>
        </w:tblCellMar>
      </w:tblPr>
      <w:tblGrid>
        <w:gridCol w:w="3297"/>
        <w:gridCol w:w="1753"/>
        <w:gridCol w:w="5155"/>
      </w:tblGrid>
      <w:tr>
        <w:trPr/>
        <w:tc>
          <w:tcPr>
            <w:tcW w:w="3297" w:type="dxa"/>
            <w:tcBorders>
              <w:bottom w:val="single" w:sz="8" w:space="0" w:color="000000"/>
            </w:tcBorders>
            <w:shd w:fill="auto" w:val="clear"/>
          </w:tcPr>
          <w:p>
            <w:pPr>
              <w:pStyle w:val="TableContents"/>
              <w:spacing w:before="0" w:after="0"/>
              <w:ind w:left="0" w:right="0" w:hanging="0"/>
              <w:rPr>
                <w:sz w:val="17"/>
              </w:rPr>
            </w:pPr>
            <w:r>
              <w:rPr>
                <w:sz w:val="17"/>
              </w:rPr>
              <w:t>/s/ PHIL KRAMER</w:t>
            </w:r>
          </w:p>
        </w:tc>
        <w:tc>
          <w:tcPr>
            <w:tcW w:w="1753" w:type="dxa"/>
            <w:tcBorders/>
            <w:shd w:fill="auto" w:val="clear"/>
            <w:tcMar>
              <w:bottom w:w="0" w:type="dxa"/>
            </w:tcMar>
          </w:tcPr>
          <w:p>
            <w:pPr>
              <w:pStyle w:val="TableContents"/>
              <w:spacing w:before="0" w:after="0"/>
              <w:ind w:left="0" w:right="0" w:hanging="0"/>
              <w:rPr/>
            </w:pPr>
            <w:r>
              <w:rPr/>
              <w:t> </w:t>
            </w:r>
          </w:p>
        </w:tc>
        <w:tc>
          <w:tcPr>
            <w:tcW w:w="5155" w:type="dxa"/>
            <w:tcBorders/>
            <w:shd w:fill="auto" w:val="clear"/>
            <w:tcMar>
              <w:bottom w:w="0" w:type="dxa"/>
            </w:tcMar>
          </w:tcPr>
          <w:p>
            <w:pPr>
              <w:pStyle w:val="TableContents"/>
              <w:spacing w:before="0" w:after="0"/>
              <w:ind w:left="0" w:right="0" w:hanging="0"/>
              <w:rPr/>
            </w:pPr>
            <w:r>
              <w:rPr/>
              <w:t> </w:t>
            </w:r>
          </w:p>
        </w:tc>
      </w:tr>
      <w:tr>
        <w:trPr/>
        <w:tc>
          <w:tcPr>
            <w:tcW w:w="5050" w:type="dxa"/>
            <w:gridSpan w:val="2"/>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Phil Kramer</w:t>
            </w:r>
          </w:p>
        </w:tc>
        <w:tc>
          <w:tcPr>
            <w:tcW w:w="5155" w:type="dxa"/>
            <w:tcBorders/>
            <w:shd w:fill="auto" w:val="clear"/>
            <w:tcMar>
              <w:bottom w:w="0" w:type="dxa"/>
            </w:tcMar>
          </w:tcPr>
          <w:p>
            <w:pPr>
              <w:pStyle w:val="TableContents"/>
              <w:spacing w:before="0" w:after="0"/>
              <w:ind w:left="0" w:right="0" w:hanging="0"/>
              <w:rPr/>
            </w:pPr>
            <w:r>
              <w:rPr/>
              <w:t> </w:t>
            </w:r>
          </w:p>
        </w:tc>
      </w:tr>
      <w:tr>
        <w:trPr/>
        <w:tc>
          <w:tcPr>
            <w:tcW w:w="5050" w:type="dxa"/>
            <w:gridSpan w:val="2"/>
            <w:tcBorders/>
            <w:shd w:fill="auto" w:val="clear"/>
            <w:tcMar>
              <w:bottom w:w="0" w:type="dxa"/>
            </w:tcMar>
          </w:tcPr>
          <w:p>
            <w:pPr>
              <w:pStyle w:val="TableContents"/>
              <w:spacing w:before="0" w:after="0"/>
              <w:ind w:left="0" w:right="0" w:hanging="0"/>
              <w:rPr>
                <w:rFonts w:ascii="Times New Roman" w:hAnsi="Times New Roman"/>
                <w:i/>
                <w:sz w:val="17"/>
              </w:rPr>
            </w:pPr>
            <w:r>
              <w:rPr>
                <w:rFonts w:ascii="Times New Roman" w:hAnsi="Times New Roman"/>
                <w:i/>
                <w:sz w:val="17"/>
              </w:rPr>
              <w:t>Chief Financial Officer</w:t>
            </w:r>
          </w:p>
        </w:tc>
        <w:tc>
          <w:tcPr>
            <w:tcW w:w="5155" w:type="dxa"/>
            <w:tcBorders/>
            <w:shd w:fill="auto" w:val="clear"/>
            <w:tcMar>
              <w:bottom w:w="0" w:type="dxa"/>
            </w:tcMar>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400" w:right="0" w:hanging="400"/>
        <w:jc w:val="right"/>
        <w:rPr>
          <w:rFonts w:ascii="Times New Roman" w:hAnsi="Times New Roman"/>
          <w:b/>
          <w:sz w:val="17"/>
        </w:rPr>
      </w:pPr>
      <w:bookmarkStart w:id="52" w:name="a06-15544_1ex32d1.htm"/>
      <w:bookmarkStart w:id="53" w:name="ksa0615544_1ex32d1"/>
      <w:bookmarkEnd w:id="52"/>
      <w:bookmarkEnd w:id="53"/>
      <w:r>
        <w:rPr>
          <w:rFonts w:ascii="Times New Roman" w:hAnsi="Times New Roman"/>
          <w:b/>
          <w:sz w:val="17"/>
        </w:rPr>
        <w:t>EXHIBIT 32.1</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CERTIFICATION OF</w:t>
        <w:br/>
        <w:t>PRINCIPAL EXECUTIVE OFFICER</w:t>
        <w:br/>
        <w:t>OF PLAINS ALL AMERICAN PIPELINE, L.P.</w:t>
        <w:br/>
        <w:t>PURSUANT TO 18 U.S.C. 1350</w:t>
      </w:r>
    </w:p>
    <w:p>
      <w:pPr>
        <w:pStyle w:val="TextBody"/>
        <w:spacing w:before="0" w:after="240"/>
        <w:ind w:left="0" w:right="0" w:hanging="0"/>
        <w:rPr>
          <w:rFonts w:ascii="Times New Roman" w:hAnsi="Times New Roman"/>
          <w:sz w:val="17"/>
        </w:rPr>
      </w:pPr>
      <w:r>
        <w:rPr>
          <w:rFonts w:ascii="Times New Roman" w:hAnsi="Times New Roman"/>
          <w:sz w:val="17"/>
        </w:rPr>
        <w:t>I, Greg L. Armstrong, Chief Executive Officer of Plains All American Pipeline, L.P. (the Company), hereby certify that:</w:t>
      </w:r>
    </w:p>
    <w:p>
      <w:pPr>
        <w:pStyle w:val="TextBody"/>
        <w:spacing w:before="0" w:after="240"/>
        <w:ind w:left="800" w:right="0" w:hanging="400"/>
        <w:rPr>
          <w:rFonts w:ascii="Times New Roman" w:hAnsi="Times New Roman"/>
          <w:sz w:val="17"/>
        </w:rPr>
      </w:pPr>
      <w:r>
        <w:rPr>
          <w:rFonts w:ascii="Times New Roman" w:hAnsi="Times New Roman"/>
          <w:sz w:val="17"/>
        </w:rPr>
        <w:t>(i)               the accompanying report on Form 10-Q for the period ended June 30, 2006 and filed with the Securities and Exchange Commission on the date hereof (the Report) by the Company fully complies with the requirements of Section 13(a) or 15(d) of the Securities Exchange Act of 1934 (15 U.S.C. 78m(a) or 78o(d)); and</w:t>
      </w:r>
    </w:p>
    <w:p>
      <w:pPr>
        <w:pStyle w:val="TextBody"/>
        <w:keepNext w:val="true"/>
        <w:spacing w:before="0" w:after="240"/>
        <w:ind w:left="800" w:right="0" w:hanging="400"/>
        <w:rPr>
          <w:rFonts w:ascii="Times New Roman" w:hAnsi="Times New Roman"/>
          <w:sz w:val="17"/>
        </w:rPr>
      </w:pPr>
      <w:r>
        <w:rPr>
          <w:rFonts w:ascii="Times New Roman" w:hAnsi="Times New Roman"/>
          <w:sz w:val="17"/>
        </w:rPr>
        <w:t>(ii)            the information contained in the Report fairly presents, in all material respects, the financial condition and results of operations of the Company.</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283"/>
              <w:ind w:left="0" w:right="0" w:hanging="0"/>
              <w:rPr>
                <w:sz w:val="4"/>
                <w:szCs w:val="4"/>
              </w:rPr>
            </w:pPr>
            <w:r>
              <w:rPr>
                <w:sz w:val="4"/>
                <w:szCs w:val="4"/>
              </w:rPr>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Greg L. Armstrong</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4, 2006</w:t>
            </w:r>
          </w:p>
        </w:tc>
      </w:tr>
    </w:tbl>
    <w:p>
      <w:pPr>
        <w:pStyle w:val="TextBody"/>
        <w:spacing w:lineRule="atLeast" w:line="141" w:before="0" w:after="240"/>
        <w:ind w:left="0" w:right="0" w:hanging="0"/>
        <w:rPr/>
      </w:pPr>
      <w:r>
        <w:rPr/>
        <w:t>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400" w:right="0" w:hanging="400"/>
        <w:jc w:val="right"/>
        <w:rPr>
          <w:rFonts w:ascii="Times New Roman" w:hAnsi="Times New Roman"/>
          <w:b/>
          <w:sz w:val="17"/>
        </w:rPr>
      </w:pPr>
      <w:bookmarkStart w:id="54" w:name="a06-15544_1ex32d2.htm"/>
      <w:bookmarkStart w:id="55" w:name="ksa0615544_1ex32d2"/>
      <w:bookmarkEnd w:id="54"/>
      <w:bookmarkEnd w:id="55"/>
      <w:r>
        <w:rPr>
          <w:rFonts w:ascii="Times New Roman" w:hAnsi="Times New Roman"/>
          <w:b/>
          <w:sz w:val="17"/>
        </w:rPr>
        <w:t>EXHIBIT 32.2</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CERTIFICATION OF</w:t>
        <w:br/>
        <w:t>PRINCIPAL FINANCIAL OFFICER</w:t>
        <w:br/>
        <w:t>OF PLAINS ALL AMERICAN PIPELINE, L.P.</w:t>
        <w:br/>
        <w:t>PURSUANT TO 18 U.S.C. 1350</w:t>
      </w:r>
    </w:p>
    <w:p>
      <w:pPr>
        <w:pStyle w:val="TextBody"/>
        <w:spacing w:before="0" w:after="240"/>
        <w:ind w:left="0" w:right="0" w:hanging="0"/>
        <w:rPr>
          <w:rFonts w:ascii="Times New Roman" w:hAnsi="Times New Roman"/>
          <w:sz w:val="17"/>
        </w:rPr>
      </w:pPr>
      <w:r>
        <w:rPr>
          <w:rFonts w:ascii="Times New Roman" w:hAnsi="Times New Roman"/>
          <w:sz w:val="17"/>
        </w:rPr>
        <w:t>I, Phil Kramer, Chief Financial Officer of Plains All American Pipeline, L.P. (the Company), hereby certify that:</w:t>
      </w:r>
    </w:p>
    <w:p>
      <w:pPr>
        <w:pStyle w:val="TextBody"/>
        <w:spacing w:before="0" w:after="240"/>
        <w:ind w:left="800" w:right="0" w:hanging="400"/>
        <w:rPr>
          <w:rFonts w:ascii="Times New Roman" w:hAnsi="Times New Roman"/>
          <w:sz w:val="17"/>
        </w:rPr>
      </w:pPr>
      <w:r>
        <w:rPr>
          <w:rFonts w:ascii="Times New Roman" w:hAnsi="Times New Roman"/>
          <w:sz w:val="17"/>
        </w:rPr>
        <w:t>(i)               the accompanying report on Form 10-Q for the period ended June 30, 2006 and filed with the Securities and Exchange Commission on the date hereof (the Report) by the Company fully complies with the requirements of Section 13(a) or 15(d) of the Securities Exchange Act of 1934 (15 U.S.C. 78m(a) or 78o(d)); and</w:t>
      </w:r>
    </w:p>
    <w:p>
      <w:pPr>
        <w:pStyle w:val="TextBody"/>
        <w:keepNext w:val="true"/>
        <w:spacing w:before="0" w:after="240"/>
        <w:ind w:left="800" w:right="0" w:hanging="400"/>
        <w:rPr>
          <w:rFonts w:ascii="Times New Roman" w:hAnsi="Times New Roman"/>
          <w:sz w:val="17"/>
        </w:rPr>
      </w:pPr>
      <w:r>
        <w:rPr>
          <w:rFonts w:ascii="Times New Roman" w:hAnsi="Times New Roman"/>
          <w:sz w:val="17"/>
        </w:rPr>
        <w:t>(ii)            the information contained in the Report fairly presents, in all material respects, the financial condition and results of operations of the Company.</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283"/>
              <w:ind w:left="0" w:right="0" w:hanging="0"/>
              <w:rPr>
                <w:sz w:val="4"/>
                <w:szCs w:val="4"/>
              </w:rPr>
            </w:pPr>
            <w:r>
              <w:rPr>
                <w:sz w:val="4"/>
                <w:szCs w:val="4"/>
              </w:rPr>
            </w:r>
          </w:p>
        </w:tc>
        <w:tc>
          <w:tcPr>
            <w:tcW w:w="5103"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PHIL KRAMER</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Phil Kramer</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August 4, 2006</w:t>
            </w:r>
          </w:p>
        </w:tc>
      </w:tr>
    </w:tbl>
    <w:p>
      <w:pPr>
        <w:pStyle w:val="TextBody"/>
        <w:spacing w:lineRule="atLeast" w:line="141" w:before="0" w:after="240"/>
        <w:ind w:left="0" w:right="0" w:hanging="0"/>
        <w:rPr/>
      </w:pPr>
      <w:r>
        <w:rPr/>
        <w:t> </w:t>
      </w:r>
    </w:p>
    <w:p>
      <w:pPr>
        <w:pStyle w:val="TextBody"/>
        <w:spacing w:before="0" w:after="0"/>
        <w:rPr/>
      </w:pPr>
      <w:r>
        <w:rPr/>
      </w:r>
    </w:p>
    <w:p>
      <w:pPr>
        <w:pStyle w:val="HorizontalLine"/>
        <w:pBdr>
          <w:bottom w:val="single" w:sz="18" w:space="0" w:color="010101"/>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DejaVu Sans" w:cs="DejaVu Sans"/>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48</Pages>
  <Words>22633</Words>
  <CharactersWithSpaces>143969</CharactersWithSpaces>
  <Paragraphs>4765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