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September 3,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1-36132</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90-1005472</w:t>
      </w:r>
    </w:p>
    <w:p>
      <w:pPr>
        <w:spacing w:after="0" w:line="43" w:lineRule="exact"/>
        <w:rPr>
          <w:sz w:val="24"/>
          <w:szCs w:val="24"/>
          <w:color w:val="auto"/>
        </w:rPr>
      </w:pPr>
    </w:p>
    <w:p>
      <w:pPr>
        <w:sectPr>
          <w:pgSz w:w="11900" w:h="16838" w:orient="portrait"/>
          <w:cols w:equalWidth="0" w:num="3">
            <w:col w:w="4620" w:space="720"/>
            <w:col w:w="2900" w:space="720"/>
            <w:col w:w="2280"/>
          </w:cols>
          <w:pgMar w:left="320" w:top="754" w:right="33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4" w:lineRule="exact"/>
        <w:rPr>
          <w:sz w:val="24"/>
          <w:szCs w:val="24"/>
          <w:color w:val="auto"/>
        </w:rPr>
      </w:pPr>
    </w:p>
    <w:p>
      <w:pPr>
        <w:sectPr>
          <w:pgSz w:w="11900" w:h="16838" w:orient="portrait"/>
          <w:cols w:equalWidth="0" w:num="3">
            <w:col w:w="3920" w:space="720"/>
            <w:col w:w="2800" w:space="720"/>
            <w:col w:w="3080"/>
          </w:cols>
          <w:pgMar w:left="320" w:top="754"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1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54" w:right="339" w:bottom="1440" w:gutter="0" w:footer="0" w:header="0"/>
          <w:type w:val="continuous"/>
        </w:sectPr>
      </w:pPr>
    </w:p>
    <w:p>
      <w:pPr>
        <w:spacing w:after="0" w:line="21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Shares</w:t>
            </w:r>
          </w:p>
        </w:tc>
        <w:tc>
          <w:tcPr>
            <w:tcW w:w="2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22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9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September 8, 2025, the registrant’s consolidated subsidiaries, Plains All American Pipeline, L.P. (“PAA”) and PAA Finance Corp. (together with PAA, the “Issuers”) completed the public offering (the “Offering”) of $1.25 billion aggregate principal amount of the Issuers’ debt securities, consisting of $700,000,000 aggregate principal amount of 4.700% Senior Notes due 2031 (the “2031 Notes”) and $550,000,000 aggregate principal amount of 5.600% Senior Notes due 2036 (the “2036 Notes,” and, together with the 2031 Notes, the “Notes”).</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terms of the Notes are governed by the indenture (the “Base Indenture,” </w:t>
      </w:r>
      <w:r>
        <w:rPr>
          <w:rFonts w:ascii="Times New Roman" w:cs="Times New Roman" w:eastAsia="Times New Roman" w:hAnsi="Times New Roman"/>
          <w:sz w:val="18"/>
          <w:szCs w:val="18"/>
          <w:color w:val="212529"/>
        </w:rPr>
        <w:t>and as amended and supplemented by the Supplemental Indentures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(defined below), the “Indenture”) dated as of September 25, 2002 by and among the Issuers and U.S. Bank Trust Company, National Association (as successor trustee), as trustee (the “Trustee”), as supplemented by the Thirty-Fifth Supplemental Indenture dated as of September </w:t>
      </w:r>
      <w:r>
        <w:rPr>
          <w:rFonts w:ascii="Times New Roman" w:cs="Times New Roman" w:eastAsia="Times New Roman" w:hAnsi="Times New Roman"/>
          <w:sz w:val="18"/>
          <w:szCs w:val="18"/>
          <w:color w:val="000000"/>
        </w:rPr>
        <w:t>8</w:t>
      </w:r>
      <w:r>
        <w:rPr>
          <w:rFonts w:ascii="Times New Roman" w:cs="Times New Roman" w:eastAsia="Times New Roman" w:hAnsi="Times New Roman"/>
          <w:sz w:val="18"/>
          <w:szCs w:val="18"/>
          <w:color w:val="212529"/>
        </w:rPr>
        <w:t xml:space="preserve">, 2025 by and among the Issuers and the Trustee (the “35th Supplemental Indenture”) relating to the issuance of the 2031 Notes and the Thirty-Sixth Supplemental Indenture dated as of September </w:t>
      </w:r>
      <w:r>
        <w:rPr>
          <w:rFonts w:ascii="Times New Roman" w:cs="Times New Roman" w:eastAsia="Times New Roman" w:hAnsi="Times New Roman"/>
          <w:sz w:val="18"/>
          <w:szCs w:val="18"/>
          <w:color w:val="000000"/>
        </w:rPr>
        <w:t>8, 2025 by and among the Issuers and the Trustee (the “36th Supplemental Indenture,” and, together with the 35th Supplemental Indenture,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“Supplemental Indentures”) relating to the issuance of the 2036 Notes.</w:t>
      </w:r>
    </w:p>
    <w:p>
      <w:pPr>
        <w:spacing w:after="0" w:line="18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212529"/>
        </w:rPr>
        <w:t xml:space="preserve">The 2031 Notes will mature on January 15, 2031, and the 2036 Notes will mature on </w:t>
      </w:r>
      <w:r>
        <w:rPr>
          <w:rFonts w:ascii="Times New Roman" w:cs="Times New Roman" w:eastAsia="Times New Roman" w:hAnsi="Times New Roman"/>
          <w:sz w:val="18"/>
          <w:szCs w:val="18"/>
          <w:color w:val="000000"/>
        </w:rPr>
        <w:t>January 15, 2036</w:t>
      </w:r>
      <w:r>
        <w:rPr>
          <w:rFonts w:ascii="Times New Roman" w:cs="Times New Roman" w:eastAsia="Times New Roman" w:hAnsi="Times New Roman"/>
          <w:sz w:val="18"/>
          <w:szCs w:val="18"/>
          <w:color w:val="212529"/>
        </w:rPr>
        <w:t>. Interest is payable on the Notes on each January 15 and July 15, commencing on January 15, 2026. The Issuers may redeem some or all of the Notes at any time and from time to time prior to maturity at the redemption prices specified in the Indenture.</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Notes are PAA’s senior unsecured obligations, will rank equally in right of payment with all of PAA’s existing and future senior debt, and will rank senior in right of payment to all of PAA’s future subordinated debt. The Notes will be effectively subordinated to all of PAA’s existing and future secured debt to the extent of the value of the collateral securing such indebtedness.</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certain circumstances, the Indenture restricts PAA’s ability and the ability of certain of its subsidiaries to: (i) enter into sale and leaseback transactions; (ii) incur liens; (iii) merge or consolidate with another company; and (iv) transfer and sell assets. These covenants are subject to a number of important exceptions and qualifications.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contains customary events of default with respect to the Notes of either series, including:</w:t>
      </w:r>
    </w:p>
    <w:p>
      <w:pPr>
        <w:spacing w:after="0" w:line="225" w:lineRule="exact"/>
        <w:rPr>
          <w:sz w:val="20"/>
          <w:szCs w:val="20"/>
          <w:color w:val="auto"/>
        </w:rPr>
      </w:pPr>
    </w:p>
    <w:p>
      <w:pPr>
        <w:ind w:left="1140" w:hanging="457"/>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on any Note of that series when due, continued for 60 days;</w:t>
      </w:r>
    </w:p>
    <w:p>
      <w:pPr>
        <w:spacing w:after="0" w:line="225" w:lineRule="exact"/>
        <w:rPr>
          <w:rFonts w:ascii="Times New Roman" w:cs="Times New Roman" w:eastAsia="Times New Roman" w:hAnsi="Times New Roman"/>
          <w:sz w:val="18"/>
          <w:szCs w:val="18"/>
          <w:color w:val="auto"/>
        </w:rPr>
      </w:pPr>
    </w:p>
    <w:p>
      <w:pPr>
        <w:ind w:left="1140" w:hanging="457"/>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premium, if any, on any Note of that series when due;</w:t>
      </w:r>
    </w:p>
    <w:p>
      <w:pPr>
        <w:spacing w:after="0" w:line="225" w:lineRule="exact"/>
        <w:rPr>
          <w:rFonts w:ascii="Times New Roman" w:cs="Times New Roman" w:eastAsia="Times New Roman" w:hAnsi="Times New Roman"/>
          <w:sz w:val="18"/>
          <w:szCs w:val="18"/>
          <w:color w:val="auto"/>
        </w:rPr>
      </w:pPr>
    </w:p>
    <w:p>
      <w:pPr>
        <w:ind w:left="1140" w:hanging="457"/>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PAA to comply with its obligations under the Indenture, in certain cases subject to notice and grace periods;</w:t>
      </w:r>
    </w:p>
    <w:p>
      <w:pPr>
        <w:spacing w:after="0" w:line="225" w:lineRule="exact"/>
        <w:rPr>
          <w:rFonts w:ascii="Times New Roman" w:cs="Times New Roman" w:eastAsia="Times New Roman" w:hAnsi="Times New Roman"/>
          <w:sz w:val="18"/>
          <w:szCs w:val="18"/>
          <w:color w:val="auto"/>
        </w:rPr>
      </w:pPr>
    </w:p>
    <w:p>
      <w:pPr>
        <w:ind w:left="1140" w:right="520" w:hanging="457"/>
        <w:spacing w:after="0" w:line="282" w:lineRule="auto"/>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defaults and accelerations with respect to other indebtedness of PAA and its Subsidiaries (as defined in the Indenture) in the aggregate principal amount of $150.0 million or more;</w:t>
      </w:r>
    </w:p>
    <w:p>
      <w:pPr>
        <w:spacing w:after="0" w:line="161" w:lineRule="exact"/>
        <w:rPr>
          <w:rFonts w:ascii="Times New Roman" w:cs="Times New Roman" w:eastAsia="Times New Roman" w:hAnsi="Times New Roman"/>
          <w:sz w:val="18"/>
          <w:szCs w:val="18"/>
          <w:color w:val="auto"/>
        </w:rPr>
      </w:pPr>
    </w:p>
    <w:p>
      <w:pPr>
        <w:ind w:left="1140" w:right="740" w:hanging="457"/>
        <w:spacing w:after="0" w:line="282" w:lineRule="auto"/>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PAA or, if and so long as the Notes of that series are guaranteed by a subsidiary guarantor, by such subsidiary guarantor; or</w:t>
      </w:r>
    </w:p>
    <w:p>
      <w:pPr>
        <w:spacing w:after="0" w:line="161" w:lineRule="exact"/>
        <w:rPr>
          <w:rFonts w:ascii="Times New Roman" w:cs="Times New Roman" w:eastAsia="Times New Roman" w:hAnsi="Times New Roman"/>
          <w:sz w:val="18"/>
          <w:szCs w:val="18"/>
          <w:color w:val="auto"/>
        </w:rPr>
      </w:pPr>
    </w:p>
    <w:p>
      <w:pPr>
        <w:ind w:left="1140" w:hanging="457"/>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so long as the Notes of that series are guaranteed by a subsidiary guarantor:</w:t>
      </w:r>
    </w:p>
    <w:p>
      <w:pPr>
        <w:spacing w:after="0" w:line="225" w:lineRule="exact"/>
        <w:rPr>
          <w:rFonts w:ascii="Times New Roman" w:cs="Times New Roman" w:eastAsia="Times New Roman" w:hAnsi="Times New Roman"/>
          <w:sz w:val="18"/>
          <w:szCs w:val="18"/>
          <w:color w:val="auto"/>
        </w:rPr>
      </w:pPr>
    </w:p>
    <w:p>
      <w:pPr>
        <w:ind w:left="1580" w:hanging="438"/>
        <w:spacing w:after="0"/>
        <w:tabs>
          <w:tab w:leader="none" w:pos="15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ceases to be in full force and effect, except as otherwise provided in the Indenture;</w:t>
      </w:r>
    </w:p>
    <w:p>
      <w:pPr>
        <w:spacing w:after="0" w:line="225" w:lineRule="exact"/>
        <w:rPr>
          <w:rFonts w:ascii="Times New Roman" w:cs="Times New Roman" w:eastAsia="Times New Roman" w:hAnsi="Times New Roman"/>
          <w:sz w:val="18"/>
          <w:szCs w:val="18"/>
          <w:color w:val="auto"/>
        </w:rPr>
      </w:pPr>
    </w:p>
    <w:p>
      <w:pPr>
        <w:ind w:left="1580" w:hanging="438"/>
        <w:spacing w:after="0"/>
        <w:tabs>
          <w:tab w:leader="none" w:pos="15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is declared null and void in a judicial proceeding; or</w:t>
      </w:r>
    </w:p>
    <w:p>
      <w:pPr>
        <w:spacing w:after="0" w:line="225" w:lineRule="exact"/>
        <w:rPr>
          <w:rFonts w:ascii="Times New Roman" w:cs="Times New Roman" w:eastAsia="Times New Roman" w:hAnsi="Times New Roman"/>
          <w:sz w:val="18"/>
          <w:szCs w:val="18"/>
          <w:color w:val="auto"/>
        </w:rPr>
      </w:pPr>
    </w:p>
    <w:p>
      <w:pPr>
        <w:ind w:left="1580" w:hanging="438"/>
        <w:spacing w:after="0"/>
        <w:tabs>
          <w:tab w:leader="none" w:pos="15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guarantor denies or disaffirms its obligations under the Indenture or its guarantee.</w:t>
      </w:r>
    </w:p>
    <w:p>
      <w:pPr>
        <w:spacing w:after="0" w:line="225" w:lineRule="exact"/>
        <w:rPr>
          <w:sz w:val="20"/>
          <w:szCs w:val="20"/>
          <w:color w:val="auto"/>
        </w:rPr>
      </w:pPr>
    </w:p>
    <w:p>
      <w:pPr>
        <w:ind w:right="80" w:firstLine="648"/>
        <w:spacing w:after="0" w:line="289" w:lineRule="auto"/>
        <w:rPr>
          <w:sz w:val="20"/>
          <w:szCs w:val="20"/>
          <w:color w:val="auto"/>
        </w:rPr>
      </w:pPr>
      <w:r>
        <w:rPr>
          <w:rFonts w:ascii="Times New Roman" w:cs="Times New Roman" w:eastAsia="Times New Roman" w:hAnsi="Times New Roman"/>
          <w:sz w:val="17"/>
          <w:szCs w:val="17"/>
          <w:color w:val="auto"/>
        </w:rPr>
        <w:t>If an event of default under the Indenture occurs and is continuing, the Trustee or the holders of at least 25% in principal amount of the outstanding Notes may declare the principal of, premium, if any, and accrued and unpaid interest, if any, on the Notes to be due and payable, or, in the case of certain events of default relating to bankruptcy, insolvency or reorganization, those amounts will automatically become immediately due and payable.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right="20" w:firstLine="324"/>
        <w:spacing w:after="0" w:line="258" w:lineRule="auto"/>
        <w:rPr>
          <w:sz w:val="20"/>
          <w:szCs w:val="20"/>
          <w:color w:val="auto"/>
        </w:rPr>
      </w:pPr>
      <w:r>
        <w:rPr>
          <w:rFonts w:ascii="Times New Roman" w:cs="Times New Roman" w:eastAsia="Times New Roman" w:hAnsi="Times New Roman"/>
          <w:sz w:val="18"/>
          <w:szCs w:val="18"/>
          <w:color w:val="212529"/>
        </w:rPr>
        <w:t>Other material terms of the Notes, the Base Indenture and the Supplemental Indentures are described in the prospectus supplement, dated September 3, 2025 (the “prospectus supplement”), to the prospectus, dated September 6, 2024, which is included in the Registration Statement (as defined below). The foregoing descriptions of the Indenture and the Notes are qualified in their entirety by reference to such Indenture (including the forms of Notes attached thereto). Copies of the 35th Supplemental Indenture and the 36th Supplemental Indenture are filed as Exhibit 4.1 and Exhibit 4.3, respectively, to PAA’s Current Report on Form 8-K and are incorporated herein by reference.</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contained in Item 1.01 is incorporated by reference into this Item 2.03.</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On September 3, 2025, the Issuers entered into an underwriting agreement (the “Underwriting Agreement”) with BofA Securities, Inc., Barclays Capital Inc., PNC Capital Markets LLC, TD Securities (USA) LLC and Wells Fargo Securities, LLC, as representatives of the several underwriters named therein (collectively, the “Underwriters”), relating to the Offering.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Notes were offered and sold under the Issuers’ shelf registration statement on Form S-3 (Registration No. 333-281967) filed with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on September 6, 2024 (the “Registration Statement”), and are described in the prospectus supplement.</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Underwriting Agreement is filed as Exhibit 1.1 to PAA’s Current Report on Form 8-K, filed as of the date hereof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1220"/>
          </w:cols>
          <w:pgMar w:left="320" w:top="904" w:right="359" w:bottom="1440" w:gutter="0" w:footer="0" w:header="0"/>
        </w:sectPr>
      </w:pP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0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08"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r:id="rId16">
        <w:r>
          <w:rPr>
            <w:rFonts w:ascii="Times New Roman" w:cs="Times New Roman" w:eastAsia="Times New Roman" w:hAnsi="Times New Roman"/>
            <w:sz w:val="18"/>
            <w:szCs w:val="18"/>
            <w:u w:val="single" w:color="auto"/>
            <w:color w:val="0000EE"/>
          </w:rPr>
          <w:t>1.1</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62750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11" w:lineRule="exact"/>
        <w:rPr>
          <w:sz w:val="20"/>
          <w:szCs w:val="20"/>
          <w:color w:val="auto"/>
        </w:rPr>
      </w:pPr>
    </w:p>
    <w:p>
      <w:pPr>
        <w:ind w:right="380"/>
        <w:spacing w:after="0" w:line="259" w:lineRule="auto"/>
        <w:rPr>
          <w:rFonts w:ascii="Times New Roman" w:cs="Times New Roman" w:eastAsia="Times New Roman" w:hAnsi="Times New Roman"/>
          <w:sz w:val="18"/>
          <w:szCs w:val="18"/>
          <w:u w:val="single" w:color="auto"/>
          <w:color w:val="0000EE"/>
        </w:rPr>
      </w:pPr>
      <w:hyperlink r:id="rId16">
        <w:r>
          <w:rPr>
            <w:rFonts w:ascii="Times New Roman" w:cs="Times New Roman" w:eastAsia="Times New Roman" w:hAnsi="Times New Roman"/>
            <w:sz w:val="18"/>
            <w:szCs w:val="18"/>
            <w:u w:val="single" w:color="auto"/>
            <w:color w:val="0000EE"/>
          </w:rPr>
          <w:t>Underwriting Agreement dated September 3, 2025 by and among Plains All American Pipeline, L.P., PAA Finance Corp. and BofA</w:t>
        </w:r>
      </w:hyperlink>
      <w:r>
        <w:rPr>
          <w:rFonts w:ascii="Times New Roman" w:cs="Times New Roman" w:eastAsia="Times New Roman" w:hAnsi="Times New Roman"/>
          <w:sz w:val="18"/>
          <w:szCs w:val="18"/>
          <w:u w:val="single" w:color="auto"/>
          <w:color w:val="0000EE"/>
        </w:rPr>
        <w:t xml:space="preserve"> </w:t>
      </w:r>
      <w:hyperlink r:id="rId16">
        <w:r>
          <w:rPr>
            <w:rFonts w:ascii="Times New Roman" w:cs="Times New Roman" w:eastAsia="Times New Roman" w:hAnsi="Times New Roman"/>
            <w:sz w:val="18"/>
            <w:szCs w:val="18"/>
            <w:u w:val="single" w:color="auto"/>
            <w:color w:val="0000EE"/>
          </w:rPr>
          <w:t>Securities, Inc., Barclays Capital Inc., PNC Capital Markets LLC, TD Securities (USA) LLC and Wells Fargo Securities, LLC, as</w:t>
        </w:r>
      </w:hyperlink>
      <w:r>
        <w:rPr>
          <w:rFonts w:ascii="Times New Roman" w:cs="Times New Roman" w:eastAsia="Times New Roman" w:hAnsi="Times New Roman"/>
          <w:sz w:val="18"/>
          <w:szCs w:val="18"/>
          <w:u w:val="single" w:color="auto"/>
          <w:color w:val="0000EE"/>
        </w:rPr>
        <w:t xml:space="preserve"> </w:t>
      </w:r>
      <w:hyperlink r:id="rId16">
        <w:r>
          <w:rPr>
            <w:rFonts w:ascii="Times New Roman" w:cs="Times New Roman" w:eastAsia="Times New Roman" w:hAnsi="Times New Roman"/>
            <w:sz w:val="18"/>
            <w:szCs w:val="18"/>
            <w:u w:val="single" w:color="auto"/>
            <w:color w:val="0000EE"/>
          </w:rPr>
          <w:t>representatives of the several underwriters named therein (incorporated by reference to Exhibit 1.1 of Plains All American Pipeline,</w:t>
        </w:r>
      </w:hyperlink>
      <w:r>
        <w:rPr>
          <w:rFonts w:ascii="Times New Roman" w:cs="Times New Roman" w:eastAsia="Times New Roman" w:hAnsi="Times New Roman"/>
          <w:sz w:val="18"/>
          <w:szCs w:val="18"/>
          <w:u w:val="single" w:color="auto"/>
          <w:color w:val="0000EE"/>
        </w:rPr>
        <w:t xml:space="preserve"> </w:t>
      </w:r>
      <w:hyperlink r:id="rId16">
        <w:r>
          <w:rPr>
            <w:rFonts w:ascii="Times New Roman" w:cs="Times New Roman" w:eastAsia="Times New Roman" w:hAnsi="Times New Roman"/>
            <w:sz w:val="18"/>
            <w:szCs w:val="18"/>
            <w:u w:val="single" w:color="auto"/>
            <w:color w:val="0000EE"/>
          </w:rPr>
          <w:t>L.P.’s Current Report on Form 8-K filed on September 8, 2025).</w:t>
        </w:r>
      </w:hyperlink>
    </w:p>
    <w:p>
      <w:pPr>
        <w:spacing w:after="0" w:line="182"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900" w:space="460"/>
            <w:col w:w="9860"/>
          </w:cols>
          <w:pgMar w:left="320" w:top="904" w:right="359" w:bottom="1440" w:gutter="0" w:footer="0" w:header="0"/>
          <w:type w:val="continuous"/>
        </w:sectPr>
      </w:pPr>
    </w:p>
    <w:p>
      <w:pPr>
        <w:spacing w:after="0" w:line="216" w:lineRule="exact"/>
        <w:rPr>
          <w:rFonts w:ascii="Times New Roman" w:cs="Times New Roman" w:eastAsia="Times New Roman" w:hAnsi="Times New Roman"/>
          <w:sz w:val="18"/>
          <w:szCs w:val="18"/>
          <w:u w:val="single" w:color="auto"/>
          <w:color w:val="0000EE"/>
        </w:rPr>
      </w:pPr>
    </w:p>
    <w:p>
      <w:pPr>
        <w:ind w:left="460"/>
        <w:spacing w:after="0"/>
        <w:rPr>
          <w:rFonts w:ascii="Times New Roman" w:cs="Times New Roman" w:eastAsia="Times New Roman" w:hAnsi="Times New Roman"/>
          <w:sz w:val="18"/>
          <w:szCs w:val="18"/>
          <w:u w:val="single" w:color="auto"/>
          <w:color w:val="0000EE"/>
        </w:rPr>
      </w:pPr>
      <w:hyperlink r:id="rId18">
        <w:r>
          <w:rPr>
            <w:rFonts w:ascii="Times New Roman" w:cs="Times New Roman" w:eastAsia="Times New Roman" w:hAnsi="Times New Roman"/>
            <w:sz w:val="18"/>
            <w:szCs w:val="18"/>
            <w:u w:val="single" w:color="auto"/>
            <w:color w:val="0000EE"/>
          </w:rPr>
          <w:t>4.1</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349" w:lineRule="exact"/>
        <w:rPr>
          <w:rFonts w:ascii="Times New Roman" w:cs="Times New Roman" w:eastAsia="Times New Roman" w:hAnsi="Times New Roman"/>
          <w:sz w:val="18"/>
          <w:szCs w:val="18"/>
          <w:u w:val="single" w:color="auto"/>
          <w:color w:val="0000EE"/>
        </w:rPr>
      </w:pPr>
    </w:p>
    <w:p>
      <w:pPr>
        <w:ind w:left="460"/>
        <w:spacing w:after="0"/>
        <w:rPr>
          <w:rFonts w:ascii="Times New Roman" w:cs="Times New Roman" w:eastAsia="Times New Roman" w:hAnsi="Times New Roman"/>
          <w:sz w:val="18"/>
          <w:szCs w:val="18"/>
          <w:u w:val="single" w:color="auto"/>
          <w:color w:val="0000EE"/>
        </w:rPr>
      </w:pPr>
      <w:hyperlink r:id="rId18">
        <w:r>
          <w:rPr>
            <w:rFonts w:ascii="Times New Roman" w:cs="Times New Roman" w:eastAsia="Times New Roman" w:hAnsi="Times New Roman"/>
            <w:sz w:val="18"/>
            <w:szCs w:val="18"/>
            <w:u w:val="single" w:color="auto"/>
            <w:color w:val="0000EE"/>
          </w:rPr>
          <w:t>4.2</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349" w:lineRule="exact"/>
        <w:rPr>
          <w:rFonts w:ascii="Times New Roman" w:cs="Times New Roman" w:eastAsia="Times New Roman" w:hAnsi="Times New Roman"/>
          <w:sz w:val="18"/>
          <w:szCs w:val="18"/>
          <w:u w:val="single" w:color="auto"/>
          <w:color w:val="0000EE"/>
        </w:rPr>
      </w:pPr>
    </w:p>
    <w:p>
      <w:pPr>
        <w:ind w:left="460"/>
        <w:spacing w:after="0"/>
        <w:rPr>
          <w:rFonts w:ascii="Times New Roman" w:cs="Times New Roman" w:eastAsia="Times New Roman" w:hAnsi="Times New Roman"/>
          <w:sz w:val="18"/>
          <w:szCs w:val="18"/>
          <w:u w:val="single" w:color="auto"/>
          <w:color w:val="0000EE"/>
        </w:rPr>
      </w:pPr>
      <w:hyperlink r:id="rId19">
        <w:r>
          <w:rPr>
            <w:rFonts w:ascii="Times New Roman" w:cs="Times New Roman" w:eastAsia="Times New Roman" w:hAnsi="Times New Roman"/>
            <w:sz w:val="18"/>
            <w:szCs w:val="18"/>
            <w:u w:val="single" w:color="auto"/>
            <w:color w:val="0000EE"/>
          </w:rPr>
          <w:t>4.3</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349" w:lineRule="exact"/>
        <w:rPr>
          <w:rFonts w:ascii="Times New Roman" w:cs="Times New Roman" w:eastAsia="Times New Roman" w:hAnsi="Times New Roman"/>
          <w:sz w:val="18"/>
          <w:szCs w:val="18"/>
          <w:u w:val="single" w:color="auto"/>
          <w:color w:val="0000EE"/>
        </w:rPr>
      </w:pPr>
    </w:p>
    <w:p>
      <w:pPr>
        <w:ind w:left="460"/>
        <w:spacing w:after="0"/>
        <w:rPr>
          <w:rFonts w:ascii="Times New Roman" w:cs="Times New Roman" w:eastAsia="Times New Roman" w:hAnsi="Times New Roman"/>
          <w:sz w:val="18"/>
          <w:szCs w:val="18"/>
          <w:u w:val="single" w:color="auto"/>
          <w:color w:val="0000EE"/>
        </w:rPr>
      </w:pPr>
      <w:hyperlink r:id="rId19">
        <w:r>
          <w:rPr>
            <w:rFonts w:ascii="Times New Roman" w:cs="Times New Roman" w:eastAsia="Times New Roman" w:hAnsi="Times New Roman"/>
            <w:sz w:val="18"/>
            <w:szCs w:val="18"/>
            <w:u w:val="single" w:color="auto"/>
            <w:color w:val="0000EE"/>
          </w:rPr>
          <w:t>4.4</w:t>
        </w:r>
      </w:hyperlink>
    </w:p>
    <w:p>
      <w:pPr>
        <w:spacing w:after="0" w:line="333" w:lineRule="exact"/>
        <w:rPr>
          <w:rFonts w:ascii="Times New Roman" w:cs="Times New Roman" w:eastAsia="Times New Roman" w:hAnsi="Times New Roman"/>
          <w:sz w:val="18"/>
          <w:szCs w:val="18"/>
          <w:u w:val="single" w:color="auto"/>
          <w:color w:val="0000EE"/>
        </w:rPr>
      </w:pPr>
    </w:p>
    <w:p>
      <w:pPr>
        <w:ind w:left="4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jc w:val="both"/>
        <w:ind w:right="220"/>
        <w:spacing w:after="0" w:line="266" w:lineRule="auto"/>
        <w:rPr>
          <w:rFonts w:ascii="Times New Roman" w:cs="Times New Roman" w:eastAsia="Times New Roman" w:hAnsi="Times New Roman"/>
          <w:sz w:val="18"/>
          <w:szCs w:val="18"/>
          <w:u w:val="single" w:color="auto"/>
          <w:color w:val="0000EE"/>
        </w:rPr>
      </w:pPr>
      <w:hyperlink r:id="rId18">
        <w:r>
          <w:rPr>
            <w:rFonts w:ascii="Times New Roman" w:cs="Times New Roman" w:eastAsia="Times New Roman" w:hAnsi="Times New Roman"/>
            <w:sz w:val="18"/>
            <w:szCs w:val="18"/>
            <w:u w:val="single" w:color="auto"/>
            <w:color w:val="0000EE"/>
          </w:rPr>
          <w:t>Thirty-Fifth Supplemental Indenture, dated September 8, 2025, by and among Plains All American Pipeline, L.P., PAA Finance Corp.</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and U.S. Bank Trust Company, National Association, as trustee (incorporated by reference to Exhibit 4.1 of PAA’s Current Report on</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Form 8-K filed on September 8, 2025).</w:t>
        </w:r>
      </w:hyperlink>
    </w:p>
    <w:p>
      <w:pPr>
        <w:spacing w:after="0" w:line="176" w:lineRule="exact"/>
        <w:rPr>
          <w:rFonts w:ascii="Times New Roman" w:cs="Times New Roman" w:eastAsia="Times New Roman" w:hAnsi="Times New Roman"/>
          <w:sz w:val="18"/>
          <w:szCs w:val="18"/>
          <w:u w:val="single" w:color="auto"/>
          <w:color w:val="0000EE"/>
        </w:rPr>
      </w:pPr>
    </w:p>
    <w:p>
      <w:pPr>
        <w:ind w:right="580"/>
        <w:spacing w:after="0" w:line="282" w:lineRule="auto"/>
        <w:rPr>
          <w:rFonts w:ascii="Times New Roman" w:cs="Times New Roman" w:eastAsia="Times New Roman" w:hAnsi="Times New Roman"/>
          <w:sz w:val="18"/>
          <w:szCs w:val="18"/>
          <w:u w:val="single" w:color="auto"/>
          <w:color w:val="0000EE"/>
        </w:rPr>
      </w:pPr>
      <w:hyperlink r:id="rId18">
        <w:r>
          <w:rPr>
            <w:rFonts w:ascii="Times New Roman" w:cs="Times New Roman" w:eastAsia="Times New Roman" w:hAnsi="Times New Roman"/>
            <w:sz w:val="18"/>
            <w:szCs w:val="18"/>
            <w:u w:val="single" w:color="auto"/>
            <w:color w:val="0000EE"/>
          </w:rPr>
          <w:t>Form of 4.700% Senior Notes due 2031 (included as Exhibit A in Exhibit 4.1) (incorporated by reference to Exhibit 4.2 of PAA’s</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Current Report on Form 8-K filed on September 8, 2025).</w:t>
        </w:r>
      </w:hyperlink>
    </w:p>
    <w:p>
      <w:pPr>
        <w:spacing w:after="0" w:line="162" w:lineRule="exact"/>
        <w:rPr>
          <w:sz w:val="20"/>
          <w:szCs w:val="20"/>
          <w:color w:val="auto"/>
        </w:rPr>
      </w:pPr>
    </w:p>
    <w:p>
      <w:pPr>
        <w:jc w:val="both"/>
        <w:ind w:right="200"/>
        <w:spacing w:after="0" w:line="266" w:lineRule="auto"/>
        <w:rPr>
          <w:rFonts w:ascii="Times New Roman" w:cs="Times New Roman" w:eastAsia="Times New Roman" w:hAnsi="Times New Roman"/>
          <w:sz w:val="18"/>
          <w:szCs w:val="18"/>
          <w:u w:val="single" w:color="auto"/>
          <w:color w:val="0000EE"/>
        </w:rPr>
      </w:pPr>
      <w:hyperlink r:id="rId19">
        <w:r>
          <w:rPr>
            <w:rFonts w:ascii="Times New Roman" w:cs="Times New Roman" w:eastAsia="Times New Roman" w:hAnsi="Times New Roman"/>
            <w:sz w:val="18"/>
            <w:szCs w:val="18"/>
            <w:u w:val="single" w:color="auto"/>
            <w:color w:val="0000EE"/>
          </w:rPr>
          <w:t>Thirty-Sixth Supplemental Indenture, dated September 8, 2025, by and among Plains All American Pipeline, L.P., PAA Finance Corp.</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and U.S. Bank Trust Company, National Association, as trustee (incorporated by reference to Exhibit 4.3 of PAA’s Current Report on</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Form 8-K filed on September 8, 2025).</w:t>
        </w:r>
      </w:hyperlink>
    </w:p>
    <w:p>
      <w:pPr>
        <w:spacing w:after="0" w:line="176" w:lineRule="exact"/>
        <w:rPr>
          <w:rFonts w:ascii="Times New Roman" w:cs="Times New Roman" w:eastAsia="Times New Roman" w:hAnsi="Times New Roman"/>
          <w:sz w:val="18"/>
          <w:szCs w:val="18"/>
          <w:u w:val="single" w:color="auto"/>
          <w:color w:val="0000EE"/>
        </w:rPr>
      </w:pPr>
    </w:p>
    <w:p>
      <w:pPr>
        <w:ind w:right="580"/>
        <w:spacing w:after="0" w:line="282" w:lineRule="auto"/>
        <w:rPr>
          <w:rFonts w:ascii="Times New Roman" w:cs="Times New Roman" w:eastAsia="Times New Roman" w:hAnsi="Times New Roman"/>
          <w:sz w:val="18"/>
          <w:szCs w:val="18"/>
          <w:u w:val="single" w:color="auto"/>
          <w:color w:val="0000EE"/>
        </w:rPr>
      </w:pPr>
      <w:hyperlink r:id="rId19">
        <w:r>
          <w:rPr>
            <w:rFonts w:ascii="Times New Roman" w:cs="Times New Roman" w:eastAsia="Times New Roman" w:hAnsi="Times New Roman"/>
            <w:sz w:val="18"/>
            <w:szCs w:val="18"/>
            <w:u w:val="single" w:color="auto"/>
            <w:color w:val="0000EE"/>
          </w:rPr>
          <w:t>Form of 5.600% Senior Notes due 2036 (included as Exhibit A in Exhibit 4.3) (incorporated by reference to Exhibit 4.4 of PAA’s</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Current Report on Form 8-K filed on September 8, 2025).</w:t>
        </w:r>
      </w:hyperlink>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ectPr>
          <w:pgSz w:w="11900" w:h="16838" w:orient="portrait"/>
          <w:cols w:equalWidth="0" w:num="2">
            <w:col w:w="720" w:space="640"/>
            <w:col w:w="9860"/>
          </w:cols>
          <w:pgMar w:left="320" w:top="904" w:right="359" w:bottom="1440" w:gutter="0" w:footer="0" w:header="0"/>
          <w:type w:val="continuous"/>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8, 2025</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PLAINS GP HOLDINGS, L.P.</w:t>
            </w:r>
          </w:p>
        </w:tc>
      </w:tr>
      <w:tr>
        <w:trPr>
          <w:trHeight w:val="432"/>
        </w:trPr>
        <w:tc>
          <w:tcPr>
            <w:tcW w:w="3720" w:type="dxa"/>
            <w:vAlign w:val="bottom"/>
          </w:tcPr>
          <w:p>
            <w:pPr>
              <w:spacing w:after="0"/>
              <w:rPr>
                <w:sz w:val="24"/>
                <w:szCs w:val="24"/>
                <w:color w:val="auto"/>
              </w:rPr>
            </w:pP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PAA GP Holdings LLC, its general partner</w:t>
            </w:r>
          </w:p>
        </w:tc>
      </w:tr>
      <w:tr>
        <w:trPr>
          <w:trHeight w:val="432"/>
        </w:trPr>
        <w:tc>
          <w:tcPr>
            <w:tcW w:w="3720" w:type="dxa"/>
            <w:vAlign w:val="bottom"/>
          </w:tcPr>
          <w:p>
            <w:pPr>
              <w:spacing w:after="0"/>
              <w:rPr>
                <w:sz w:val="24"/>
                <w:szCs w:val="24"/>
                <w:color w:val="auto"/>
              </w:rPr>
            </w:pP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3720" w:type="dxa"/>
            <w:vAlign w:val="bottom"/>
          </w:tcPr>
          <w:p>
            <w:pPr>
              <w:spacing w:after="0"/>
              <w:rPr>
                <w:sz w:val="16"/>
                <w:szCs w:val="16"/>
                <w:color w:val="auto"/>
              </w:rPr>
            </w:pPr>
          </w:p>
        </w:tc>
        <w:tc>
          <w:tcPr>
            <w:tcW w:w="2480" w:type="dxa"/>
            <w:vAlign w:val="bottom"/>
          </w:tcPr>
          <w:p>
            <w:pPr>
              <w:ind w:left="19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3720" w:type="dxa"/>
            <w:vAlign w:val="bottom"/>
          </w:tcPr>
          <w:p>
            <w:pPr>
              <w:spacing w:after="0"/>
              <w:rPr>
                <w:sz w:val="20"/>
                <w:szCs w:val="20"/>
                <w:color w:val="auto"/>
              </w:rPr>
            </w:pP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&amp; Secretary</w:t>
            </w:r>
          </w:p>
        </w:tc>
      </w:tr>
      <w:tr>
        <w:trPr>
          <w:trHeight w:val="648"/>
        </w:trPr>
        <w:tc>
          <w:tcPr>
            <w:tcW w:w="3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4</w:t>
            </w: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20" Type="http://schemas.openxmlformats.org/officeDocument/2006/relationships/image" Target="media/image10.png"/><Relationship Id="rId16" Type="http://schemas.openxmlformats.org/officeDocument/2006/relationships/hyperlink" Target="https://www.sec.gov/Archives/edgar/data/1070423/000110465925088257/tm2524999d4_ex1-1.htm" TargetMode="External"/><Relationship Id="rId18" Type="http://schemas.openxmlformats.org/officeDocument/2006/relationships/hyperlink" Target="https://www.sec.gov/Archives/edgar/data/1070423/000110465925088257/tm2524999d4_ex4-1.htm" TargetMode="External"/><Relationship Id="rId19" Type="http://schemas.openxmlformats.org/officeDocument/2006/relationships/hyperlink" Target="https://www.sec.gov/Archives/edgar/data/1070423/000110465925088257/tm2524999d4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2025-09-08T16:05:10Z</dcterms:created>
  <dcterms:modified xsi:type="dcterms:W3CDTF">2025-09-08T16:05:10Z</dcterms:modified>
</cp:coreProperties>
</file>