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4,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1"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71" w:orient="portrait"/>
          <w:cols w:equalWidth="0" w:num="3">
            <w:col w:w="4360" w:space="720"/>
            <w:col w:w="2540" w:space="720"/>
            <w:col w:w="3080"/>
          </w:cols>
          <w:pgMar w:left="240" w:top="544" w:right="23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120" w:firstLine="648"/>
        <w:spacing w:after="0" w:line="302" w:lineRule="auto"/>
        <w:rPr>
          <w:sz w:val="20"/>
          <w:szCs w:val="20"/>
          <w:color w:val="auto"/>
        </w:rPr>
      </w:pPr>
      <w:r>
        <w:rPr>
          <w:rFonts w:ascii="Arial" w:cs="Arial" w:eastAsia="Arial" w:hAnsi="Arial"/>
          <w:sz w:val="16"/>
          <w:szCs w:val="16"/>
          <w:color w:val="auto"/>
        </w:rPr>
        <w:t>On May 4, 2016, the Registrant issued a press release reporting its first quarter 2016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May 4,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PLAINS GP HOLDINGS, L.P.</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4, 2016</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560" w:type="dxa"/>
            <w:vAlign w:val="bottom"/>
          </w:tcPr>
          <w:p>
            <w:pPr>
              <w:spacing w:after="0"/>
              <w:rPr>
                <w:sz w:val="24"/>
                <w:szCs w:val="24"/>
                <w:color w:val="auto"/>
              </w:rPr>
            </w:pP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224"/>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Name:   Al Swanson</w:t>
            </w:r>
          </w:p>
        </w:tc>
      </w:tr>
    </w:tbl>
    <w:p>
      <w:pPr>
        <w:sectPr>
          <w:pgSz w:w="11900" w:h="16871" w:orient="portrait"/>
          <w:cols w:equalWidth="0" w:num="1">
            <w:col w:w="11420"/>
          </w:cols>
          <w:pgMar w:left="240" w:top="544" w:right="239" w:bottom="0" w:gutter="0" w:footer="0" w:header="0"/>
          <w:type w:val="continuous"/>
        </w:sectPr>
      </w:pPr>
    </w:p>
    <w:bookmarkStart w:id="1" w:name="page2"/>
    <w:bookmarkEnd w:id="1"/>
    <w:p>
      <w:pPr>
        <w:jc w:val="both"/>
        <w:ind w:left="498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40"/>
          </w:cols>
          <w:pgMar w:left="1440" w:top="125" w:right="91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2016 Results</w:t>
      </w:r>
    </w:p>
    <w:p>
      <w:pPr>
        <w:spacing w:after="0" w:line="229" w:lineRule="exact"/>
        <w:rPr>
          <w:sz w:val="20"/>
          <w:szCs w:val="20"/>
          <w:color w:val="auto"/>
        </w:rPr>
      </w:pPr>
    </w:p>
    <w:p>
      <w:pPr>
        <w:ind w:right="280" w:firstLine="689"/>
        <w:spacing w:after="0" w:line="277" w:lineRule="auto"/>
        <w:rPr>
          <w:sz w:val="20"/>
          <w:szCs w:val="20"/>
          <w:color w:val="auto"/>
        </w:rPr>
      </w:pPr>
      <w:r>
        <w:rPr>
          <w:rFonts w:ascii="Arial" w:cs="Arial" w:eastAsia="Arial" w:hAnsi="Arial"/>
          <w:sz w:val="18"/>
          <w:szCs w:val="18"/>
          <w:color w:val="auto"/>
        </w:rPr>
        <w:t>(Houston — May 4, 2016) Plains All American Pipeline, L.P. (NYSE: PAA) and Plains GP Holdings (NYSE: PAGP) today reported first-quarter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3"/>
          </w:tcPr>
          <w:p>
            <w:pPr>
              <w:jc w:val="center"/>
              <w:ind w:right="306"/>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(29)%</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common units outstanding</w:t>
            </w: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gridSpan w:val="3"/>
          </w:tcPr>
          <w:p>
            <w:pPr>
              <w:jc w:val="center"/>
              <w:ind w:right="306"/>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common unit declared for the period</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0.700</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0.685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120" w:firstLine="689"/>
        <w:spacing w:after="0" w:line="259" w:lineRule="auto"/>
        <w:rPr>
          <w:sz w:val="20"/>
          <w:szCs w:val="20"/>
          <w:color w:val="auto"/>
        </w:rPr>
      </w:pPr>
      <w:r>
        <w:rPr>
          <w:rFonts w:ascii="Arial" w:cs="Arial" w:eastAsia="Arial" w:hAnsi="Arial"/>
          <w:sz w:val="18"/>
          <w:szCs w:val="18"/>
          <w:color w:val="auto"/>
        </w:rPr>
        <w:t>“PAA reported first-quarter adjusted EBITDA of $621 million, which was approximately $51 million or 9% above the midpoint of our first-quarter guidance,” said Greg Armstrong, Chairman and CEO of Plains All American. “PAA’s results reflect a combination of performance above expectations, the inclusion of deficiency amounts for ship or pay obligations that have been billed or collected, and some timing related items expected to reverse later in the year.”</w:t>
      </w:r>
    </w:p>
    <w:p>
      <w:pPr>
        <w:spacing w:after="0" w:line="18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Armstrong added, “We are cautious over the near term as recent drilling and completion activity is meaningfully below levels of just a few months ago and what we anticipated in our initial 2016 guidance. These lower activity levels are starting to impact U.S. oil production and, accordingly, we are revising our full-year 2016 midpoint guidance for adjusted EBITDA downward by approximately 4% to $2.175 billion.</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Importantly, PAA ended the first quarter of 2016 with $3.8 billion of committed liquidity and an improved balance sheet as a result of the $1.6 billion preferred equity offering completed in January. We believe PAA is well positioned to manage through near-term challenges and to prosper over the intermediate to long term as the industry recovers.”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first quarter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900" w:orient="portrait"/>
          <w:cols w:equalWidth="0" w:num="1">
            <w:col w:w="11420"/>
          </w:cols>
          <w:pgMar w:left="240" w:top="121" w:right="239" w:bottom="0" w:gutter="0" w:footer="0" w:header="0"/>
        </w:sectPr>
      </w:pPr>
    </w:p>
    <w:p>
      <w:pPr>
        <w:spacing w:after="0" w:line="188" w:lineRule="exact"/>
        <w:rPr>
          <w:sz w:val="20"/>
          <w:szCs w:val="20"/>
          <w:color w:val="auto"/>
        </w:rPr>
      </w:pPr>
    </w:p>
    <w:tbl>
      <w:tblPr>
        <w:tblLayout w:type="fixed"/>
        <w:tblInd w:w="3380" w:type="dxa"/>
        <w:tblCellMar>
          <w:top w:w="0" w:type="dxa"/>
          <w:left w:w="0" w:type="dxa"/>
          <w:bottom w:w="0" w:type="dxa"/>
          <w:right w:w="0" w:type="dxa"/>
        </w:tblCellMar>
      </w:tblPr>
      <w:tr>
        <w:trPr>
          <w:trHeight w:val="161"/>
        </w:trPr>
        <w:tc>
          <w:tcPr>
            <w:tcW w:w="4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6"/>
              </w:rPr>
              <w:t>March 31, 2016</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2015</w:t>
            </w:r>
          </w:p>
        </w:tc>
      </w:tr>
      <w:tr>
        <w:trPr>
          <w:trHeight w:val="91"/>
        </w:trPr>
        <w:tc>
          <w:tcPr>
            <w:tcW w:w="3760" w:type="dxa"/>
            <w:vAlign w:val="bottom"/>
            <w:tcBorders>
              <w:top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60" w:type="dxa"/>
            <w:vAlign w:val="bottom"/>
            <w:tcBorders>
              <w:top w:val="single" w:sz="8" w:color="auto"/>
            </w:tcBorders>
          </w:tcPr>
          <w:p>
            <w:pPr>
              <w:spacing w:after="0"/>
              <w:rPr>
                <w:sz w:val="7"/>
                <w:szCs w:val="7"/>
                <w:color w:val="auto"/>
              </w:rPr>
            </w:pPr>
          </w:p>
        </w:tc>
      </w:tr>
    </w:tbl>
    <w:p>
      <w:pPr>
        <w:sectPr>
          <w:pgSz w:w="11900" w:h="16900" w:orient="portrait"/>
          <w:cols w:equalWidth="0" w:num="1">
            <w:col w:w="11420"/>
          </w:cols>
          <w:pgMar w:left="240" w:top="121"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Transportation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5"/>
              </w:rPr>
              <w:t>Supply and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Transportation</w:t>
            </w: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184</w:t>
            </w:r>
          </w:p>
        </w:tc>
        <w:tc>
          <w:tcPr>
            <w:tcW w:w="3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i w:val="1"/>
                <w:i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w w:val="97"/>
              </w:rPr>
              <w:t>Percentage change in adjusted segment</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i w:val="1"/>
                <w:iCs w:val="1"/>
                <w:color w:val="auto"/>
              </w:rPr>
              <w:t>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i w:val="1"/>
                <w:iCs w:val="1"/>
                <w:color w:val="auto"/>
              </w:rPr>
              <w:t>16%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3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profit versus 2015 period</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First-quarter 2016 Transportation adjusted segment profit increased 9% over comparable 2015 results. This increase was primarily driven by higher crude oil pipeline volumes associated with our Cactus pipeline, which was placed into service in April 2015, and the expansion of our pipeline system in the Delaware Basin. Such increases were partially offset by lower pipeline loss allowance revenues.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First-quarter 2016 Facilities adjusted segment profit increased by 16% over comparable 2015 results. This increase was primarily due to an increase in capacity and higher utilization of our crude oil storage facilities and lower operating expenses.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First-quarter 2016 Supply and Logistics adjusted segment profit decreased by 20% as compared to 2015 results. This decrease was primarily driven by lower volumes and margins associated with our U.S. crude oil lease gathering due to crude oil production declines in certain basins and the resulting increase in competitive pressures for lease gathered barrels as well as lower margins from our NGL sales activities. Such decreases were partially offset by the benefit of contango storage opportunities.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39"/>
              <w:spacing w:after="0"/>
              <w:rPr>
                <w:sz w:val="20"/>
                <w:szCs w:val="20"/>
                <w:color w:val="auto"/>
              </w:rPr>
            </w:pPr>
            <w:r>
              <w:rPr>
                <w:rFonts w:ascii="Arial" w:cs="Arial" w:eastAsia="Arial" w:hAnsi="Arial"/>
                <w:sz w:val="14"/>
                <w:szCs w:val="14"/>
                <w:b w:val="1"/>
                <w:bCs w:val="1"/>
                <w:color w:val="auto"/>
              </w:rPr>
              <w:t>Q1 2016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Q4 2015</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Q1 2015</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Q1 2016 distribution percentage growth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PAA and PAGP will hold a conference call on May 5, 2016 (see details below). Prior to this conference call, PAA will furnish a current report on Form 8-K, which will include material in this news release as well as PAA’s financial and operational guidance for the second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Thursday, May 5,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first-quarter 2016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guidance for the second quarter and full year of 2016;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4" w:right="239" w:bottom="522"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7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8"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4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3,348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1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expense, net</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Net income attributable to common unitholders — Basic</w:t>
            </w:r>
          </w:p>
        </w:tc>
        <w:tc>
          <w:tcPr>
            <w:tcW w:w="28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28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Net income attributable to common unitholders — Diluted</w:t>
            </w:r>
          </w:p>
        </w:tc>
        <w:tc>
          <w:tcPr>
            <w:tcW w:w="28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28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0" w:hanging="332"/>
        <w:spacing w:after="0" w:line="267"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86" w:lineRule="exact"/>
        <w:rPr>
          <w:sz w:val="20"/>
          <w:szCs w:val="20"/>
          <w:color w:val="auto"/>
        </w:rPr>
      </w:pPr>
    </w:p>
    <w:p>
      <w:pPr>
        <w:spacing w:after="0"/>
        <w:tabs>
          <w:tab w:leader="none" w:pos="8280" w:val="left"/>
          <w:tab w:leader="none" w:pos="9380" w:val="left"/>
          <w:tab w:leader="none" w:pos="9940" w:val="left"/>
          <w:tab w:leader="none" w:pos="11020" w:val="left"/>
        </w:tabs>
        <w:rPr>
          <w:sz w:val="20"/>
          <w:szCs w:val="20"/>
          <w:color w:val="auto"/>
        </w:rPr>
      </w:pPr>
      <w:r>
        <w:rPr>
          <w:rFonts w:ascii="Arial" w:cs="Arial" w:eastAsia="Arial" w:hAnsi="Arial"/>
          <w:sz w:val="18"/>
          <w:szCs w:val="18"/>
          <w:b w:val="1"/>
          <w:bCs w:val="1"/>
          <w:color w:val="auto"/>
        </w:rPr>
        <w:t>ADJUSTED NET INCOME ATTRIBUTABLE TO PAA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355</w:t>
        <w:tab/>
        <w:t>$</w:t>
      </w:r>
      <w:r>
        <w:rPr>
          <w:sz w:val="20"/>
          <w:szCs w:val="20"/>
          <w:color w:val="auto"/>
        </w:rPr>
        <w:tab/>
      </w:r>
      <w:r>
        <w:rPr>
          <w:rFonts w:ascii="Arial" w:cs="Arial" w:eastAsia="Arial" w:hAnsi="Arial"/>
          <w:sz w:val="16"/>
          <w:szCs w:val="16"/>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78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8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2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713-646-4100 / 866-809-1291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2,780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2,405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3,063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Senior notes, net of unamortized discounts and debt issuance costs</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12,926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9,313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19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9,371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9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22,297</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9,153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9,371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2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CCEEFF"/>
            </w:tcBorders>
            <w:gridSpan w:val="2"/>
            <w:vMerge w:val="continue"/>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19,239</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w w:val="99"/>
              </w:rPr>
              <w:t>Houston, Texas 77002</w:t>
            </w:r>
          </w:p>
        </w:tc>
        <w:tc>
          <w:tcPr>
            <w:tcW w:w="290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w w:val="99"/>
              </w:rPr>
              <w:t>713-646-4100 / 866-809-1291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60"/>
          </w:cols>
          <w:pgMar w:left="240" w:top="140" w:right="199" w:bottom="0" w:gutter="0" w:footer="0" w:header="0"/>
        </w:sectPr>
      </w:pPr>
    </w:p>
    <w:p>
      <w:pPr>
        <w:spacing w:after="0" w:line="190"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4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460" w:type="dxa"/>
            <w:vAlign w:val="bottom"/>
          </w:tcPr>
          <w:p>
            <w:pPr>
              <w:spacing w:after="0"/>
              <w:rPr>
                <w:sz w:val="14"/>
                <w:szCs w:val="1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2015</w:t>
            </w:r>
          </w:p>
        </w:tc>
      </w:tr>
    </w:tbl>
    <w:p>
      <w:pPr>
        <w:sectPr>
          <w:pgSz w:w="11900" w:h="16838" w:orient="portrait"/>
          <w:cols w:equalWidth="0" w:num="1">
            <w:col w:w="11460"/>
          </w:cols>
          <w:pgMar w:left="240" w:top="140" w:right="19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Transportation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Transportation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(3,677)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Selected items impacting comparability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340" w:right="280" w:hanging="332"/>
        <w:spacing w:after="0" w:line="243"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6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80" w:type="dxa"/>
            <w:vAlign w:val="bottom"/>
            <w:gridSpan w:val="2"/>
          </w:tcPr>
          <w:p>
            <w:pPr>
              <w:spacing w:after="0"/>
              <w:rPr>
                <w:sz w:val="12"/>
                <w:szCs w:val="12"/>
                <w:color w:val="auto"/>
              </w:rPr>
            </w:pPr>
          </w:p>
        </w:tc>
        <w:tc>
          <w:tcPr>
            <w:tcW w:w="54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Volumes from tariff activities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2,045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Western</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Gulf Coast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581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Central</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Canada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394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4,324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160"/>
              <w:spacing w:after="0"/>
              <w:rPr>
                <w:sz w:val="20"/>
                <w:szCs w:val="20"/>
                <w:color w:val="auto"/>
              </w:rPr>
            </w:pPr>
            <w:r>
              <w:rPr>
                <w:rFonts w:ascii="Arial" w:cs="Arial" w:eastAsia="Arial" w:hAnsi="Arial"/>
                <w:sz w:val="18"/>
                <w:szCs w:val="18"/>
                <w:color w:val="auto"/>
              </w:rPr>
              <w:t>NGL pipelines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160"/>
              <w:spacing w:after="0"/>
              <w:rPr>
                <w:sz w:val="20"/>
                <w:szCs w:val="20"/>
                <w:color w:val="auto"/>
              </w:rPr>
            </w:pPr>
            <w:r>
              <w:rPr>
                <w:rFonts w:ascii="Arial" w:cs="Arial" w:eastAsia="Arial" w:hAnsi="Arial"/>
                <w:sz w:val="18"/>
                <w:szCs w:val="18"/>
                <w:color w:val="auto"/>
              </w:rPr>
              <w:t>Trucking</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 monthly capacity in millions of</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105</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barrels)</w:t>
            </w:r>
          </w:p>
        </w:tc>
        <w:tc>
          <w:tcPr>
            <w:tcW w:w="74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Rail load / unload volumes (average volumes in thousands of barrels per day)</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2"/>
            <w:vMerge w:val="restart"/>
          </w:tcPr>
          <w:p>
            <w:pPr>
              <w:ind w:left="16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NGL fractionation (average volumes in thousands of barrels per day)</w:t>
            </w: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2"/>
            <w:vMerge w:val="restart"/>
          </w:tcPr>
          <w:p>
            <w:pPr>
              <w:ind w:left="160"/>
              <w:spacing w:after="0" w:line="236" w:lineRule="exact"/>
              <w:rPr>
                <w:sz w:val="20"/>
                <w:szCs w:val="20"/>
                <w:color w:val="auto"/>
              </w:rPr>
            </w:pPr>
            <w:r>
              <w:rPr>
                <w:rFonts w:ascii="Arial" w:cs="Arial" w:eastAsia="Arial" w:hAnsi="Arial"/>
                <w:sz w:val="18"/>
                <w:szCs w:val="18"/>
                <w:color w:val="auto"/>
              </w:rPr>
              <w:t xml:space="preserve">Facilities segment total volumes (average monthly volumes in millions of barrels) </w:t>
            </w:r>
            <w:r>
              <w:rPr>
                <w:rFonts w:ascii="Arial" w:cs="Arial" w:eastAsia="Arial" w:hAnsi="Arial"/>
                <w:sz w:val="23"/>
                <w:szCs w:val="23"/>
                <w:color w:val="auto"/>
                <w:vertAlign w:val="superscript"/>
              </w:rPr>
              <w:t>(3)</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Supply and Logistics segment total volumes</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1,228</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 w:right="239" w:bottom="0" w:gutter="0" w:footer="0" w:header="0"/>
        </w:sectPr>
      </w:pPr>
    </w:p>
    <w:bookmarkStart w:id="8" w:name="page9"/>
    <w:bookmarkEnd w:id="8"/>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320" w:hanging="332"/>
        <w:spacing w:after="0" w:line="267"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COMMON UNIT </w:t>
      </w: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(1)</w:t>
            </w: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Net income attributable to common unitholders in accordance with application of the two-class method for</w:t>
            </w:r>
          </w:p>
        </w:tc>
        <w:tc>
          <w:tcPr>
            <w:tcW w:w="124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MLPs</w:t>
            </w:r>
          </w:p>
        </w:tc>
        <w:tc>
          <w:tcPr>
            <w:tcW w:w="12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2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(1)</w:t>
            </w: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Net income attributable to common unitholders in accordance with application of the two-class method for</w:t>
            </w:r>
          </w:p>
        </w:tc>
        <w:tc>
          <w:tcPr>
            <w:tcW w:w="124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MLPs</w:t>
            </w:r>
          </w:p>
        </w:tc>
        <w:tc>
          <w:tcPr>
            <w:tcW w:w="12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3"/>
                <w:szCs w:val="23"/>
                <w:color w:val="auto"/>
                <w:vertAlign w:val="superscript"/>
              </w:rPr>
              <w:t>(3)</w:t>
            </w:r>
          </w:p>
        </w:tc>
        <w:tc>
          <w:tcPr>
            <w:tcW w:w="12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ind w:left="340" w:right="20" w:hanging="332"/>
        <w:spacing w:after="0" w:line="234"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Series A preferred units were excluded from the calculation of diluted net income per common unit as the effect was antidilutive.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ectPr>
          <w:pgSz w:w="11900" w:h="16838" w:orient="portrait"/>
          <w:cols w:equalWidth="0" w:num="1">
            <w:col w:w="11420"/>
          </w:cols>
          <w:pgMar w:left="240" w:top="103"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 millions, except per unit data)</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214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gain on foreign currency revaluation</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12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Impact to basic net income per common unit</w:t>
            </w:r>
          </w:p>
        </w:tc>
        <w:tc>
          <w:tcPr>
            <w:tcW w:w="214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Impact to diluted net income per common unit</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60" w:hanging="332"/>
        <w:spacing w:after="0" w:line="228"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2" w:lineRule="exact"/>
        <w:rPr>
          <w:rFonts w:ascii="Arial" w:cs="Arial" w:eastAsia="Arial" w:hAnsi="Arial"/>
          <w:sz w:val="23"/>
          <w:szCs w:val="23"/>
          <w:color w:val="auto"/>
          <w:vertAlign w:val="superscript"/>
        </w:rPr>
      </w:pPr>
    </w:p>
    <w:p>
      <w:pPr>
        <w:ind w:left="340" w:right="400" w:hanging="332"/>
        <w:spacing w:after="0" w:line="21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amounts billed to counterparties for their deficiency obligation under agreements with minimum volume commitments, net of applicable amounts subsequently recognized into revenue.</w:t>
      </w:r>
    </w:p>
    <w:p>
      <w:pPr>
        <w:spacing w:after="0" w:line="1" w:lineRule="exact"/>
        <w:rPr>
          <w:rFonts w:ascii="Arial" w:cs="Arial" w:eastAsia="Arial" w:hAnsi="Arial"/>
          <w:sz w:val="23"/>
          <w:szCs w:val="23"/>
          <w:color w:val="auto"/>
          <w:vertAlign w:val="superscript"/>
        </w:rPr>
      </w:pPr>
    </w:p>
    <w:p>
      <w:pPr>
        <w:ind w:left="340" w:right="20" w:hanging="332"/>
        <w:spacing w:after="0" w:line="237"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w:t>
      </w:r>
    </w:p>
    <w:p>
      <w:pPr>
        <w:spacing w:after="0" w:line="1" w:lineRule="exact"/>
        <w:rPr>
          <w:rFonts w:ascii="Arial" w:cs="Arial" w:eastAsia="Arial" w:hAnsi="Arial"/>
          <w:sz w:val="23"/>
          <w:szCs w:val="23"/>
          <w:color w:val="auto"/>
          <w:vertAlign w:val="superscript"/>
        </w:rPr>
      </w:pPr>
    </w:p>
    <w:p>
      <w:pPr>
        <w:ind w:left="340" w:right="700" w:hanging="332"/>
        <w:spacing w:after="0" w:line="248"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 PER COMMON UNIT </w:t>
      </w: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3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4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(2)</w:t>
            </w:r>
          </w:p>
        </w:tc>
        <w:tc>
          <w:tcPr>
            <w:tcW w:w="4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Adjusted net income attributable to common unitholders in accordance with application of the two-class</w:t>
            </w:r>
          </w:p>
        </w:tc>
        <w:tc>
          <w:tcPr>
            <w:tcW w:w="134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 for MLPs</w:t>
            </w:r>
          </w:p>
        </w:tc>
        <w:tc>
          <w:tcPr>
            <w:tcW w:w="13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13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3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4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(2)</w:t>
            </w:r>
          </w:p>
        </w:tc>
        <w:tc>
          <w:tcPr>
            <w:tcW w:w="4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Adjusted net income attributable to common unitholders in accordance with application of the two-class</w:t>
            </w:r>
          </w:p>
        </w:tc>
        <w:tc>
          <w:tcPr>
            <w:tcW w:w="134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 for MLPs</w:t>
            </w:r>
          </w:p>
        </w:tc>
        <w:tc>
          <w:tcPr>
            <w:tcW w:w="13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0" w:name="page11"/>
    <w:bookmarkEnd w:id="10"/>
    <w:p>
      <w:pPr>
        <w:spacing w:after="0"/>
        <w:tabs>
          <w:tab w:leader="none" w:pos="8280" w:val="left"/>
          <w:tab w:leader="none" w:pos="9340" w:val="left"/>
          <w:tab w:leader="none" w:pos="9940" w:val="left"/>
          <w:tab w:leader="none" w:pos="10980" w:val="left"/>
        </w:tabs>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0.45</w:t>
        <w:tab/>
        <w:t>$</w:t>
      </w:r>
      <w:r>
        <w:rPr>
          <w:sz w:val="20"/>
          <w:szCs w:val="20"/>
          <w:color w:val="auto"/>
        </w:rPr>
        <w:tab/>
      </w:r>
      <w:r>
        <w:rPr>
          <w:rFonts w:ascii="Arial" w:cs="Arial" w:eastAsia="Arial" w:hAnsi="Arial"/>
          <w:sz w:val="16"/>
          <w:szCs w:val="16"/>
          <w:color w:val="auto"/>
        </w:rPr>
        <w:t>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spacing w:after="0" w:line="3"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Series A preferred units were excluded from the calculation of diluted net income per common unit as the effect was antidilutive.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78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 (“EBITDA”) and</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Excluding Selected Items Impacting Comparability (“Adjusted EBITDA”) Reconciliations</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EBITDA</w:t>
            </w:r>
          </w:p>
        </w:tc>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Adjusted EBITDA</w:t>
            </w:r>
          </w:p>
        </w:tc>
        <w:tc>
          <w:tcPr>
            <w:tcW w:w="4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 Reconciliation</w:t>
            </w: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(2)</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Implied DCF</w:t>
            </w:r>
          </w:p>
        </w:tc>
        <w:tc>
          <w:tcPr>
            <w:tcW w:w="1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9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 Reconciliation</w:t>
            </w:r>
          </w:p>
        </w:tc>
        <w:tc>
          <w:tcPr>
            <w:tcW w:w="1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EBITDA</w:t>
            </w:r>
          </w:p>
        </w:tc>
        <w:tc>
          <w:tcPr>
            <w:tcW w:w="26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66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93" w:gutter="0" w:footer="0" w:header="0"/>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2015</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4,111</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3,348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 PER</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0" w:hanging="332"/>
        <w:spacing w:after="0" w:line="251"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2016</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2,784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2,969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2,405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1,907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5"/>
        </w:trPr>
        <w:tc>
          <w:tcPr>
            <w:tcW w:w="4000" w:type="dxa"/>
            <w:vAlign w:val="bottom"/>
          </w:tcPr>
          <w:p>
            <w:pPr>
              <w:spacing w:after="0" w:line="205" w:lineRule="exact"/>
              <w:rPr>
                <w:sz w:val="20"/>
                <w:szCs w:val="20"/>
                <w:color w:val="auto"/>
              </w:rPr>
            </w:pPr>
            <w:r>
              <w:rPr>
                <w:rFonts w:ascii="Arial" w:cs="Arial" w:eastAsia="Arial" w:hAnsi="Arial"/>
                <w:sz w:val="18"/>
                <w:szCs w:val="18"/>
                <w:color w:val="auto"/>
              </w:rPr>
              <w:t>Long-term inventory</w:t>
            </w:r>
          </w:p>
        </w:tc>
        <w:tc>
          <w:tcPr>
            <w:tcW w:w="220" w:type="dxa"/>
            <w:vAlign w:val="bottom"/>
          </w:tcPr>
          <w:p>
            <w:pPr>
              <w:spacing w:after="0"/>
              <w:rPr>
                <w:sz w:val="17"/>
                <w:szCs w:val="17"/>
                <w:color w:val="auto"/>
              </w:rPr>
            </w:pPr>
          </w:p>
        </w:tc>
        <w:tc>
          <w:tcPr>
            <w:tcW w:w="84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ectPr>
          <w:pgSz w:w="11900" w:h="16900" w:orient="portrait"/>
          <w:cols w:equalWidth="0" w:num="1">
            <w:col w:w="11420"/>
          </w:cols>
          <w:pgMar w:left="240" w:top="584"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24,225</w:t>
            </w:r>
          </w:p>
        </w:tc>
        <w:tc>
          <w:tcPr>
            <w:tcW w:w="26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3,066</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5"/>
              </w:rPr>
              <w:t>Senior notes, net of unamortized discounts and debt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issuance costs</w:t>
            </w:r>
          </w:p>
        </w:tc>
        <w:tc>
          <w:tcPr>
            <w:tcW w:w="2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9,126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9,126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9,698</w:t>
            </w: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 debt, net of unamortized debt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8"/>
              </w:rPr>
              <w:t>Partners’ capital excluding noncontrolling interests</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8,826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8,884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7,414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24,225</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 2016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Q1 2016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4/29/16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(59%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PAGP (41%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4/29/16</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(1)</w:t>
            </w:r>
          </w:p>
        </w:tc>
        <w:tc>
          <w:tcPr>
            <w:tcW w:w="4140" w:type="dxa"/>
            <w:vAlign w:val="bottom"/>
          </w:tcPr>
          <w:p>
            <w:pPr>
              <w:ind w:left="80"/>
              <w:spacing w:after="0"/>
              <w:rPr>
                <w:sz w:val="20"/>
                <w:szCs w:val="20"/>
                <w:color w:val="auto"/>
              </w:rPr>
            </w:pPr>
            <w:r>
              <w:rPr>
                <w:rFonts w:ascii="Arial" w:cs="Arial" w:eastAsia="Arial" w:hAnsi="Arial"/>
                <w:sz w:val="18"/>
                <w:szCs w:val="18"/>
                <w:color w:val="auto"/>
              </w:rPr>
              <w:t>Amounts may not recalculate due to rounding.</w:t>
            </w:r>
          </w:p>
        </w:tc>
      </w:tr>
      <w:tr>
        <w:trPr>
          <w:trHeight w:val="230"/>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(2)</w:t>
            </w:r>
          </w:p>
        </w:tc>
        <w:tc>
          <w:tcPr>
            <w:tcW w:w="4140" w:type="dxa"/>
            <w:vAlign w:val="bottom"/>
          </w:tcPr>
          <w:p>
            <w:pPr>
              <w:ind w:left="80"/>
              <w:spacing w:after="0"/>
              <w:rPr>
                <w:sz w:val="20"/>
                <w:szCs w:val="20"/>
                <w:color w:val="auto"/>
              </w:rPr>
            </w:pPr>
            <w:r>
              <w:rPr>
                <w:rFonts w:ascii="Arial" w:cs="Arial" w:eastAsia="Arial" w:hAnsi="Arial"/>
                <w:sz w:val="18"/>
                <w:szCs w:val="18"/>
                <w:color w:val="auto"/>
                <w:w w:val="92"/>
              </w:rPr>
              <w:t>Plains AAP, L.P. (“AAP”) is the general partner of PAA.</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p>
    <w:p>
      <w:pPr>
        <w:sectPr>
          <w:pgSz w:w="11900" w:h="16838" w:orient="portrait"/>
          <w:cols w:equalWidth="0" w:num="1">
            <w:col w:w="11420"/>
          </w:cols>
          <w:pgMar w:left="240" w:top="140"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 millions, except per share data)</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Basic and Diluted Net Income per Class A Share </w:t>
            </w:r>
            <w:r>
              <w:rPr>
                <w:rFonts w:ascii="Arial" w:cs="Arial" w:eastAsia="Arial" w:hAnsi="Arial"/>
                <w:sz w:val="22"/>
                <w:szCs w:val="22"/>
                <w:b w:val="1"/>
                <w:bCs w:val="1"/>
                <w:color w:val="auto"/>
                <w:vertAlign w:val="superscript"/>
              </w:rPr>
              <w:t>(1)</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7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7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Assumed exchanges of AAP units and AAP Management Units were excluded from the calculation of diluted net income per Class A share as the effect was not dilutive.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220" w:type="dxa"/>
            <w:vAlign w:val="bottom"/>
          </w:tcPr>
          <w:p>
            <w:pPr>
              <w:ind w:left="1220"/>
              <w:spacing w:after="0"/>
              <w:rPr>
                <w:sz w:val="20"/>
                <w:szCs w:val="20"/>
                <w:color w:val="auto"/>
              </w:rPr>
            </w:pPr>
            <w:r>
              <w:rPr>
                <w:rFonts w:ascii="Arial" w:cs="Arial" w:eastAsia="Arial" w:hAnsi="Arial"/>
                <w:sz w:val="18"/>
                <w:szCs w:val="18"/>
                <w:color w:val="auto"/>
              </w:rPr>
              <w:t>Al Swanson</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22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820" w:type="dxa"/>
            <w:vAlign w:val="bottom"/>
            <w:gridSpan w:val="2"/>
          </w:tcPr>
          <w:p>
            <w:pPr>
              <w:ind w:left="122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2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600" w:type="dxa"/>
            <w:vAlign w:val="bottom"/>
          </w:tcPr>
          <w:p>
            <w:pPr>
              <w:jc w:val="right"/>
              <w:ind w:right="2210"/>
              <w:spacing w:after="0"/>
              <w:rPr>
                <w:sz w:val="20"/>
                <w:szCs w:val="20"/>
                <w:color w:val="auto"/>
              </w:rPr>
            </w:pPr>
            <w:r>
              <w:rPr>
                <w:rFonts w:ascii="Arial" w:cs="Arial" w:eastAsia="Arial" w:hAnsi="Arial"/>
                <w:sz w:val="18"/>
                <w:szCs w:val="18"/>
                <w:b w:val="1"/>
                <w:bCs w:val="1"/>
                <w:color w:val="auto"/>
                <w:w w:val="95"/>
              </w:rPr>
              <w:t>713-646-4100 / 866-809-1291</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2020-01-20T11:03:17Z</dcterms:created>
  <dcterms:modified xsi:type="dcterms:W3CDTF">2020-01-20T11:03:17Z</dcterms:modified>
</cp:coreProperties>
</file>