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238760</wp:posOffset>
            </wp:positionV>
            <wp:extent cx="169799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52" w:lineRule="exact"/>
        <w:rPr>
          <w:sz w:val="24"/>
          <w:szCs w:val="24"/>
          <w:color w:val="auto"/>
        </w:rPr>
      </w:pPr>
    </w:p>
    <w:p>
      <w:pPr>
        <w:jc w:val="center"/>
        <w:spacing w:after="0" w:line="281" w:lineRule="auto"/>
        <w:rPr>
          <w:sz w:val="20"/>
          <w:szCs w:val="20"/>
          <w:color w:val="auto"/>
        </w:rPr>
      </w:pPr>
      <w:r>
        <w:rPr>
          <w:rFonts w:ascii="Arial" w:cs="Arial" w:eastAsia="Arial" w:hAnsi="Arial"/>
          <w:sz w:val="24"/>
          <w:szCs w:val="24"/>
          <w:b w:val="1"/>
          <w:bCs w:val="1"/>
          <w:color w:val="auto"/>
        </w:rPr>
        <w:t>Common Units Representing Limited Partner Interests Having an Aggregate Offering Price of Up to $900,000,000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4"/>
          <w:szCs w:val="24"/>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and the accompanying base prospectus relate to the issuance and sale from time to time of common units representing limited partner interests in Plains All American Pipeline, L.P. having an aggregate offering price of up to $900,000,000 through one or more of our sales agents. These sales, if any, will be made pursuant to the terms of the equity distribution agreement dated August 22, 2014 between us and the sales agents, which will be filed as an exhibit to a Current Report on Form 8-K that we will file with the Securities and Exchange Commission.</w:t>
      </w:r>
    </w:p>
    <w:p>
      <w:pPr>
        <w:spacing w:after="0" w:line="113"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Under the terms of the equity distribution agreement, we also may sell common units to any sales agent as principal for its own account at a price agreed upon at the time of the sale. If we sell common units to any such sales agent as principal, we will enter into a separate terms agreement with such sales agent and we will describe that agreement in a separate prospectus supplement or pricing supplement.</w:t>
      </w:r>
    </w:p>
    <w:p>
      <w:pPr>
        <w:spacing w:after="0" w:line="140" w:lineRule="exact"/>
        <w:rPr>
          <w:sz w:val="24"/>
          <w:szCs w:val="24"/>
          <w:color w:val="auto"/>
        </w:rPr>
      </w:pPr>
    </w:p>
    <w:p>
      <w:pPr>
        <w:ind w:right="80" w:firstLine="456"/>
        <w:spacing w:after="0" w:line="306" w:lineRule="auto"/>
        <w:rPr>
          <w:sz w:val="20"/>
          <w:szCs w:val="20"/>
          <w:color w:val="auto"/>
        </w:rPr>
      </w:pPr>
      <w:r>
        <w:rPr>
          <w:rFonts w:ascii="Arial" w:cs="Arial" w:eastAsia="Arial" w:hAnsi="Arial"/>
          <w:sz w:val="16"/>
          <w:szCs w:val="16"/>
          <w:color w:val="auto"/>
        </w:rPr>
        <w:t>Our common units trade on the New York Stock Exchange (the “NYSE”) under the symbol “PAA.” On August 21, 2014, the last reported sale price of our common units on the NYSE was $58.50 per unit. Sales of common units under this prospectus supplement, if any, will be made by means of ordinary brokers’ transactions through the facilities of the NYSE at market prices, in block transactions or as otherwise agreed between us and one or more of the sales agents.</w:t>
      </w:r>
    </w:p>
    <w:p>
      <w:pPr>
        <w:spacing w:after="0" w:line="101" w:lineRule="exact"/>
        <w:rPr>
          <w:sz w:val="24"/>
          <w:szCs w:val="24"/>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Investing in our common units involves risks. Limited partnerships are inherently different from corporations. You should carefully consider the risks relating to investing in our common units and each of the risk factors described under “Risk Factors” on page S-4 of this prospectus supplement before you make an investment in our securities.</w:t>
      </w:r>
    </w:p>
    <w:p>
      <w:pPr>
        <w:spacing w:after="0" w:line="233" w:lineRule="exact"/>
        <w:rPr>
          <w:sz w:val="24"/>
          <w:szCs w:val="24"/>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compensation of the sales agents for sales of units shall be at a fixed commission rate of up to 2.0% of the gross sales price per common unit, depending upon the number of common units sold. The net proceeds from any sales under this prospectus supplement will be used as described under “Use of Proceeds” in this prospectus supplement.</w:t>
      </w:r>
    </w:p>
    <w:p>
      <w:pPr>
        <w:spacing w:after="0" w:line="140" w:lineRule="exact"/>
        <w:rPr>
          <w:sz w:val="24"/>
          <w:szCs w:val="24"/>
          <w:color w:val="auto"/>
        </w:rPr>
      </w:pPr>
    </w:p>
    <w:p>
      <w:pPr>
        <w:ind w:right="2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these securities or determined if this prospectus supplement or the accompanying base prospectus is truthful or complete. Any representation to the contrary is a criminal offense.</w:t>
      </w:r>
    </w:p>
    <w:p>
      <w:pPr>
        <w:sectPr>
          <w:pgSz w:w="11900" w:h="16838" w:orient="portrait"/>
          <w:cols w:equalWidth="0" w:num="1">
            <w:col w:w="11420"/>
          </w:cols>
          <w:pgMar w:left="240" w:top="230" w:right="239" w:bottom="1440" w:gutter="0" w:footer="0" w:header="0"/>
        </w:sectPr>
      </w:pPr>
    </w:p>
    <w:p>
      <w:pPr>
        <w:spacing w:after="0" w:line="201" w:lineRule="exact"/>
        <w:rPr>
          <w:sz w:val="24"/>
          <w:szCs w:val="24"/>
          <w:color w:val="auto"/>
        </w:rPr>
      </w:pPr>
    </w:p>
    <w:p>
      <w:pPr>
        <w:spacing w:after="0"/>
        <w:tabs>
          <w:tab w:leader="none" w:pos="2220" w:val="left"/>
        </w:tabs>
        <w:rPr>
          <w:sz w:val="20"/>
          <w:szCs w:val="20"/>
          <w:color w:val="auto"/>
        </w:rPr>
      </w:pPr>
      <w:r>
        <w:rPr>
          <w:rFonts w:ascii="Arial" w:cs="Arial" w:eastAsia="Arial" w:hAnsi="Arial"/>
          <w:sz w:val="15"/>
          <w:szCs w:val="15"/>
          <w:b w:val="1"/>
          <w:bCs w:val="1"/>
          <w:color w:val="auto"/>
        </w:rPr>
        <w:t>Citigroup</w:t>
      </w:r>
      <w:r>
        <w:rPr>
          <w:sz w:val="20"/>
          <w:szCs w:val="20"/>
          <w:color w:val="auto"/>
        </w:rPr>
        <w:tab/>
      </w:r>
      <w:r>
        <w:rPr>
          <w:rFonts w:ascii="Arial" w:cs="Arial" w:eastAsia="Arial" w:hAnsi="Arial"/>
          <w:sz w:val="15"/>
          <w:szCs w:val="15"/>
          <w:b w:val="1"/>
          <w:bCs w:val="1"/>
          <w:color w:val="auto"/>
        </w:rPr>
        <w:t>Barclays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J.P. Morgan</w:t>
      </w:r>
    </w:p>
    <w:p>
      <w:pPr>
        <w:spacing w:after="0" w:line="185"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Raymond James</w:t>
      </w:r>
    </w:p>
    <w:p>
      <w:pPr>
        <w:spacing w:after="0" w:line="185" w:lineRule="exact"/>
        <w:rPr>
          <w:sz w:val="24"/>
          <w:szCs w:val="24"/>
          <w:color w:val="auto"/>
        </w:rPr>
      </w:pPr>
    </w:p>
    <w:p>
      <w:pPr>
        <w:ind w:left="700"/>
        <w:spacing w:after="0"/>
        <w:rPr>
          <w:sz w:val="20"/>
          <w:szCs w:val="20"/>
          <w:color w:val="auto"/>
        </w:rPr>
      </w:pPr>
      <w:r>
        <w:rPr>
          <w:rFonts w:ascii="Arial" w:cs="Arial" w:eastAsia="Arial" w:hAnsi="Arial"/>
          <w:sz w:val="18"/>
          <w:szCs w:val="18"/>
          <w:b w:val="1"/>
          <w:bCs w:val="1"/>
          <w:color w:val="auto"/>
        </w:rPr>
        <w:t>SOCIETE GENERAL</w:t>
      </w:r>
    </w:p>
    <w:p>
      <w:pPr>
        <w:spacing w:after="0" w:line="185"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UBS Investment Bank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Jefferies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60"/>
        <w:spacing w:after="0"/>
        <w:tabs>
          <w:tab w:leader="none" w:pos="2940" w:val="left"/>
          <w:tab w:leader="none" w:pos="5680" w:val="left"/>
        </w:tabs>
        <w:rPr>
          <w:sz w:val="20"/>
          <w:szCs w:val="20"/>
          <w:color w:val="auto"/>
        </w:rPr>
      </w:pPr>
      <w:r>
        <w:rPr>
          <w:rFonts w:ascii="Arial" w:cs="Arial" w:eastAsia="Arial" w:hAnsi="Arial"/>
          <w:sz w:val="18"/>
          <w:szCs w:val="18"/>
          <w:b w:val="1"/>
          <w:bCs w:val="1"/>
          <w:color w:val="auto"/>
        </w:rPr>
        <w:t>BB&amp;T Capital Markets</w:t>
      </w:r>
      <w:r>
        <w:rPr>
          <w:sz w:val="20"/>
          <w:szCs w:val="20"/>
          <w:color w:val="auto"/>
        </w:rPr>
        <w:tab/>
      </w:r>
      <w:r>
        <w:rPr>
          <w:rFonts w:ascii="Arial" w:cs="Arial" w:eastAsia="Arial" w:hAnsi="Arial"/>
          <w:sz w:val="18"/>
          <w:szCs w:val="18"/>
          <w:b w:val="1"/>
          <w:bCs w:val="1"/>
          <w:color w:val="auto"/>
        </w:rPr>
        <w:t>BMO Capital Markets</w:t>
      </w:r>
      <w:r>
        <w:rPr>
          <w:sz w:val="20"/>
          <w:szCs w:val="20"/>
          <w:color w:val="auto"/>
        </w:rPr>
        <w:tab/>
      </w:r>
      <w:r>
        <w:rPr>
          <w:rFonts w:ascii="Arial" w:cs="Arial" w:eastAsia="Arial" w:hAnsi="Arial"/>
          <w:sz w:val="15"/>
          <w:szCs w:val="15"/>
          <w:b w:val="1"/>
          <w:bCs w:val="1"/>
          <w:color w:val="auto"/>
        </w:rPr>
        <w:t>Deutsche Bank Securities</w:t>
      </w:r>
    </w:p>
    <w:p>
      <w:pPr>
        <w:spacing w:after="0" w:line="185" w:lineRule="exact"/>
        <w:rPr>
          <w:sz w:val="24"/>
          <w:szCs w:val="24"/>
          <w:color w:val="auto"/>
        </w:rPr>
      </w:pPr>
    </w:p>
    <w:p>
      <w:pPr>
        <w:ind w:left="780"/>
        <w:spacing w:after="0"/>
        <w:tabs>
          <w:tab w:leader="none" w:pos="2840" w:val="left"/>
          <w:tab w:leader="none" w:pos="4300" w:val="left"/>
          <w:tab w:leader="none" w:pos="6380" w:val="left"/>
        </w:tabs>
        <w:rPr>
          <w:sz w:val="20"/>
          <w:szCs w:val="20"/>
          <w:color w:val="auto"/>
        </w:rPr>
      </w:pPr>
      <w:r>
        <w:rPr>
          <w:rFonts w:ascii="Arial" w:cs="Arial" w:eastAsia="Arial" w:hAnsi="Arial"/>
          <w:sz w:val="18"/>
          <w:szCs w:val="18"/>
          <w:b w:val="1"/>
          <w:bCs w:val="1"/>
          <w:color w:val="auto"/>
        </w:rPr>
        <w:t>BofA Merrill Lynch</w:t>
      </w:r>
      <w:r>
        <w:rPr>
          <w:sz w:val="20"/>
          <w:szCs w:val="20"/>
          <w:color w:val="auto"/>
        </w:rPr>
        <w:tab/>
      </w:r>
      <w:r>
        <w:rPr>
          <w:rFonts w:ascii="Arial" w:cs="Arial" w:eastAsia="Arial" w:hAnsi="Arial"/>
          <w:sz w:val="18"/>
          <w:szCs w:val="18"/>
          <w:b w:val="1"/>
          <w:bCs w:val="1"/>
          <w:color w:val="auto"/>
        </w:rPr>
        <w:t>MUFG</w:t>
      </w:r>
      <w:r>
        <w:rPr>
          <w:sz w:val="20"/>
          <w:szCs w:val="20"/>
          <w:color w:val="auto"/>
        </w:rPr>
        <w:tab/>
      </w:r>
      <w:r>
        <w:rPr>
          <w:rFonts w:ascii="Arial" w:cs="Arial" w:eastAsia="Arial" w:hAnsi="Arial"/>
          <w:sz w:val="18"/>
          <w:szCs w:val="18"/>
          <w:b w:val="1"/>
          <w:bCs w:val="1"/>
          <w:color w:val="auto"/>
        </w:rPr>
        <w:t>Mizuho Securities</w:t>
      </w:r>
      <w:r>
        <w:rPr>
          <w:sz w:val="20"/>
          <w:szCs w:val="20"/>
          <w:color w:val="auto"/>
        </w:rPr>
        <w:tab/>
      </w:r>
      <w:r>
        <w:rPr>
          <w:rFonts w:ascii="Arial" w:cs="Arial" w:eastAsia="Arial" w:hAnsi="Arial"/>
          <w:sz w:val="16"/>
          <w:szCs w:val="16"/>
          <w:b w:val="1"/>
          <w:bCs w:val="1"/>
          <w:color w:val="auto"/>
        </w:rPr>
        <w:t>Morgan Stanley</w:t>
      </w:r>
    </w:p>
    <w:p>
      <w:pPr>
        <w:spacing w:after="0" w:line="185" w:lineRule="exact"/>
        <w:rPr>
          <w:sz w:val="24"/>
          <w:szCs w:val="24"/>
          <w:color w:val="auto"/>
        </w:rPr>
      </w:pPr>
    </w:p>
    <w:p>
      <w:pPr>
        <w:spacing w:after="0"/>
        <w:tabs>
          <w:tab w:leader="none" w:pos="3160" w:val="left"/>
          <w:tab w:leader="none" w:pos="4940" w:val="left"/>
        </w:tabs>
        <w:rPr>
          <w:sz w:val="20"/>
          <w:szCs w:val="20"/>
          <w:color w:val="auto"/>
        </w:rPr>
      </w:pPr>
      <w:r>
        <w:rPr>
          <w:rFonts w:ascii="Arial" w:cs="Arial" w:eastAsia="Arial" w:hAnsi="Arial"/>
          <w:sz w:val="18"/>
          <w:szCs w:val="18"/>
          <w:b w:val="1"/>
          <w:bCs w:val="1"/>
          <w:color w:val="auto"/>
        </w:rPr>
        <w:t>RBC Capital Markets</w:t>
      </w:r>
      <w:r>
        <w:rPr>
          <w:sz w:val="20"/>
          <w:szCs w:val="20"/>
          <w:color w:val="auto"/>
        </w:rPr>
        <w:tab/>
      </w:r>
      <w:r>
        <w:rPr>
          <w:rFonts w:ascii="Arial" w:cs="Arial" w:eastAsia="Arial" w:hAnsi="Arial"/>
          <w:sz w:val="18"/>
          <w:szCs w:val="18"/>
          <w:b w:val="1"/>
          <w:bCs w:val="1"/>
          <w:color w:val="auto"/>
        </w:rPr>
        <w:t>Baird</w:t>
      </w:r>
      <w:r>
        <w:rPr>
          <w:sz w:val="20"/>
          <w:szCs w:val="20"/>
          <w:color w:val="auto"/>
        </w:rPr>
        <w:tab/>
      </w:r>
      <w:r>
        <w:rPr>
          <w:rFonts w:ascii="Arial" w:cs="Arial" w:eastAsia="Arial" w:hAnsi="Arial"/>
          <w:sz w:val="16"/>
          <w:szCs w:val="16"/>
          <w:b w:val="1"/>
          <w:bCs w:val="1"/>
          <w:color w:val="auto"/>
        </w:rPr>
        <w:t>Scotiabank / Howard Weil</w:t>
      </w:r>
    </w:p>
    <w:p>
      <w:pPr>
        <w:spacing w:after="0" w:line="185" w:lineRule="exact"/>
        <w:rPr>
          <w:sz w:val="24"/>
          <w:szCs w:val="24"/>
          <w:color w:val="auto"/>
        </w:rPr>
      </w:pPr>
    </w:p>
    <w:p>
      <w:pPr>
        <w:ind w:left="1540"/>
        <w:spacing w:after="0"/>
        <w:tabs>
          <w:tab w:leader="none" w:pos="4740" w:val="left"/>
        </w:tabs>
        <w:rPr>
          <w:sz w:val="20"/>
          <w:szCs w:val="20"/>
          <w:color w:val="auto"/>
        </w:rPr>
      </w:pPr>
      <w:r>
        <w:rPr>
          <w:rFonts w:ascii="Arial" w:cs="Arial" w:eastAsia="Arial" w:hAnsi="Arial"/>
          <w:sz w:val="18"/>
          <w:szCs w:val="18"/>
          <w:b w:val="1"/>
          <w:bCs w:val="1"/>
          <w:color w:val="auto"/>
        </w:rPr>
        <w:t>SunTrust Robinson Humphrey</w:t>
      </w:r>
      <w:r>
        <w:rPr>
          <w:sz w:val="20"/>
          <w:szCs w:val="20"/>
          <w:color w:val="auto"/>
        </w:rPr>
        <w:tab/>
      </w:r>
      <w:r>
        <w:rPr>
          <w:rFonts w:ascii="Arial" w:cs="Arial" w:eastAsia="Arial" w:hAnsi="Arial"/>
          <w:sz w:val="16"/>
          <w:szCs w:val="16"/>
          <w:b w:val="1"/>
          <w:bCs w:val="1"/>
          <w:color w:val="auto"/>
        </w:rPr>
        <w:t>Tudor, Pickering, Holt &amp; Co.</w:t>
      </w:r>
    </w:p>
    <w:p>
      <w:pPr>
        <w:spacing w:after="0" w:line="185" w:lineRule="exact"/>
        <w:rPr>
          <w:sz w:val="24"/>
          <w:szCs w:val="24"/>
          <w:color w:val="auto"/>
        </w:rPr>
      </w:pPr>
    </w:p>
    <w:p>
      <w:pPr>
        <w:ind w:left="880"/>
        <w:spacing w:after="0"/>
        <w:tabs>
          <w:tab w:leader="none" w:pos="4980" w:val="left"/>
        </w:tabs>
        <w:rPr>
          <w:sz w:val="20"/>
          <w:szCs w:val="20"/>
          <w:color w:val="auto"/>
        </w:rPr>
      </w:pPr>
      <w:r>
        <w:rPr>
          <w:rFonts w:ascii="Arial" w:cs="Arial" w:eastAsia="Arial" w:hAnsi="Arial"/>
          <w:sz w:val="18"/>
          <w:szCs w:val="18"/>
          <w:b w:val="1"/>
          <w:bCs w:val="1"/>
          <w:color w:val="auto"/>
        </w:rPr>
        <w:t>U.S. Capital Advisors</w:t>
      </w:r>
      <w:r>
        <w:rPr>
          <w:sz w:val="20"/>
          <w:szCs w:val="20"/>
          <w:color w:val="auto"/>
        </w:rPr>
        <w:tab/>
      </w:r>
      <w:r>
        <w:rPr>
          <w:rFonts w:ascii="Arial" w:cs="Arial" w:eastAsia="Arial" w:hAnsi="Arial"/>
          <w:sz w:val="15"/>
          <w:szCs w:val="15"/>
          <w:b w:val="1"/>
          <w:bCs w:val="1"/>
          <w:color w:val="auto"/>
        </w:rPr>
        <w:t>Wells Fargo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-2419985</wp:posOffset>
            </wp:positionH>
            <wp:positionV relativeFrom="paragraph">
              <wp:posOffset>212090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2880" w:space="60"/>
            <w:col w:w="640" w:space="240"/>
            <w:col w:w="7600"/>
          </w:cols>
          <w:pgMar w:left="240" w:top="230" w:right="239" w:bottom="1440" w:gutter="0" w:footer="0" w:header="0"/>
          <w:type w:val="continuous"/>
        </w:sect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August 22,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60" w:type="dxa"/>
            <w:vAlign w:val="bottom"/>
            <w:gridSpan w:val="2"/>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19"/>
                <w:szCs w:val="19"/>
                <w:color w:val="auto"/>
              </w:rPr>
            </w:pPr>
          </w:p>
        </w:tc>
      </w:tr>
      <w:tr>
        <w:trPr>
          <w:trHeight w:val="419"/>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24"/>
        </w:trPr>
        <w:tc>
          <w:tcPr>
            <w:tcW w:w="9320" w:type="dxa"/>
            <w:vAlign w:val="bottom"/>
            <w:gridSpan w:val="18"/>
          </w:tcPr>
          <w:p>
            <w:pPr>
              <w:spacing w:after="0"/>
              <w:rPr>
                <w:sz w:val="20"/>
                <w:szCs w:val="20"/>
                <w:color w:val="auto"/>
              </w:rPr>
            </w:pPr>
            <w:r>
              <w:rPr>
                <w:rFonts w:ascii="Arial" w:cs="Arial" w:eastAsia="Arial" w:hAnsi="Arial"/>
                <w:sz w:val="18"/>
                <w:szCs w:val="18"/>
                <w:b w:val="1"/>
                <w:bCs w:val="1"/>
                <w:color w:val="auto"/>
              </w:rPr>
              <w:t>Prospectus Supplement</w:t>
            </w:r>
          </w:p>
        </w:tc>
        <w:tc>
          <w:tcPr>
            <w:tcW w:w="2000" w:type="dxa"/>
            <w:vAlign w:val="bottom"/>
          </w:tcPr>
          <w:p>
            <w:pPr>
              <w:spacing w:after="0"/>
              <w:rPr>
                <w:sz w:val="24"/>
                <w:szCs w:val="24"/>
                <w:color w:val="auto"/>
              </w:rPr>
            </w:pPr>
          </w:p>
        </w:tc>
      </w:tr>
      <w:tr>
        <w:trPr>
          <w:trHeight w:val="394"/>
        </w:trPr>
        <w:tc>
          <w:tcPr>
            <w:tcW w:w="93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40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Regarding Forward-Looking Statements</w:t>
              </w:r>
            </w:hyperlink>
          </w:p>
        </w:tc>
        <w:tc>
          <w:tcPr>
            <w:tcW w:w="3600" w:type="dxa"/>
            <w:vAlign w:val="bottom"/>
            <w:tcBorders>
              <w:top w:val="single" w:sz="8" w:color="0000EE"/>
            </w:tcBorders>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8620" w:type="dxa"/>
            <w:vAlign w:val="bottom"/>
            <w:gridSpan w:val="1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4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Material U.S. Federal Income Tax Consequences</w:t>
              </w:r>
            </w:hyperlink>
          </w:p>
        </w:tc>
        <w:tc>
          <w:tcPr>
            <w:tcW w:w="58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792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834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559"/>
        </w:trPr>
        <w:tc>
          <w:tcPr>
            <w:tcW w:w="2800" w:type="dxa"/>
            <w:vAlign w:val="bottom"/>
            <w:tcBorders>
              <w:top w:val="single" w:sz="8" w:color="0000EE"/>
            </w:tcBorders>
            <w:gridSpan w:val="13"/>
          </w:tcPr>
          <w:p>
            <w:pPr>
              <w:spacing w:after="0"/>
              <w:rPr>
                <w:sz w:val="20"/>
                <w:szCs w:val="20"/>
                <w:color w:val="auto"/>
              </w:rPr>
            </w:pPr>
            <w:r>
              <w:rPr>
                <w:rFonts w:ascii="Arial" w:cs="Arial" w:eastAsia="Arial" w:hAnsi="Arial"/>
                <w:sz w:val="18"/>
                <w:szCs w:val="18"/>
                <w:b w:val="1"/>
                <w:bCs w:val="1"/>
                <w:color w:val="auto"/>
              </w:rPr>
              <w:t>Prospectus</w:t>
            </w:r>
          </w:p>
        </w:tc>
        <w:tc>
          <w:tcPr>
            <w:tcW w:w="6520" w:type="dxa"/>
            <w:vAlign w:val="bottom"/>
            <w:gridSpan w:val="5"/>
          </w:tcPr>
          <w:p>
            <w:pPr>
              <w:spacing w:after="0"/>
              <w:rPr>
                <w:sz w:val="24"/>
                <w:szCs w:val="24"/>
                <w:color w:val="auto"/>
              </w:rPr>
            </w:pPr>
          </w:p>
        </w:tc>
        <w:tc>
          <w:tcPr>
            <w:tcW w:w="2000" w:type="dxa"/>
            <w:vAlign w:val="bottom"/>
          </w:tcPr>
          <w:p>
            <w:pPr>
              <w:spacing w:after="0"/>
              <w:rPr>
                <w:sz w:val="24"/>
                <w:szCs w:val="24"/>
                <w:color w:val="auto"/>
              </w:rPr>
            </w:pPr>
          </w:p>
        </w:tc>
      </w:tr>
      <w:tr>
        <w:trPr>
          <w:trHeight w:val="394"/>
        </w:trPr>
        <w:tc>
          <w:tcPr>
            <w:tcW w:w="932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652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 of Earnings to Fixed Charges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684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740" w:type="dxa"/>
            <w:vAlign w:val="bottom"/>
            <w:gridSpan w:val="9"/>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000" w:type="dxa"/>
            <w:vAlign w:val="bottom"/>
            <w:gridSpan w:val="14"/>
            <w:shd w:val="clear" w:color="auto" w:fill="0000EE"/>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Material U.S. Federal Income Tax Consequences</w:t>
              </w:r>
            </w:hyperlink>
          </w:p>
        </w:tc>
        <w:tc>
          <w:tcPr>
            <w:tcW w:w="58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2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7920" w:type="dxa"/>
            <w:vAlign w:val="bottom"/>
            <w:gridSpan w:val="1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8340" w:type="dxa"/>
            <w:vAlign w:val="bottom"/>
            <w:gridSpan w:val="1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providing information to you about this offering of our common units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base prospectus. Neither we nor any of the sales agents have authorized anyone to provide you with additional or different information. If anyone provides you with different or inconsistent information, you should not rely on it.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making an offer to sell our common units in any jurisdiction where the offer is not permitted.</w:t>
      </w:r>
    </w:p>
    <w:p>
      <w:pPr>
        <w:spacing w:after="0" w:line="171"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None of Plains All American Pipeline, L.P., the sales agents or any of their respective representatives is making any representation to you regarding the legality of an investment in our common units by you under applicable laws. You should consult with your own advisors as to legal, tax, business, financial and related aspects of an investment in the common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failure to implement or capitalize, or delays in implementing or capitalizing, on planned internal growth projects;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unanticipated changes in crude oil market structure, grade differentials and volatility (or lack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environmental liabilities or events that are not covered by an indemnity, insurance or existing reserves;</w:t>
      </w:r>
    </w:p>
    <w:p>
      <w:pPr>
        <w:spacing w:after="0" w:line="90" w:lineRule="exact"/>
        <w:rPr>
          <w:sz w:val="20"/>
          <w:szCs w:val="20"/>
          <w:color w:val="auto"/>
        </w:rPr>
      </w:pPr>
    </w:p>
    <w:p>
      <w:pPr>
        <w:ind w:left="900" w:right="80" w:hanging="446"/>
        <w:spacing w:after="0" w:line="259" w:lineRule="auto"/>
        <w:rPr>
          <w:sz w:val="20"/>
          <w:szCs w:val="20"/>
          <w:color w:val="auto"/>
        </w:rPr>
      </w:pPr>
      <w:r>
        <w:rPr>
          <w:rFonts w:ascii="Arial" w:cs="Arial" w:eastAsia="Arial" w:hAnsi="Arial"/>
          <w:sz w:val="18"/>
          <w:szCs w:val="18"/>
          <w:color w:val="auto"/>
        </w:rPr>
        <w:t>—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59" w:lineRule="exact"/>
        <w:rPr>
          <w:sz w:val="20"/>
          <w:szCs w:val="20"/>
          <w:color w:val="auto"/>
        </w:rPr>
      </w:pPr>
    </w:p>
    <w:p>
      <w:pPr>
        <w:ind w:left="900" w:right="600" w:hanging="446"/>
        <w:spacing w:after="0" w:line="332" w:lineRule="auto"/>
        <w:rPr>
          <w:sz w:val="20"/>
          <w:szCs w:val="20"/>
          <w:color w:val="auto"/>
        </w:rPr>
      </w:pPr>
      <w:r>
        <w:rPr>
          <w:rFonts w:ascii="Arial" w:cs="Arial" w:eastAsia="Arial" w:hAnsi="Arial"/>
          <w:sz w:val="16"/>
          <w:szCs w:val="16"/>
          <w:color w:val="auto"/>
        </w:rPr>
        <w:t>— 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the occurrence of a natural disaster, catastrophe, terrorist attack or other event, including attacks on our electronic and computer systems;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weather interference with business operations or project construction, including the impact of extreme weather events or conditions;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tightened capital markets or other factors that increase our cost of capital or limit our access to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maintenance of our credit rating and ability to receive open credit from our suppliers and trade counterparties;</w:t>
      </w:r>
    </w:p>
    <w:p>
      <w:pPr>
        <w:spacing w:after="0" w:line="90" w:lineRule="exact"/>
        <w:rPr>
          <w:sz w:val="20"/>
          <w:szCs w:val="20"/>
          <w:color w:val="auto"/>
        </w:rPr>
      </w:pPr>
    </w:p>
    <w:p>
      <w:pPr>
        <w:ind w:left="900" w:right="420" w:hanging="446"/>
        <w:spacing w:after="0" w:line="268" w:lineRule="auto"/>
        <w:rPr>
          <w:sz w:val="20"/>
          <w:szCs w:val="20"/>
          <w:color w:val="auto"/>
        </w:rPr>
      </w:pPr>
      <w:r>
        <w:rPr>
          <w:rFonts w:ascii="Arial" w:cs="Arial" w:eastAsia="Arial" w:hAnsi="Arial"/>
          <w:sz w:val="18"/>
          <w:szCs w:val="18"/>
          <w:color w:val="auto"/>
        </w:rPr>
        <w:t>— continued creditworthiness of, and performance by, our counterparties, including financial institutions and trading companies with which we do business;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currency exchange rate of the Canadian dollar;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availability of, and our ability to consummate, acquisition or combination opportunities;</w:t>
      </w:r>
    </w:p>
    <w:p>
      <w:pPr>
        <w:spacing w:after="0" w:line="90" w:lineRule="exact"/>
        <w:rPr>
          <w:sz w:val="20"/>
          <w:szCs w:val="20"/>
          <w:color w:val="auto"/>
        </w:rPr>
      </w:pPr>
    </w:p>
    <w:p>
      <w:pPr>
        <w:ind w:left="900" w:right="60" w:hanging="446"/>
        <w:spacing w:after="0" w:line="268" w:lineRule="auto"/>
        <w:rPr>
          <w:sz w:val="20"/>
          <w:szCs w:val="20"/>
          <w:color w:val="auto"/>
        </w:rPr>
      </w:pPr>
      <w:r>
        <w:rPr>
          <w:rFonts w:ascii="Arial" w:cs="Arial" w:eastAsia="Arial" w:hAnsi="Arial"/>
          <w:sz w:val="18"/>
          <w:szCs w:val="18"/>
          <w:color w:val="auto"/>
        </w:rPr>
        <w:t>— the successful integration and future performance of acquired assets or businesses and the risks associated with operating in lines of business that are distinct and separate from our historical operations;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shortages or cost increases of supplies, materials or labor;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effectiveness of our risk management activities;</w:t>
      </w:r>
    </w:p>
    <w:p>
      <w:pPr>
        <w:spacing w:after="0" w:line="90" w:lineRule="exact"/>
        <w:rPr>
          <w:sz w:val="20"/>
          <w:szCs w:val="20"/>
          <w:color w:val="auto"/>
        </w:rPr>
      </w:pPr>
    </w:p>
    <w:p>
      <w:pPr>
        <w:ind w:left="900" w:right="180" w:hanging="446"/>
        <w:spacing w:after="0" w:line="268" w:lineRule="auto"/>
        <w:rPr>
          <w:sz w:val="20"/>
          <w:szCs w:val="20"/>
          <w:color w:val="auto"/>
        </w:rPr>
      </w:pPr>
      <w:r>
        <w:rPr>
          <w:rFonts w:ascii="Arial" w:cs="Arial" w:eastAsia="Arial" w:hAnsi="Arial"/>
          <w:sz w:val="18"/>
          <w:szCs w:val="18"/>
          <w:color w:val="auto"/>
        </w:rPr>
        <w:t>— our ability to obtain debt or equity financing on satisfactory terms to fund additional acquisitions, expansion projects, working capital requirements and the repayment or refinancing of indebtedness;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the impact of current and future laws, rulings, governmental regulations, accounting standards and statements, and related interpretations;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non-utilization of our assets and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effects of 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increased costs or lack of availability of insurance;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fluctuations in the debt and equity markets, including the price of our units at the time of vesting under our long-term incentive plans;</w:t>
      </w:r>
    </w:p>
    <w:p>
      <w:pPr>
        <w:spacing w:after="0" w:line="90" w:lineRule="exact"/>
        <w:rPr>
          <w:sz w:val="20"/>
          <w:szCs w:val="20"/>
          <w:color w:val="auto"/>
        </w:rPr>
      </w:pPr>
    </w:p>
    <w:p>
      <w:pPr>
        <w:ind w:left="900" w:right="260" w:hanging="446"/>
        <w:spacing w:after="0" w:line="268" w:lineRule="auto"/>
        <w:rPr>
          <w:sz w:val="20"/>
          <w:szCs w:val="20"/>
          <w:color w:val="auto"/>
        </w:rPr>
      </w:pPr>
      <w:r>
        <w:rPr>
          <w:rFonts w:ascii="Arial" w:cs="Arial" w:eastAsia="Arial" w:hAnsi="Arial"/>
          <w:sz w:val="18"/>
          <w:szCs w:val="18"/>
          <w:color w:val="auto"/>
        </w:rPr>
        <w:t>— risks related to the development and operation of our facilities, including our ability to satisfy our contractual obligations to our customers at our facilities;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factors affecting demand for natural gas and natural gas storage services and rates;</w:t>
      </w:r>
    </w:p>
    <w:p>
      <w:pPr>
        <w:spacing w:after="0" w:line="90" w:lineRule="exact"/>
        <w:rPr>
          <w:sz w:val="20"/>
          <w:szCs w:val="20"/>
          <w:color w:val="auto"/>
        </w:rPr>
      </w:pPr>
    </w:p>
    <w:p>
      <w:pPr>
        <w:ind w:left="900" w:right="260" w:hanging="446"/>
        <w:spacing w:after="0" w:line="268" w:lineRule="auto"/>
        <w:rPr>
          <w:sz w:val="20"/>
          <w:szCs w:val="20"/>
          <w:color w:val="auto"/>
        </w:rPr>
      </w:pPr>
      <w:r>
        <w:rPr>
          <w:rFonts w:ascii="Arial" w:cs="Arial" w:eastAsia="Arial" w:hAnsi="Arial"/>
          <w:sz w:val="18"/>
          <w:szCs w:val="18"/>
          <w:color w:val="auto"/>
        </w:rPr>
        <w:t>— general economic, market or business conditions and the amplification of other risks caused by volatile financial markets, capital constraints and pervasive liquidity concerns; and</w:t>
      </w:r>
    </w:p>
    <w:p>
      <w:pPr>
        <w:spacing w:after="0" w:line="50" w:lineRule="exact"/>
        <w:rPr>
          <w:sz w:val="20"/>
          <w:szCs w:val="20"/>
          <w:color w:val="auto"/>
        </w:rPr>
      </w:pPr>
    </w:p>
    <w:p>
      <w:pPr>
        <w:ind w:left="900" w:right="80" w:hanging="446"/>
        <w:spacing w:after="0" w:line="332" w:lineRule="auto"/>
        <w:rPr>
          <w:sz w:val="20"/>
          <w:szCs w:val="20"/>
          <w:color w:val="auto"/>
        </w:rPr>
      </w:pPr>
      <w:r>
        <w:rPr>
          <w:rFonts w:ascii="Arial" w:cs="Arial" w:eastAsia="Arial" w:hAnsi="Arial"/>
          <w:sz w:val="16"/>
          <w:szCs w:val="16"/>
          <w:color w:val="auto"/>
        </w:rPr>
        <w:t>— 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on page S-4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supplement. It does not contain all of the information that you should consider before investing in the common units. You should read carefully the entire prospectus supplement, the accompanying base prospectus, the documents incorporated by reference herein and therein and the other documents to which we refer herein and therein for a more complete understanding of this offering.</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Please read “Risk Factors” on page S-4 of this prospectus supplement and in our Annual Report on Form 10-K for the fiscal year ended December 31, 2013, which is incorporated by reference herein, for information regarding risks you should consider before investing in our common units.</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unless the context clearly indicates otherwise, references to “PAA,” the “Partnership,” “we,” “us,” “our” and similar terms refer to Plains All American Pipeline, L.P. and its subsidiaries. With respect to the cover page and in the section entitled “Summary — The Offering,” “we,” “our” and “us” refer only to Plains All American Pipeline, L.P. and not to any of its subsidiaries. References to our “general partner,” as the context requires, include any or all of PAA GP LLC, Plains AAP, L.P. and Plains All American GP LLC.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a Delaware limited partnership formed in 1998.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We manage our operations through three operating segments: transportation, facilities and supply and logistics.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Ongoing Acquisition Activities</w:t>
      </w:r>
    </w:p>
    <w:p>
      <w:pPr>
        <w:spacing w:after="0" w:line="177" w:lineRule="exact"/>
        <w:rPr>
          <w:sz w:val="20"/>
          <w:szCs w:val="20"/>
          <w:color w:val="auto"/>
        </w:rPr>
      </w:pPr>
    </w:p>
    <w:p>
      <w:pPr>
        <w:ind w:right="360" w:firstLine="456"/>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acquisition agreement. However, in certain cases in order to protect our business interests or for other reasons, we may defer public 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Principal Executive Offices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executive offices are located at 333 Clay Street, Suite 1600, Houston, Texas 77002. Our telephone number is (713) 646-4100. We maintain a website at </w:t>
      </w:r>
      <w:r>
        <w:rPr>
          <w:rFonts w:ascii="Arial" w:cs="Arial" w:eastAsia="Arial" w:hAnsi="Arial"/>
          <w:sz w:val="18"/>
          <w:szCs w:val="18"/>
          <w:i w:val="1"/>
          <w:iCs w:val="1"/>
          <w:color w:val="auto"/>
        </w:rPr>
        <w:t xml:space="preserve">www.plainsallamerican.com </w:t>
      </w:r>
      <w:r>
        <w:rPr>
          <w:rFonts w:ascii="Arial" w:cs="Arial" w:eastAsia="Arial" w:hAnsi="Arial"/>
          <w:sz w:val="18"/>
          <w:szCs w:val="18"/>
          <w:color w:val="auto"/>
        </w:rPr>
        <w:t>that provides information about our business and operations. Information contained on or available through our website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or otherwise a part of this prospectus supplement or the accompanying base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and our Quarterly Reports on Form 10-Q for the quarterly periods ended March 31, 2014 and June 30, 2014, each of which is incorporated by reference herein.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Common Units Offered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Common units having an aggregate offering price of up to $900,000,000.</w:t>
      </w:r>
    </w:p>
    <w:p>
      <w:pPr>
        <w:spacing w:after="0" w:line="21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intend to use the net proceeds from this offering, including our general partner’s proportionate capital contribution, after deducting the sales agents’ commissions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 Please read “Use of Proceeds.”</w:t>
      </w:r>
    </w:p>
    <w:p>
      <w:pPr>
        <w:spacing w:after="0" w:line="16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Exchange 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units are traded on the NYSE under the symbol “PAA.”</w:t>
      </w:r>
    </w:p>
    <w:p>
      <w:pPr>
        <w:spacing w:after="0" w:line="20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w:t>
      </w:r>
    </w:p>
    <w:p>
      <w:pPr>
        <w:spacing w:after="0" w:line="18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8"/>
          <w:szCs w:val="18"/>
          <w:color w:val="auto"/>
        </w:rPr>
        <w:t>There are risks associated with this offering and our business. You should consider carefully the risk factors on page S-4 of this prospectus supplement and the other risks identified in the documents incorporated by reference herein before making a decision to purchase common units in this offering.</w:t>
      </w:r>
    </w:p>
    <w:p>
      <w:pPr>
        <w:spacing w:after="0" w:line="13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investment in our common units involves risk. You should carefully consider the risk factors set forth in Item 1A. “Risk Factors” of our Annual Report on Form 10-K for the fiscal year ended December 31, 2013 (File No. 001-14569), together with all of the other information included in, or incorporated by reference into, this prospectus supplement and the accompanying base prospectus, when evaluating an investment in our common units. If any of these risks were to occur, our business, financial condition or results of operations could be materially adversely affected. In that case, the trading price of our common units could decline and you could lose all or part of your investment.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intend to use the net proceeds of this offering, including our general partner’s proportionate capital contribution, after deducting the sales agents’ commissions and our offering expenses, for general partnership purposes, which may include, among other things, repayment of indebtedness, acquisitions, capital expenditures and additions to working capital. Amounts repaid under our credit facilities may be reborrowed to fund our ongoing capital program, potential future acquisitions or for general partnership purposes.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Affiliates of certain of the sales agents are lenders under our credit facilities. To the extent we use proceeds from this offering to repay indebtedness under our credit facilities, such affiliates may receive proceeds from this offering. Please read “Plan of Distribution” in this prospectus supplement for further information.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August 21, 2014, there were no borrowings outstanding under our senior secured hedged inventory facility or our senior unsecured revolving credit facility. At August 21, 2014, we had approximately $834 million of borrowings outstanding under our commercial paper program with a weighted average interest rate of approximately 0.30%. The outstanding borrowings under our commercial paper program have maturity dates of approximately two weeks or less. Our commercial paper program is backstopped by our senior secured hedged inventory facility and our senior unsecured revolving credit facility.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tax consequences to you of an investment in our common units will depend in part on your own tax circumstances. Although this section updates and adds information related to certain tax considerations, it should be read in conjunction with the risk factors included under the caption “Tax Risks to Common Unitholders” in our most recent Annual Report on Form 10-K, and with “Material Income Tax Consequences” in the accompanying base prospectus, which provides a discussion of the principal federal income tax consequences associated with our operations and the purchase, ownership and disposition of our common units. The following discussion is limited as described under the caption “Material Income Tax Consequences” in the accompanying base prospectus.</w:t>
      </w:r>
    </w:p>
    <w:p>
      <w:pPr>
        <w:spacing w:after="0" w:line="10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All prospective unitholders are encouraged to consult with their own tax advisors about the federal, state, local and foreign tax consequences particular to their own circumstances. In particular, ownership of common units by tax-exempt entities, including employee benefit plans and IRAs, and non-U.S. investors raises issues unique to such persons. The relevant rules are complex, and the discussions herein and in the accompanying base prospectus do not address tax considerations applicable to tax-exempt entities and non-U.S. investors, except as specifically set forth in the accompanying base prospectus. Please read “Material Income Tax Consequences — Tax-Exempt Organizations and Other Investors” in the accompanying base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Rates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Under current law, the highest marginal U.S.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Affecting the Tax Treatment of Publicly Traded Partnerships</w:t>
      </w:r>
    </w:p>
    <w:p>
      <w:pPr>
        <w:spacing w:after="0" w:line="17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common units may be modified by administrative or legislative action or judicial interpretation at any time. For example, from time to time, members of the U.S. Congress propose and consider substantive changes to the existing federal income tax laws that affect publicly traded partnerships. One such legislative proposal would have eliminated the qualifying income exception upon which we rely for our treatment as a partnership for U.S. federal income tax purposes. We are unable to predict whether any such changes will ultimately be enacted. However, it is possible that a change in law could affect us and may be applied retroactively. Any such changes could negatively impact the value of an investment in our units.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entered into an equity distribution agreement with Citigroup Global Markets Inc., Barclays Capital Inc., BB&amp;T Capital Markets, a division of BB&amp;T Securities, LLC, BMO Capital Markets Corp., Deutsche Bank Securities Inc., J.P. Morgan Securities LLC, Jefferies LLC, Merrill Lynch, Pierce, Fenner &amp; Smith Incorporated, Mitsubishi UFJ Securities (USA), Inc., Mizuho Securities USA Inc., Morgan Stanley &amp; Co. LLC, Raymond James &amp; Associates, Inc., RBC Capital Markets, LLC, Robert W. Baird &amp; Co. Incorporated, Scotia Capital (USA) Inc., SG Americas Securities, LLC, SunTrust Robinson Humphrey, Inc., Tudor, Pickering, Holt &amp; Co. Securities, Inc., UBS Securities LLC, USCA Securities LLC, and Wells Fargo Securities, LLC, as sales agents, under which we are permitted to offer and sell common units having an aggregate offering price of up to $900,000,000 from time to time. We have filed the equity distribution agreement as an exhibit to a Current Report on Form 8-K, which is incorporated by reference in this prospectus supplement. The sales, if any, of common units made under the equity distribution agreement will be made by means of ordinary brokers’ transactions on the New York Stock Exchange at market prices, in block transactions, or as otherwise as agreed upon by one or more of the sales agents and us. The sales agents will not engage in any transactions that stabilize the price of our common units.</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the terms of the equity distribution agreement, we also may sell common units to one or more of our sales agents as principal for its own account at a price agreed upon at the time of sale. If we sell common units to one or more of our sales agents as principal, we will enter into a separate agreement with the sales agent and we will describe this agreement in a separate prospectus supplement or pricing supplement.</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designate the maximum amount of common units to be sold through the sales agents on a daily basis or otherwise as we and the sales agents agree and the minimum price per common unit at which such common units may be sold. Subject to the terms and conditions of the equity distribution agreement, the sales agents will use their reasonable efforts to sell on our behalf all of the designated common units. We may instruct the sales agents not to sell any common units if the sales cannot be effected at or above the price designated by us in any such instruction. We or the sales agents may suspend the offering of common units at any time and from time to time by notifying the other party.</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sales agents will provide to us written confirmation following the close of trading on the New York Stock Exchange each day in which common units are sold under the equity distribution agreement. Each confirmation will include the number of common units sold on that day, the gross sales proceeds and the net proceeds to us (after regulatory transaction fees, if any, but before other expenses). We will report at least quarterly the number of common units sold through the sales agents under the equity distribution agreement, the net proceeds to us (before expenses) and the commissions of the sales agents in connection with the sales of the common units.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pay each sales agent a commission of up to 2% of the gross sales price per common unit sold through it as our agent under the equity distribution agreement. We have agreed to reimburse the sales agents for certain of their expenses.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Settlement for sales of common units will occur on the third business day following the date on which any sales were made in return for payment of the net proceeds to us. There is no arrangement for funds to be received in an escrow, trust or similar arrangement.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or any of the sales agents have reason to believe that our common units are no longer an “actively-traded security” as defined under Rule 101(c)(l) of Regulation M under the Securities Exchange Act of 1934, as amended, that party will promptly notify the others and sales of common units pursuant to the equity distribution agreement or any terms agreement will be suspended until in our collective judgment Rule 101(c)(1) or another exemptive provision has been satisfied.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offering of common units pursuant to the equity distribution agreement will terminate upon the earlier of (1) the sale of all common units subject to the equity distribution agreement or (2) the termination of the equity distribution agreement by us or by the sales agents.</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connection with the sale of the common units on our behalf, each of the sales agents will be deemed to be an “underwriter” within the meaning of the Securities Act of 1933, as amended (Securities Act), and the compensation paid to the sales agents may be deemed to be underwriting commissions or discounts. We have agreed to provide indemnification and contribution to the sales agents against certain liabilities, including civil liabilities under the Securities Act.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sales agents and/or affiliates of each of the sales agents have, from time to time, performed, and may in the future perform, various financial advisory and commercial and investment banking services for us and our affiliates, for which they have received and in the future will receive customary compensation and expense reimbursement. The sales agents and/or affiliates of certain of the sales agents are lenders under our credit facilities. To the extent we use proceeds from this offering to repay indebtedness under our credit facilities, such affiliates may receive proceeds from this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discount or commission to be received by any FINRA member or independent broker-dealer may not exceed 8% of the aggregate offering price of the common units offered pursuant to this prospectus supplement. Because FINRA views the common units offered hereby as interests in a direct participation program, this offering is being made in compliance with Rule 2310 of the FINRA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EEA</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securities described in this prospectus may not be made to the public in that relevant member state other than:</w:t>
      </w:r>
    </w:p>
    <w:p>
      <w:pPr>
        <w:spacing w:after="0" w:line="14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jc w:val="both"/>
        <w:ind w:left="900" w:right="12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w:t>
      </w:r>
    </w:p>
    <w:p>
      <w:pPr>
        <w:spacing w:after="0" w:line="147"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w:t>
      </w:r>
    </w:p>
    <w:p>
      <w:pPr>
        <w:spacing w:after="0" w:line="184" w:lineRule="exact"/>
        <w:rPr>
          <w:sz w:val="20"/>
          <w:szCs w:val="20"/>
          <w:color w:val="auto"/>
        </w:rPr>
      </w:pPr>
    </w:p>
    <w:p>
      <w:pPr>
        <w:ind w:left="900" w:hanging="446"/>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w:t>
      </w:r>
    </w:p>
    <w:p>
      <w:pPr>
        <w:spacing w:after="0" w:line="147" w:lineRule="exact"/>
        <w:rPr>
          <w:rFonts w:ascii="Arial" w:cs="Arial" w:eastAsia="Arial" w:hAnsi="Arial"/>
          <w:sz w:val="16"/>
          <w:szCs w:val="16"/>
          <w:color w:val="auto"/>
        </w:rPr>
      </w:pPr>
    </w:p>
    <w:p>
      <w:pPr>
        <w:jc w:val="both"/>
        <w:ind w:left="900" w:right="1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w:t>
      </w:r>
    </w:p>
    <w:p>
      <w:pPr>
        <w:spacing w:after="0" w:line="18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both cases (1) and (2) to any other person to whom it may otherwise lawfully be made (all such persons together being referred to as “relevant persons”).</w:t>
      </w:r>
    </w:p>
    <w:p>
      <w:pPr>
        <w:spacing w:after="0" w:line="132"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Germany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This document has not been prepared in accordance with the requirements for a securities or sales prospectus under the German Securities Prospectus Act </w:t>
      </w:r>
      <w:r>
        <w:rPr>
          <w:rFonts w:ascii="Arial" w:cs="Arial" w:eastAsia="Arial" w:hAnsi="Arial"/>
          <w:sz w:val="18"/>
          <w:szCs w:val="18"/>
          <w:i w:val="1"/>
          <w:iCs w:val="1"/>
          <w:color w:val="auto"/>
        </w:rPr>
        <w:t>(Wertpapierprospektgesetz)</w:t>
      </w:r>
      <w:r>
        <w:rPr>
          <w:rFonts w:ascii="Arial" w:cs="Arial" w:eastAsia="Arial" w:hAnsi="Arial"/>
          <w:sz w:val="18"/>
          <w:szCs w:val="18"/>
          <w:color w:val="auto"/>
        </w:rPr>
        <w:t>, the Capital Investment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(Vermögensanlagengesetz)</w:t>
      </w:r>
      <w:r>
        <w:rPr>
          <w:rFonts w:ascii="Arial" w:cs="Arial" w:eastAsia="Arial" w:hAnsi="Arial"/>
          <w:sz w:val="16"/>
          <w:szCs w:val="16"/>
          <w:color w:val="auto"/>
        </w:rPr>
        <w:t>, or the German Investment Act</w:t>
      </w:r>
      <w:r>
        <w:rPr>
          <w:rFonts w:ascii="Arial" w:cs="Arial" w:eastAsia="Arial" w:hAnsi="Arial"/>
          <w:sz w:val="16"/>
          <w:szCs w:val="16"/>
          <w:i w:val="1"/>
          <w:iCs w:val="1"/>
          <w:color w:val="auto"/>
        </w:rPr>
        <w:t xml:space="preserve"> (Investmentgesetz)</w:t>
      </w:r>
      <w:r>
        <w:rPr>
          <w:rFonts w:ascii="Arial" w:cs="Arial" w:eastAsia="Arial" w:hAnsi="Arial"/>
          <w:sz w:val="16"/>
          <w:szCs w:val="16"/>
          <w:color w:val="auto"/>
        </w:rPr>
        <w:t>. Neither the German Federal Financial Services Supervisory Authority</w:t>
      </w:r>
      <w:r>
        <w:rPr>
          <w:rFonts w:ascii="Arial" w:cs="Arial" w:eastAsia="Arial" w:hAnsi="Arial"/>
          <w:sz w:val="16"/>
          <w:szCs w:val="16"/>
          <w:i w:val="1"/>
          <w:iCs w:val="1"/>
          <w:color w:val="auto"/>
        </w:rPr>
        <w:t xml:space="preserve"> (Bundesanstalt für Finanzdienstleistungsaufsich</w:t>
      </w:r>
      <w:r>
        <w:rPr>
          <w:rFonts w:ascii="Arial" w:cs="Arial" w:eastAsia="Arial" w:hAnsi="Arial"/>
          <w:sz w:val="16"/>
          <w:szCs w:val="16"/>
          <w:color w:val="auto"/>
        </w:rPr>
        <w:t>t — BaFin) nor any other German authority has been notified of the intention to distribute our common units in</w:t>
      </w:r>
      <w:r>
        <w:rPr>
          <w:rFonts w:ascii="Arial" w:cs="Arial" w:eastAsia="Arial" w:hAnsi="Arial"/>
          <w:sz w:val="16"/>
          <w:szCs w:val="16"/>
          <w:i w:val="1"/>
          <w:iCs w:val="1"/>
          <w:color w:val="auto"/>
        </w:rPr>
        <w:t xml:space="preserve"> </w:t>
      </w:r>
      <w:r>
        <w:rPr>
          <w:rFonts w:ascii="Arial" w:cs="Arial" w:eastAsia="Arial" w:hAnsi="Arial"/>
          <w:sz w:val="16"/>
          <w:szCs w:val="16"/>
          <w:color w:val="auto"/>
        </w:rPr>
        <w:t>Germany. Consequently, our common units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common units to the public in Germany or any other means of public marketing. Our common units are being offered and sold in Germany only to qualified investors which are referred to in Section 3, paragraph 2 no. 1, in connection with Section 2, no. 6, of the German Securities Prospectus Act, Section 2 no. 4 of the German Capital Investment Act, and in Section 2 paragraph 11 sentence 2 no. 1 of the German Investment Act. This document is strictly for use of the person who has received it. It may not be forwarded to other persons or published in Germany.</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offering does not constitute an offer to sell or the solicitation of an offer to buy our common units in any circumstances in which such offer or solicitation is unlawful.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Netherlands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common units may not be offered or sold, directly or indirectly, in the Netherlands, other than to qualified investors (</w:t>
      </w:r>
      <w:r>
        <w:rPr>
          <w:rFonts w:ascii="Arial" w:cs="Arial" w:eastAsia="Arial" w:hAnsi="Arial"/>
          <w:sz w:val="18"/>
          <w:szCs w:val="18"/>
          <w:i w:val="1"/>
          <w:iCs w:val="1"/>
          <w:color w:val="auto"/>
        </w:rPr>
        <w:t>gekwalificeerde beleggers</w:t>
      </w:r>
      <w:r>
        <w:rPr>
          <w:rFonts w:ascii="Arial" w:cs="Arial" w:eastAsia="Arial" w:hAnsi="Arial"/>
          <w:sz w:val="18"/>
          <w:szCs w:val="18"/>
          <w:color w:val="auto"/>
        </w:rPr>
        <w:t>) within the meaning of Article 1:1 of the Dutch Financial Supervision Act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validity of the common units offered in this prospectus supplement will be passed upon for us by Vinson &amp; Elkins L.L.P., Houston, Texas. Certain legal matters will be passed upon for the sales agents by Baker Botts L.L.P., Houston, Texas.</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2013, have been incorporated in reliance on the report of PricewaterhouseCoopers LLP, an independent registered public accounting firm, given on the authority of said firm as experts in auditing and accounting.</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w:t>
      </w:r>
    </w:p>
    <w:p>
      <w:pPr>
        <w:spacing w:after="0" w:line="18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2014 and June 30, 2014; and</w:t>
      </w:r>
    </w:p>
    <w:p>
      <w:pPr>
        <w:spacing w:after="0" w:line="211"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18, 2014 (documentation related to debt offering) and April 29, 2014 (documentation related to debt offering).</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sales agents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33"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15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94" w:lineRule="exact"/>
        <w:rPr>
          <w:sz w:val="20"/>
          <w:szCs w:val="20"/>
          <w:color w:val="auto"/>
        </w:rPr>
      </w:pPr>
    </w:p>
    <w:p>
      <w:pPr>
        <w:jc w:val="both"/>
        <w:ind w:right="3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units and the debt securities involves risks. Limited partnerships are inherently different from corporations. You should carefully consider the risk factors described under “</w:t>
      </w:r>
      <w:hyperlink w:anchor="page2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 before you make an investment in our securities.</w:t>
      </w:r>
    </w:p>
    <w:p>
      <w:pPr>
        <w:spacing w:after="0" w:line="14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23, 2012.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 of Earnings to Fixed Charges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16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 related to debt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Current Report on Form 8-K filed with the SEC on April 17, 2012 (announcement to withdraw offer to acquire SemGroup Corporation);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(713) 646-4100</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Two-for-One Unit Split</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On August 16, 2012, we announced a two-for-one split of our common units. The two-for-one split will be effected on October 1, 2012, by a distribution of one additional common unit for each common unit outstanding and held by unitholders of record at the close of business on September 17, 2012. The effect of the two-for-one split was to double the number of all outstanding units and to reduce by half the minimum quarterly per unit distribution and the targeted distribution levels. The effect of this unit split has been retroactively applied to our relevant per unit information as shown in the tables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unit data (giving effect to unit split):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Declared distributions per limited partner unit(1)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0.5125</w:t>
            </w:r>
          </w:p>
        </w:tc>
        <w:tc>
          <w:tcPr>
            <w:tcW w:w="1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0.4788</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0.5225</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$ 0.4850</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1.0350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$ 0.9638</w:t>
            </w:r>
          </w:p>
        </w:tc>
        <w:tc>
          <w:tcPr>
            <w:tcW w:w="100" w:type="dxa"/>
            <w:vAlign w:val="bottom"/>
          </w:tcPr>
          <w:p>
            <w:pPr>
              <w:spacing w:after="0"/>
              <w:rPr>
                <w:sz w:val="19"/>
                <w:szCs w:val="19"/>
                <w:color w:val="auto"/>
              </w:rPr>
            </w:pPr>
          </w:p>
        </w:tc>
      </w:tr>
      <w:tr>
        <w:trPr>
          <w:trHeight w:val="345"/>
        </w:trPr>
        <w:tc>
          <w:tcPr>
            <w:tcW w:w="6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2"/>
                <w:szCs w:val="12"/>
                <w:color w:val="auto"/>
              </w:rPr>
            </w:pPr>
          </w:p>
        </w:tc>
        <w:tc>
          <w:tcPr>
            <w:tcW w:w="760" w:type="dxa"/>
            <w:vAlign w:val="bottom"/>
            <w:gridSpan w:val="4"/>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unit data (giving effect to unit split):</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1.67</w:t>
            </w:r>
          </w:p>
        </w:tc>
        <w:tc>
          <w:tcPr>
            <w:tcW w:w="1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1.66</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Declared distributions per limited partner unit(1)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$1.9525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$1.8775</w:t>
            </w:r>
          </w:p>
        </w:tc>
        <w:tc>
          <w:tcPr>
            <w:tcW w:w="24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$1.8113</w:t>
            </w: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$1.7475</w:t>
            </w:r>
          </w:p>
        </w:tc>
        <w:tc>
          <w:tcPr>
            <w:tcW w:w="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1.6413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general partner is entitled, directly or indirectly, to receive 2% proportional distributions, and also incentive distributions if the amount we distribute with respect to any quarter exceeds levels specified in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 (1)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34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jc w:val="both"/>
        <w:ind w:left="900" w:right="3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 Events of Default and Remedies” below) may exist.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900" w:right="6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conditions, the holders of a majority in the aggregate principal amount of the debt securities of that series can rescind the declaration.</w:t>
      </w:r>
    </w:p>
    <w:p>
      <w:pPr>
        <w:spacing w:after="0" w:line="194"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900" w:right="8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194" w:lineRule="exact"/>
        <w:rPr>
          <w:sz w:val="20"/>
          <w:szCs w:val="20"/>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59"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37" w:lineRule="exact"/>
        <w:rPr>
          <w:rFonts w:ascii="Arial" w:cs="Arial" w:eastAsia="Arial" w:hAnsi="Arial"/>
          <w:sz w:val="16"/>
          <w:szCs w:val="16"/>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left="240" w:right="40" w:firstLine="220"/>
        <w:spacing w:after="0" w:line="268" w:lineRule="auto"/>
        <w:tabs>
          <w:tab w:leader="none" w:pos="7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900" w:right="3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we distribute for each unit an amount equal to the minimum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for that quarter;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900" w:right="5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85% to all unitholders, pro rata, and 15% to the general partner, until each unitholder receives a total of $0.495 for that quarter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unit (the “first target distribution”);</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75% to all unitholders, pro rata, and 25% to the general partner, until each unitholder receives a total of $0.675 for that quarter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unit (the “second target distribution”);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50% to all unitholders, pro rata, and 50% to the general partner.</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How Distributions from Capital Surplus Will Be Made</w:t>
      </w:r>
      <w:r>
        <w:rPr>
          <w:rFonts w:ascii="Arial" w:cs="Arial" w:eastAsia="Arial" w:hAnsi="Arial"/>
          <w:sz w:val="16"/>
          <w:szCs w:val="16"/>
          <w:color w:val="auto"/>
        </w:rPr>
        <w:t>. We will make distributions of available cash from capital surplus in the following manner:</w:t>
      </w:r>
    </w:p>
    <w:p>
      <w:pPr>
        <w:spacing w:after="0" w:line="113" w:lineRule="exact"/>
        <w:rPr>
          <w:sz w:val="20"/>
          <w:szCs w:val="20"/>
          <w:color w:val="auto"/>
        </w:rPr>
      </w:pPr>
    </w:p>
    <w:p>
      <w:pPr>
        <w:ind w:left="900" w:right="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all unitholders, pro rata, and 2% to the general partner, until we distribute, for each common unit issued in this offering, available cash</w:t>
      </w:r>
      <w:r>
        <w:rPr>
          <w:rFonts w:ascii="Arial" w:cs="Arial" w:eastAsia="Arial" w:hAnsi="Arial"/>
          <w:sz w:val="18"/>
          <w:szCs w:val="18"/>
          <w:i w:val="1"/>
          <w:iCs w:val="1"/>
          <w:color w:val="auto"/>
        </w:rPr>
        <w:t xml:space="preserve"> </w:t>
      </w:r>
      <w:r>
        <w:rPr>
          <w:rFonts w:ascii="Arial" w:cs="Arial" w:eastAsia="Arial" w:hAnsi="Arial"/>
          <w:sz w:val="18"/>
          <w:szCs w:val="18"/>
          <w:color w:val="auto"/>
        </w:rPr>
        <w:t>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we will make all distributions of available cash from capital surplus as if they were from operating surplus.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900" w:right="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If we dissolve and liquidate, we will sell our assets or otherwise dispose of our assets and we will adjust the partners’ capital account balances to</w:t>
      </w:r>
      <w:r>
        <w:rPr>
          <w:rFonts w:ascii="Arial" w:cs="Arial" w:eastAsia="Arial" w:hAnsi="Arial"/>
          <w:sz w:val="16"/>
          <w:szCs w:val="16"/>
          <w:i w:val="1"/>
          <w:iCs w:val="1"/>
          <w:color w:val="auto"/>
        </w:rPr>
        <w:t xml:space="preserve"> </w:t>
      </w:r>
      <w:r>
        <w:rPr>
          <w:rFonts w:ascii="Arial" w:cs="Arial" w:eastAsia="Arial" w:hAnsi="Arial"/>
          <w:sz w:val="16"/>
          <w:szCs w:val="16"/>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900" w:right="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98% to the holders of common units who have positive balances in their capital accounts in proportion to those positive balances and 2% to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Thereafter</w:t>
      </w:r>
      <w:r>
        <w:rPr>
          <w:rFonts w:ascii="Arial" w:cs="Arial" w:eastAsia="Arial" w:hAnsi="Arial"/>
          <w:sz w:val="18"/>
          <w:szCs w:val="18"/>
          <w:color w:val="auto"/>
        </w:rPr>
        <w:t>,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their percentage interests in us that existed immediately prior to the issuance. The holders of common units will not have preemptive rights to acquire additional common units or other partnership interests in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9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right="20" w:firstLine="8"/>
        <w:spacing w:after="0" w:line="261" w:lineRule="auto"/>
        <w:tabs>
          <w:tab w:leader="none" w:pos="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88"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90" w:lineRule="exact"/>
        <w:rPr>
          <w:sz w:val="20"/>
          <w:szCs w:val="20"/>
          <w:color w:val="auto"/>
        </w:rPr>
      </w:pPr>
    </w:p>
    <w:p>
      <w:pPr>
        <w:ind w:left="700" w:hanging="24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90" w:lineRule="exact"/>
        <w:rPr>
          <w:rFonts w:ascii="Arial" w:cs="Arial" w:eastAsia="Arial" w:hAnsi="Arial"/>
          <w:sz w:val="18"/>
          <w:szCs w:val="18"/>
          <w:color w:val="auto"/>
        </w:rPr>
      </w:pPr>
    </w:p>
    <w:p>
      <w:pPr>
        <w:ind w:left="240" w:right="80" w:firstLine="220"/>
        <w:spacing w:after="0" w:line="268" w:lineRule="auto"/>
        <w:tabs>
          <w:tab w:leader="none" w:pos="7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41" w:lineRule="exact"/>
        <w:rPr>
          <w:sz w:val="20"/>
          <w:szCs w:val="20"/>
          <w:color w:val="auto"/>
        </w:rPr>
      </w:pPr>
    </w:p>
    <w:p>
      <w:pPr>
        <w:ind w:left="3660"/>
        <w:spacing w:after="0"/>
        <w:rPr>
          <w:sz w:val="20"/>
          <w:szCs w:val="20"/>
          <w:color w:val="auto"/>
        </w:rPr>
      </w:pPr>
      <w:r>
        <w:rPr>
          <w:rFonts w:ascii="Arial" w:cs="Arial" w:eastAsia="Arial" w:hAnsi="Arial"/>
          <w:sz w:val="23"/>
          <w:szCs w:val="23"/>
          <w:b w:val="1"/>
          <w:bCs w:val="1"/>
          <w:color w:val="auto"/>
        </w:rPr>
        <w:t>Representing Limited Partner Interests</w:t>
      </w:r>
    </w:p>
    <w:p>
      <w:pPr>
        <w:spacing w:after="0" w:line="46" w:lineRule="exact"/>
        <w:rPr>
          <w:sz w:val="20"/>
          <w:szCs w:val="20"/>
          <w:color w:val="auto"/>
        </w:rPr>
      </w:pPr>
    </w:p>
    <w:p>
      <w:pPr>
        <w:jc w:val="right"/>
        <w:ind w:right="2179"/>
        <w:spacing w:after="0"/>
        <w:rPr>
          <w:sz w:val="20"/>
          <w:szCs w:val="20"/>
          <w:color w:val="auto"/>
        </w:rPr>
      </w:pPr>
      <w:r>
        <w:rPr>
          <w:rFonts w:ascii="Arial" w:cs="Arial" w:eastAsia="Arial" w:hAnsi="Arial"/>
          <w:sz w:val="24"/>
          <w:szCs w:val="24"/>
          <w:b w:val="1"/>
          <w:bCs w:val="1"/>
          <w:color w:val="auto"/>
        </w:rPr>
        <w:t>Having an Aggregate Offering Price of Up to</w:t>
      </w:r>
    </w:p>
    <w:p>
      <w:pPr>
        <w:spacing w:after="0" w:line="30"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785495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56515</wp:posOffset>
            </wp:positionV>
            <wp:extent cx="1697990" cy="548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August 22, 2014</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Citigroup</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Barclays</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BB&amp;T Capital Markets</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BMO Capital Markets</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 Morgan</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Jefferies</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BofA Merrill Lynch</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MUFG</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Mizuho Securities</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Morgan Stanley</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Raymond James</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RBC Capital Markets</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Baird</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Soctiabank / Howard Weil</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SOCIETE GENERALE</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SunTrust Robinson Humphrey</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Tudor, Pickering, Holt &amp; Co.</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UBS Investment Bank</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U.S. Capital Advisors</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emdash "/>
      <w:numFmt w:val="bullet"/>
      <w:start w:val="1"/>
    </w:lvl>
  </w:abstractNum>
  <w:abstractNum w:abstractNumId="1">
    <w:nsid w:val="75A2A8D4"/>
    <w:multiLevelType w:val="hybridMultilevel"/>
    <w:lvl w:ilvl="0">
      <w:lvlJc w:val="left"/>
      <w:lvlText w:val="\emdash "/>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lvl w:ilvl="1">
      <w:lvlJc w:val="left"/>
      <w:lvlText w:val="(%2)"/>
      <w:numFmt w:val="decimal"/>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2020-01-28T08:55:53Z</dcterms:created>
  <dcterms:modified xsi:type="dcterms:W3CDTF">2020-01-28T08:55:53Z</dcterms:modified>
</cp:coreProperties>
</file>