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5,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77" w:lineRule="exact"/>
        <w:rPr>
          <w:sz w:val="24"/>
          <w:szCs w:val="24"/>
          <w:color w:val="auto"/>
        </w:rPr>
      </w:pPr>
    </w:p>
    <w:p>
      <w:pPr>
        <w:sectPr>
          <w:pgSz w:w="11900" w:h="16838" w:orient="portrait"/>
          <w:cols w:equalWidth="0" w:num="3">
            <w:col w:w="4620" w:space="720"/>
            <w:col w:w="2620" w:space="720"/>
            <w:col w:w="2420"/>
          </w:cols>
          <w:pgMar w:left="320" w:top="144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20" w:space="720"/>
            <w:col w:w="2520" w:space="720"/>
            <w:col w:w="322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100"/>
          </w:cols>
          <w:pgMar w:left="320" w:top="1440" w:right="479" w:bottom="1440" w:gutter="0" w:footer="0" w:header="0"/>
          <w:type w:val="continuous"/>
        </w:sectPr>
      </w:pP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9"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Class A Shares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PAGP</w:t>
            </w: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224155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164465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On May 5, 2020, the Registrant issued a press release reporting its first-quarter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10060" w:type="dxa"/>
            <w:vAlign w:val="bottom"/>
          </w:tcPr>
          <w:p>
            <w:pPr>
              <w:spacing w:after="0"/>
              <w:rPr>
                <w:sz w:val="17"/>
                <w:szCs w:val="17"/>
                <w:color w:val="auto"/>
              </w:rPr>
            </w:pPr>
          </w:p>
        </w:tc>
      </w:tr>
      <w:tr>
        <w:trPr>
          <w:trHeight w:val="210"/>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10060" w:type="dxa"/>
            <w:vAlign w:val="bottom"/>
          </w:tcPr>
          <w:p>
            <w:pPr>
              <w:ind w:left="46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2"/>
                <w:szCs w:val="22"/>
                <w:color w:val="auto"/>
              </w:rPr>
            </w:pPr>
          </w:p>
        </w:tc>
        <w:tc>
          <w:tcPr>
            <w:tcW w:w="100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5, 2020</w:t>
              </w:r>
            </w:hyperlink>
          </w:p>
        </w:tc>
      </w:tr>
    </w:tbl>
    <w:p>
      <w:pPr>
        <w:spacing w:after="0" w:line="13" w:lineRule="exact"/>
        <w:rPr>
          <w:sz w:val="20"/>
          <w:szCs w:val="20"/>
          <w:color w:val="auto"/>
        </w:rPr>
      </w:pPr>
    </w:p>
    <w:p>
      <w:pPr>
        <w:ind w:left="1200" w:hanging="787"/>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8240" w:type="dxa"/>
            <w:vAlign w:val="bottom"/>
            <w:gridSpan w:val="3"/>
          </w:tcPr>
          <w:p>
            <w:pPr>
              <w:ind w:left="1600"/>
              <w:spacing w:after="0"/>
              <w:rPr>
                <w:sz w:val="20"/>
                <w:szCs w:val="20"/>
                <w:color w:val="auto"/>
              </w:rPr>
            </w:pPr>
            <w:r>
              <w:rPr>
                <w:rFonts w:ascii="Arial" w:cs="Arial" w:eastAsia="Arial" w:hAnsi="Arial"/>
                <w:sz w:val="18"/>
                <w:szCs w:val="18"/>
                <w:color w:val="auto"/>
              </w:rPr>
              <w:t>PLAINS GP HOLDINGS, L.P.</w:t>
            </w:r>
          </w:p>
        </w:tc>
      </w:tr>
      <w:tr>
        <w:trPr>
          <w:trHeight w:val="540"/>
        </w:trPr>
        <w:tc>
          <w:tcPr>
            <w:tcW w:w="2940" w:type="dxa"/>
            <w:vAlign w:val="bottom"/>
          </w:tcPr>
          <w:p>
            <w:pPr>
              <w:spacing w:after="0"/>
              <w:rPr>
                <w:sz w:val="24"/>
                <w:szCs w:val="24"/>
                <w:color w:val="auto"/>
              </w:rPr>
            </w:pPr>
          </w:p>
        </w:tc>
        <w:tc>
          <w:tcPr>
            <w:tcW w:w="2040" w:type="dxa"/>
            <w:vAlign w:val="bottom"/>
          </w:tcPr>
          <w:p>
            <w:pPr>
              <w:ind w:left="160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PAA GP Holdings LLC, its general partner</w:t>
            </w:r>
          </w:p>
        </w:tc>
      </w:tr>
      <w:tr>
        <w:trPr>
          <w:trHeight w:val="540"/>
        </w:trPr>
        <w:tc>
          <w:tcPr>
            <w:tcW w:w="2940" w:type="dxa"/>
            <w:vAlign w:val="bottom"/>
          </w:tcPr>
          <w:p>
            <w:pPr>
              <w:spacing w:after="0"/>
              <w:rPr>
                <w:sz w:val="20"/>
                <w:szCs w:val="20"/>
                <w:color w:val="auto"/>
              </w:rPr>
            </w:pPr>
            <w:r>
              <w:rPr>
                <w:rFonts w:ascii="Arial" w:cs="Arial" w:eastAsia="Arial" w:hAnsi="Arial"/>
                <w:sz w:val="18"/>
                <w:szCs w:val="18"/>
                <w:color w:val="auto"/>
              </w:rPr>
              <w:t>Date: May 5, 2020</w:t>
            </w:r>
          </w:p>
        </w:tc>
        <w:tc>
          <w:tcPr>
            <w:tcW w:w="2040" w:type="dxa"/>
            <w:vAlign w:val="bottom"/>
          </w:tcPr>
          <w:p>
            <w:pPr>
              <w:ind w:left="160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/s/ Richard McGee</w:t>
            </w:r>
          </w:p>
        </w:tc>
      </w:tr>
      <w:tr>
        <w:trPr>
          <w:trHeight w:val="27"/>
        </w:trPr>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6"/>
        </w:trPr>
        <w:tc>
          <w:tcPr>
            <w:tcW w:w="2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5540" w:type="dxa"/>
            <w:vAlign w:val="bottom"/>
          </w:tcPr>
          <w:p>
            <w:pPr>
              <w:ind w:left="160"/>
              <w:spacing w:after="0"/>
              <w:rPr>
                <w:sz w:val="20"/>
                <w:szCs w:val="20"/>
                <w:color w:val="auto"/>
              </w:rPr>
            </w:pPr>
            <w:r>
              <w:rPr>
                <w:rFonts w:ascii="Arial" w:cs="Arial" w:eastAsia="Arial" w:hAnsi="Arial"/>
                <w:sz w:val="18"/>
                <w:szCs w:val="18"/>
                <w:color w:val="auto"/>
              </w:rPr>
              <w:t>Richard McGee</w:t>
            </w:r>
          </w:p>
        </w:tc>
      </w:tr>
      <w:tr>
        <w:trPr>
          <w:trHeight w:val="270"/>
        </w:trPr>
        <w:tc>
          <w:tcPr>
            <w:tcW w:w="29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4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2020 Results; Update 2020 Guidance</w:t>
      </w:r>
    </w:p>
    <w:p>
      <w:pPr>
        <w:spacing w:after="0" w:line="256"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(Houston — May 5, 2020) Plains All American Pipeline, L.P. (NYSE: PAA) and Plains GP Holdings (NYSE: PAGP) today reported first-quarter 2020 results and furnished updated 2020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97" w:lineRule="exact"/>
        <w:rPr>
          <w:sz w:val="20"/>
          <w:szCs w:val="20"/>
          <w:color w:val="auto"/>
        </w:rPr>
      </w:pPr>
    </w:p>
    <w:p>
      <w:pPr>
        <w:ind w:left="660" w:right="30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Reported a net loss for the period of $2.8 billion including the impact of approximately $3.2 billion of non-cash goodwill and asset impairment charges as a result of the current environment</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Delivered first-quarter 2020 adjusted EBITDA of $795 million, which was ahead of expectations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Updated full-year 2020 guidance to reflect expected performance outlook during dynamic and uncertain market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Reiterated previously reduced 2020 / 2021 expansion capital program of $1.55 billion</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first-quarter adjusted operating results exceeded expectations. However, as the quarter progressed, the global response to the COVID-19</w:t>
      </w:r>
    </w:p>
    <w:p>
      <w:pPr>
        <w:spacing w:after="0" w:line="7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pandemic has led to an unprecedented energy supply and demand imbalance,” stated Willie Chiang, Chairman and CEO of Plains. “The North American energy supply chain has responded swiftly with significant reductions to refinery utilization, drilling and completion activity and shut-ins of existing production in multiple areas.”</w:t>
      </w:r>
    </w:p>
    <w:p>
      <w:pPr>
        <w:spacing w:after="0" w:line="211"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“In light of the challenging and uncertain environment, last month we announced a number of proactive steps to further strengthen our balance sheet and enhance our liquidity and long-term financial flexibility. These actions include significantly reducing our capital program and common distributions, progressing asset sales, and reducing costs across the supply chain, while remaining focused on operating safely and responsibly.”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000" w:type="dxa"/>
            <w:vAlign w:val="bottom"/>
          </w:tcPr>
          <w:p>
            <w:pPr>
              <w:spacing w:after="0"/>
              <w:rPr>
                <w:sz w:val="17"/>
                <w:szCs w:val="17"/>
                <w:color w:val="auto"/>
              </w:rPr>
            </w:pPr>
          </w:p>
        </w:tc>
      </w:tr>
      <w:tr>
        <w:trPr>
          <w:trHeight w:val="210"/>
        </w:trPr>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r>
      <w:tr>
        <w:trPr>
          <w:trHeight w:val="33"/>
        </w:trPr>
        <w:tc>
          <w:tcPr>
            <w:tcW w:w="81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7"/>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GAAP Results</w:t>
            </w:r>
          </w:p>
        </w:tc>
        <w:tc>
          <w:tcPr>
            <w:tcW w:w="180" w:type="dxa"/>
            <w:vAlign w:val="bottom"/>
          </w:tcPr>
          <w:p>
            <w:pPr>
              <w:spacing w:after="0"/>
              <w:rPr>
                <w:sz w:val="18"/>
                <w:szCs w:val="18"/>
                <w:color w:val="auto"/>
              </w:rPr>
            </w:pPr>
          </w:p>
        </w:tc>
        <w:tc>
          <w:tcPr>
            <w:tcW w:w="740" w:type="dxa"/>
            <w:vAlign w:val="bottom"/>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Change</w:t>
            </w:r>
          </w:p>
        </w:tc>
      </w:tr>
      <w:tr>
        <w:trPr>
          <w:trHeight w:val="33"/>
        </w:trPr>
        <w:tc>
          <w:tcPr>
            <w:tcW w:w="8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7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 xml:space="preserve">Diluted net income/(loss) per common unit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right="660" w:hanging="332"/>
        <w:spacing w:after="0" w:line="227"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Reported results for the three months ended March 31, 2020 includes aggregate non-cash goodwill and asset impairments totaling $3.2 billion, representing a net loss of $4.33 after tax per common unit.</w:t>
      </w:r>
    </w:p>
    <w:p>
      <w:pPr>
        <w:spacing w:after="0" w:line="94" w:lineRule="exact"/>
        <w:rPr>
          <w:rFonts w:ascii="Arial" w:cs="Arial" w:eastAsia="Arial" w:hAnsi="Arial"/>
          <w:sz w:val="23"/>
          <w:szCs w:val="23"/>
          <w:color w:val="auto"/>
          <w:vertAlign w:val="superscript"/>
        </w:rPr>
      </w:pPr>
    </w:p>
    <w:p>
      <w:pPr>
        <w:ind w:left="340" w:right="100" w:hanging="332"/>
        <w:spacing w:after="0" w:line="269"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2019, includes all potentially dilutive securities outstanding (our Series A preferred units and equity-indexed compensation awards) during the period. Our Series A preferred units and equity-indexed compensation awards were not dilutive for the three months ended March 31, 2020. See the “Computation of Basic and Diluted Net Income Per Common Unit” table attached hereto for additional information.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000" w:type="dxa"/>
            <w:vAlign w:val="bottom"/>
          </w:tcPr>
          <w:p>
            <w:pPr>
              <w:spacing w:after="0"/>
              <w:rPr>
                <w:sz w:val="17"/>
                <w:szCs w:val="17"/>
                <w:color w:val="auto"/>
              </w:rPr>
            </w:pPr>
          </w:p>
        </w:tc>
      </w:tr>
      <w:tr>
        <w:trPr>
          <w:trHeight w:val="210"/>
        </w:trPr>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r>
      <w:tr>
        <w:trPr>
          <w:trHeight w:val="33"/>
        </w:trPr>
        <w:tc>
          <w:tcPr>
            <w:tcW w:w="81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Change</w:t>
            </w: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right="200" w:hanging="332"/>
        <w:spacing w:after="0" w:line="238"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spacing w:after="0" w:line="39"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Adjusted EBITDA for the first quarter of 2020 and 2019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6"/>
          </w:tcPr>
          <w:p>
            <w:pPr>
              <w:jc w:val="center"/>
              <w:ind w:right="373"/>
              <w:spacing w:after="0"/>
              <w:rPr>
                <w:sz w:val="20"/>
                <w:szCs w:val="20"/>
                <w:color w:val="auto"/>
              </w:rPr>
            </w:pPr>
            <w:r>
              <w:rPr>
                <w:rFonts w:ascii="Arial" w:cs="Arial" w:eastAsia="Arial" w:hAnsi="Arial"/>
                <w:sz w:val="16"/>
                <w:szCs w:val="16"/>
                <w:b w:val="1"/>
                <w:bCs w:val="1"/>
                <w:color w:val="auto"/>
                <w:w w:val="93"/>
              </w:rPr>
              <w:t>Segment Adjusted EBITDA</w:t>
            </w:r>
          </w:p>
        </w:tc>
        <w:tc>
          <w:tcPr>
            <w:tcW w:w="9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6"/>
                <w:szCs w:val="16"/>
                <w:b w:val="1"/>
                <w:bCs w:val="1"/>
                <w:color w:val="auto"/>
                <w:w w:val="99"/>
              </w:rPr>
              <w:t>Transportation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Facilities</w:t>
            </w: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Supply and Logistics</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141</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399</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600" w:type="dxa"/>
            <w:vAlign w:val="bottom"/>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480"/>
              <w:spacing w:after="0"/>
              <w:rPr>
                <w:sz w:val="20"/>
                <w:szCs w:val="20"/>
                <w:color w:val="auto"/>
              </w:rPr>
            </w:pPr>
            <w:r>
              <w:rPr>
                <w:rFonts w:ascii="Arial" w:cs="Arial" w:eastAsia="Arial" w:hAnsi="Arial"/>
                <w:sz w:val="18"/>
                <w:szCs w:val="18"/>
                <w:color w:val="auto"/>
              </w:rPr>
              <w:t>278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9"/>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i w:val="1"/>
                <w:iCs w:val="1"/>
                <w:color w:val="auto"/>
                <w:w w:val="95"/>
              </w:rPr>
              <w:t>(49)%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First-quarter 2020 Transportation Segment Adjusted EBITDA increased by 11% over comparable 2019 results, primarily driven by higher volumes on our Permian Basin systems, including the Cactus II pipeline, which went into service in August 2019. These favorable results were partially offset by lower volumes on certain pipelines in our Central Region as a result of lower production, competition in the region, and refinery downtime on certain of our demand pull pipelines.</w:t>
      </w:r>
    </w:p>
    <w:p>
      <w:pPr>
        <w:spacing w:after="0" w:line="214"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First-quarter 2020 Facilities Segment Adjusted EBITDA increased by 14% over comparable 2019 results, primarily driven by the collection of a deficiency payment on a multi-year contract.</w:t>
      </w:r>
    </w:p>
    <w:p>
      <w:pPr>
        <w:spacing w:after="0" w:line="170"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First-quarter 2020 Supply and Logistics Segment Adjusted EBITDA decreased by 49% versus comparable 2019 results, primarily due to less favorable crude oil differentials and NGL margins.</w:t>
      </w:r>
    </w:p>
    <w:p>
      <w:pPr>
        <w:spacing w:after="0" w:line="19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In March 2020, we recorded approximately $3.2 billion of non-cash impairment charges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w:t>
      </w:r>
    </w:p>
    <w:p>
      <w:pPr>
        <w:spacing w:after="0" w:line="21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impairment charge of approximately $2.5 billion (represents the full balance of goodwill).</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Non-cash impairment charges of approximately $0.7 billion on certain pipeline and other assets included in our Transportation and Facilities segments, along with certain of our investments in unconsolidated entities.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These charges are excluded from the calculation of Adjusted EBITDA and are treated as selected items impacting comparability in the calculation of Adjusted Net Income.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Full-Year Guidance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our full-year 2020 financial and operating guidance: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w w:val="99"/>
              </w:rPr>
              <w:t>Twelve Months Ended December 31,</w:t>
            </w:r>
          </w:p>
        </w:tc>
        <w:tc>
          <w:tcPr>
            <w:tcW w:w="11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 (G)</w:t>
            </w:r>
          </w:p>
        </w:tc>
      </w:tr>
      <w:tr>
        <w:trPr>
          <w:trHeight w:val="33"/>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r>
      <w:tr>
        <w:trPr>
          <w:trHeight w:val="33"/>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8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1,508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1,520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680</w:t>
            </w:r>
          </w:p>
        </w:tc>
      </w:tr>
      <w:tr>
        <w:trPr>
          <w:trHeight w:val="263"/>
        </w:trPr>
        <w:tc>
          <w:tcPr>
            <w:tcW w:w="20" w:type="dxa"/>
            <w:vAlign w:val="bottom"/>
          </w:tcPr>
          <w:p>
            <w:pPr>
              <w:spacing w:after="0"/>
              <w:rPr>
                <w:sz w:val="22"/>
                <w:szCs w:val="22"/>
                <w:color w:val="auto"/>
              </w:rPr>
            </w:pPr>
          </w:p>
        </w:tc>
        <w:tc>
          <w:tcPr>
            <w:tcW w:w="4320" w:type="dxa"/>
            <w:vAlign w:val="bottom"/>
          </w:tcPr>
          <w:p>
            <w:pPr>
              <w:ind w:left="280"/>
              <w:spacing w:after="0"/>
              <w:rPr>
                <w:sz w:val="20"/>
                <w:szCs w:val="20"/>
                <w:color w:val="auto"/>
              </w:rPr>
            </w:pPr>
            <w:r>
              <w:rPr>
                <w:rFonts w:ascii="Arial" w:cs="Arial" w:eastAsia="Arial" w:hAnsi="Arial"/>
                <w:sz w:val="18"/>
                <w:szCs w:val="18"/>
                <w:b w:val="1"/>
                <w:bCs w:val="1"/>
                <w:color w:val="auto"/>
              </w:rPr>
              <w:t>Fee-Based</w:t>
            </w:r>
          </w:p>
        </w:tc>
        <w:tc>
          <w:tcPr>
            <w:tcW w:w="8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2,219</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2,427</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2,200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225</w:t>
            </w:r>
          </w:p>
        </w:tc>
      </w:tr>
      <w:tr>
        <w:trPr>
          <w:trHeight w:val="270"/>
        </w:trPr>
        <w:tc>
          <w:tcPr>
            <w:tcW w:w="20" w:type="dxa"/>
            <w:vAlign w:val="bottom"/>
          </w:tcPr>
          <w:p>
            <w:pPr>
              <w:spacing w:after="0"/>
              <w:rPr>
                <w:sz w:val="23"/>
                <w:szCs w:val="23"/>
                <w:color w:val="auto"/>
              </w:rPr>
            </w:pPr>
          </w:p>
        </w:tc>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Adjusted other income/(expense), net</w:t>
            </w:r>
          </w:p>
        </w:tc>
        <w:tc>
          <w:tcPr>
            <w:tcW w:w="8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2,684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3,237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2,425</w:t>
            </w: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tcPr>
          <w:p>
            <w:pPr>
              <w:ind w:left="160"/>
              <w:spacing w:after="0" w:line="244"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70"/>
        </w:trPr>
        <w:tc>
          <w:tcPr>
            <w:tcW w:w="20" w:type="dxa"/>
            <w:vAlign w:val="bottom"/>
          </w:tcPr>
          <w:p>
            <w:pPr>
              <w:spacing w:after="0"/>
              <w:rPr>
                <w:sz w:val="23"/>
                <w:szCs w:val="23"/>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1,948</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1,775</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64"/>
        </w:trPr>
        <w:tc>
          <w:tcPr>
            <w:tcW w:w="2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1,787</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1,575</w:t>
            </w: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8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2.16</w:t>
            </w:r>
          </w:p>
        </w:tc>
      </w:tr>
      <w:tr>
        <w:trPr>
          <w:trHeight w:val="270"/>
        </w:trPr>
        <w:tc>
          <w:tcPr>
            <w:tcW w:w="20" w:type="dxa"/>
            <w:vAlign w:val="bottom"/>
          </w:tcPr>
          <w:p>
            <w:pPr>
              <w:spacing w:after="0"/>
              <w:rPr>
                <w:sz w:val="23"/>
                <w:szCs w:val="23"/>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Implied DCF per Common Unit and Common Equivalent Unit </w:t>
            </w:r>
            <w:r>
              <w:rPr>
                <w:rFonts w:ascii="Arial" w:cs="Arial" w:eastAsia="Arial" w:hAnsi="Arial"/>
                <w:sz w:val="23"/>
                <w:szCs w:val="23"/>
                <w:b w:val="1"/>
                <w:bCs w:val="1"/>
                <w:color w:val="auto"/>
                <w:w w:val="95"/>
                <w:vertAlign w:val="superscript"/>
              </w:rPr>
              <w:t>(1)</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0.90</w:t>
            </w: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2.05x</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2.17x</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2.40x</w:t>
            </w: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8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5,889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6,600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0.63</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Average capacity (MMBbls/Mo)</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122</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0.46</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1,270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0.48</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8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1,100</w:t>
            </w: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Second-Quarter Adjusted EBITDA as Percentage of Full Year</w:t>
            </w: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37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2"/>
          </w:tcPr>
          <w:p>
            <w:pPr>
              <w:jc w:val="right"/>
              <w:ind w:right="1300"/>
              <w:spacing w:after="0"/>
              <w:rPr>
                <w:sz w:val="20"/>
                <w:szCs w:val="20"/>
                <w:color w:val="auto"/>
              </w:rPr>
            </w:pPr>
            <w:r>
              <w:rPr>
                <w:rFonts w:ascii="Arial" w:cs="Arial" w:eastAsia="Arial" w:hAnsi="Arial"/>
                <w:sz w:val="18"/>
                <w:szCs w:val="18"/>
                <w:color w:val="auto"/>
              </w:rPr>
              <w:t>- more -</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284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32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28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Houston, Texas 77002</w:t>
            </w:r>
          </w:p>
        </w:tc>
        <w:tc>
          <w:tcPr>
            <w:tcW w:w="28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r>
    </w:tbl>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459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(G) 2020 Guidance forecasts are intended to be + / - amounts.</w:t>
      </w:r>
    </w:p>
    <w:p>
      <w:pPr>
        <w:spacing w:after="0" w:line="117" w:lineRule="exact"/>
        <w:rPr>
          <w:sz w:val="20"/>
          <w:szCs w:val="20"/>
          <w:color w:val="auto"/>
        </w:rPr>
      </w:pPr>
    </w:p>
    <w:p>
      <w:pPr>
        <w:ind w:left="340" w:right="100" w:hanging="332"/>
        <w:spacing w:after="0" w:line="259"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jc w:val="both"/>
        <w:ind w:left="340" w:right="220" w:hanging="332"/>
        <w:spacing w:after="0" w:line="249"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87" w:lineRule="exact"/>
        <w:rPr>
          <w:rFonts w:ascii="Arial" w:cs="Arial" w:eastAsia="Arial" w:hAnsi="Arial"/>
          <w:sz w:val="22"/>
          <w:szCs w:val="22"/>
          <w:color w:val="auto"/>
          <w:vertAlign w:val="superscript"/>
        </w:rPr>
      </w:pPr>
    </w:p>
    <w:p>
      <w:pPr>
        <w:ind w:left="340" w:right="300" w:hanging="332"/>
        <w:spacing w:after="0" w:line="220"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2018 and 2019. 2020 (G) reflects the annualized distribution rate of $1.44 per common unit paid in February and the decreased annualized distribution rate of $0.72 per common unit for the remainder of the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Q1 2020</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Q4 2019</w:t>
            </w:r>
          </w:p>
        </w:tc>
        <w:tc>
          <w:tcPr>
            <w:tcW w:w="22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Q1 2019</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0.36</w:t>
            </w:r>
          </w:p>
        </w:tc>
      </w:tr>
      <w:tr>
        <w:trPr>
          <w:trHeight w:val="26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Q1 2020 distribution percentage change from prior periods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PAA and PAGP will hold a joint conference call at 4:30 p.m. CT on Tuesday, May 5, 2020 to discuss the following items:</w:t>
      </w:r>
    </w:p>
    <w:p>
      <w:pPr>
        <w:spacing w:after="0" w:line="252"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first-quarter 2020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access the internet webcast, please go to https://event.webcasts.com/starthere.jsp?ei=1297574&amp;tp_key=143f6a09a5.</w:t>
      </w:r>
    </w:p>
    <w:p>
      <w:pPr>
        <w:spacing w:after="0" w:line="252" w:lineRule="exact"/>
        <w:rPr>
          <w:sz w:val="20"/>
          <w:szCs w:val="20"/>
          <w:color w:val="auto"/>
        </w:rPr>
      </w:pPr>
    </w:p>
    <w:p>
      <w:pPr>
        <w:ind w:right="260" w:firstLine="350"/>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52" w:lineRule="exact"/>
        <w:rPr>
          <w:sz w:val="20"/>
          <w:szCs w:val="20"/>
          <w:color w:val="auto"/>
        </w:rPr>
      </w:pPr>
    </w:p>
    <w:p>
      <w:pPr>
        <w:ind w:right="120" w:firstLine="357"/>
        <w:spacing w:after="0" w:line="296"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and Implied distributable cash flow (“DCF”).</w:t>
      </w:r>
    </w:p>
    <w:p>
      <w:pPr>
        <w:spacing w:after="0" w:line="188"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5" w:lineRule="exact"/>
        <w:rPr>
          <w:sz w:val="20"/>
          <w:szCs w:val="20"/>
          <w:color w:val="auto"/>
        </w:rPr>
      </w:pPr>
    </w:p>
    <w:p>
      <w:pPr>
        <w:ind w:firstLine="350"/>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15"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93" w:lineRule="exact"/>
        <w:rPr>
          <w:sz w:val="20"/>
          <w:szCs w:val="20"/>
          <w:color w:val="auto"/>
        </w:rPr>
      </w:pPr>
    </w:p>
    <w:p>
      <w:pPr>
        <w:ind w:left="660" w:hanging="328"/>
        <w:spacing w:after="0" w:line="261"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 continuation of a swift and material decline in global crude oil demand and crude oil prices for an uncertain period of time that correspondingly may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19" w:lineRule="exact"/>
        <w:rPr>
          <w:rFonts w:ascii="Arial" w:cs="Arial" w:eastAsia="Arial" w:hAnsi="Arial"/>
          <w:sz w:val="21"/>
          <w:szCs w:val="21"/>
          <w:color w:val="auto"/>
        </w:rPr>
      </w:pPr>
    </w:p>
    <w:p>
      <w:pPr>
        <w:jc w:val="both"/>
        <w:ind w:left="660" w:right="180" w:hanging="328"/>
        <w:spacing w:after="0" w:line="241"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rebounds once such restrictions are lifted; such restrictions are designed to protect public health but also have the effect of significantly reducing demand for crude oil;</w:t>
      </w:r>
    </w:p>
    <w:p>
      <w:pPr>
        <w:spacing w:after="0" w:line="134"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35" w:lineRule="exact"/>
        <w:rPr>
          <w:rFonts w:ascii="Arial" w:cs="Arial" w:eastAsia="Arial" w:hAnsi="Arial"/>
          <w:sz w:val="22"/>
          <w:szCs w:val="22"/>
          <w:color w:val="auto"/>
        </w:rPr>
      </w:pPr>
    </w:p>
    <w:p>
      <w:pPr>
        <w:ind w:left="660" w:right="400" w:hanging="328"/>
        <w:spacing w:after="0" w:line="297"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82" w:lineRule="exact"/>
        <w:rPr>
          <w:rFonts w:ascii="Arial" w:cs="Arial" w:eastAsia="Arial" w:hAnsi="Arial"/>
          <w:sz w:val="19"/>
          <w:szCs w:val="19"/>
          <w:color w:val="auto"/>
        </w:rPr>
      </w:pPr>
    </w:p>
    <w:p>
      <w:pPr>
        <w:ind w:left="660" w:right="120" w:hanging="328"/>
        <w:spacing w:after="0" w:line="23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support a resumption of drilling and production activities in the United States;</w:t>
      </w:r>
    </w:p>
    <w:p>
      <w:pPr>
        <w:spacing w:after="0" w:line="135"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80" w:hanging="328"/>
        <w:spacing w:after="0" w:line="297"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68" w:lineRule="exact"/>
        <w:rPr>
          <w:rFonts w:ascii="Arial" w:cs="Arial" w:eastAsia="Arial" w:hAnsi="Arial"/>
          <w:sz w:val="19"/>
          <w:szCs w:val="19"/>
          <w:color w:val="auto"/>
        </w:rPr>
      </w:pPr>
    </w:p>
    <w:p>
      <w:pPr>
        <w:ind w:left="660" w:right="300" w:hanging="328"/>
        <w:spacing w:after="0" w:line="21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operational difficulties due to physical distancing restrictions and the additional demands such restrictions may place on our employees, which may in turn make it more challenging to retain or recruit talented labor;</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disruptions to futures markets for petroleum products, which may impair our ability to execute our hedging strategies;</w:t>
      </w:r>
    </w:p>
    <w:p>
      <w:pPr>
        <w:spacing w:after="0" w:line="255"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49" w:lineRule="exact"/>
        <w:rPr>
          <w:rFonts w:ascii="Arial" w:cs="Arial" w:eastAsia="Arial" w:hAnsi="Arial"/>
          <w:sz w:val="22"/>
          <w:szCs w:val="22"/>
          <w:color w:val="auto"/>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8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inability to complete forecasted asset sale transactions due to governmental action, litigation, counterparty non-performance or other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effects of competition, including the effects of capacity overbuild in areas where we operate;</w:t>
      </w:r>
    </w:p>
    <w:p>
      <w:pPr>
        <w:spacing w:after="0" w:line="134" w:lineRule="exact"/>
        <w:rPr>
          <w:rFonts w:ascii="Arial" w:cs="Arial" w:eastAsia="Arial" w:hAnsi="Arial"/>
          <w:sz w:val="22"/>
          <w:szCs w:val="22"/>
          <w:color w:val="auto"/>
        </w:rPr>
      </w:pPr>
    </w:p>
    <w:p>
      <w:pPr>
        <w:ind w:left="660" w:right="8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35" w:lineRule="exact"/>
        <w:rPr>
          <w:rFonts w:ascii="Arial" w:cs="Arial" w:eastAsia="Arial" w:hAnsi="Arial"/>
          <w:sz w:val="22"/>
          <w:szCs w:val="22"/>
          <w:color w:val="auto"/>
        </w:rPr>
      </w:pPr>
    </w:p>
    <w:p>
      <w:pPr>
        <w:ind w:left="660" w:right="62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23" w:lineRule="exact"/>
        <w:rPr>
          <w:rFonts w:ascii="Arial" w:cs="Arial" w:eastAsia="Arial" w:hAnsi="Arial"/>
          <w:sz w:val="21"/>
          <w:szCs w:val="21"/>
          <w:color w:val="auto"/>
        </w:rPr>
      </w:pPr>
    </w:p>
    <w:p>
      <w:pPr>
        <w:ind w:left="660" w:right="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600" w:hanging="328"/>
        <w:spacing w:after="0" w:line="271"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01" w:lineRule="exact"/>
        <w:rPr>
          <w:rFonts w:ascii="Arial" w:cs="Arial" w:eastAsia="Arial" w:hAnsi="Arial"/>
          <w:sz w:val="22"/>
          <w:szCs w:val="22"/>
          <w:color w:val="auto"/>
        </w:rPr>
      </w:pPr>
    </w:p>
    <w:p>
      <w:pPr>
        <w:ind w:left="660" w:right="340" w:hanging="328"/>
        <w:spacing w:after="0" w:line="297"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currency exchange rate of the Canadian dollar;</w:t>
      </w:r>
    </w:p>
    <w:p>
      <w:pPr>
        <w:spacing w:after="0" w:line="134"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35"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non-utilization of our assets and facilities;</w:t>
      </w:r>
    </w:p>
    <w:p>
      <w:pPr>
        <w:spacing w:after="0" w:line="147" w:lineRule="exact"/>
        <w:rPr>
          <w:rFonts w:ascii="Arial" w:cs="Arial" w:eastAsia="Arial" w:hAnsi="Arial"/>
          <w:sz w:val="22"/>
          <w:szCs w:val="22"/>
          <w:color w:val="auto"/>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including our ability to satisfy our contractual obligations to our customers; and</w:t>
      </w:r>
    </w:p>
    <w:p>
      <w:pPr>
        <w:spacing w:after="0" w:line="134" w:lineRule="exact"/>
        <w:rPr>
          <w:rFonts w:ascii="Arial" w:cs="Arial" w:eastAsia="Arial" w:hAnsi="Arial"/>
          <w:sz w:val="21"/>
          <w:szCs w:val="21"/>
          <w:color w:val="auto"/>
        </w:rPr>
      </w:pPr>
    </w:p>
    <w:p>
      <w:pPr>
        <w:ind w:left="660" w:right="180" w:hanging="328"/>
        <w:spacing w:after="0" w:line="238"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7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49"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7,661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INCOME/(LOSS)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Deferred income tax (expense)/benefit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2280" w:type="dxa"/>
            <w:vAlign w:val="bottom"/>
          </w:tcPr>
          <w:p>
            <w:pPr>
              <w:spacing w:after="0"/>
              <w:rPr>
                <w:sz w:val="22"/>
                <w:szCs w:val="22"/>
                <w:color w:val="auto"/>
              </w:rPr>
            </w:pP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income/(loss) allocated to common unitholders — Basic</w:t>
            </w:r>
          </w:p>
        </w:tc>
        <w:tc>
          <w:tcPr>
            <w:tcW w:w="2280" w:type="dxa"/>
            <w:vAlign w:val="bottom"/>
            <w:shd w:val="clear" w:color="auto" w:fill="CCEEFF"/>
          </w:tcPr>
          <w:p>
            <w:pPr>
              <w:spacing w:after="0"/>
              <w:rPr>
                <w:sz w:val="23"/>
                <w:szCs w:val="23"/>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2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net income/(loss) per common unit</w:t>
            </w:r>
          </w:p>
        </w:tc>
        <w:tc>
          <w:tcPr>
            <w:tcW w:w="228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2280" w:type="dxa"/>
            <w:vAlign w:val="bottom"/>
            <w:shd w:val="clear" w:color="auto" w:fill="CCEEFF"/>
          </w:tcPr>
          <w:p>
            <w:pPr>
              <w:spacing w:after="0"/>
              <w:rPr>
                <w:sz w:val="23"/>
                <w:szCs w:val="23"/>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2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net income/(loss) per common unit</w:t>
            </w:r>
          </w:p>
        </w:tc>
        <w:tc>
          <w:tcPr>
            <w:tcW w:w="228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2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28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28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0.69</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8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center"/>
              <w:ind w:right="370"/>
              <w:spacing w:after="0"/>
              <w:rPr>
                <w:sz w:val="20"/>
                <w:szCs w:val="20"/>
                <w:color w:val="auto"/>
              </w:rPr>
            </w:pPr>
            <w:r>
              <w:rPr>
                <w:rFonts w:ascii="Arial" w:cs="Arial" w:eastAsia="Arial" w:hAnsi="Arial"/>
                <w:sz w:val="18"/>
                <w:szCs w:val="18"/>
                <w:color w:val="auto"/>
                <w:w w:val="91"/>
              </w:rPr>
              <w:t>- more -</w:t>
            </w: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2280" w:type="dxa"/>
            <w:vAlign w:val="bottom"/>
          </w:tcPr>
          <w:p>
            <w:pPr>
              <w:jc w:val="center"/>
              <w:ind w:right="350"/>
              <w:spacing w:after="0"/>
              <w:rPr>
                <w:sz w:val="20"/>
                <w:szCs w:val="20"/>
                <w:color w:val="auto"/>
              </w:rPr>
            </w:pPr>
            <w:r>
              <w:rPr>
                <w:rFonts w:ascii="Arial" w:cs="Arial" w:eastAsia="Arial" w:hAnsi="Arial"/>
                <w:sz w:val="18"/>
                <w:szCs w:val="18"/>
                <w:b w:val="1"/>
                <w:bCs w:val="1"/>
                <w:color w:val="auto"/>
                <w:w w:val="88"/>
              </w:rPr>
              <w:t>Houston, Texas 77002</w:t>
            </w:r>
          </w:p>
        </w:tc>
        <w:tc>
          <w:tcPr>
            <w:tcW w:w="298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9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15,355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6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Senior notes, net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4"/>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8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9,418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9,781</w:t>
            </w:r>
          </w:p>
        </w:tc>
        <w:tc>
          <w:tcPr>
            <w:tcW w:w="8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9,418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9,722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19,140</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22,382</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19,503</w:t>
            </w:r>
          </w:p>
        </w:tc>
        <w:tc>
          <w:tcPr>
            <w:tcW w:w="80" w:type="dxa"/>
            <w:vAlign w:val="bottom"/>
          </w:tcPr>
          <w:p>
            <w:pPr>
              <w:spacing w:after="0"/>
              <w:rPr>
                <w:sz w:val="21"/>
                <w:szCs w:val="21"/>
                <w:color w:val="auto"/>
              </w:rPr>
            </w:pP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2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color w:val="auto"/>
                <w:w w:val="91"/>
              </w:rPr>
              <w:t>- more -</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32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713-646-4100 / 866-809-1291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48"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p>
      <w:pPr>
        <w:jc w:val="both"/>
        <w:ind w:left="9220"/>
        <w:spacing w:after="0"/>
        <w:tabs>
          <w:tab w:leader="none" w:pos="104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Net Income/(Loss) per Common Unit</w:t>
      </w:r>
    </w:p>
    <w:p>
      <w:pPr>
        <w:sectPr>
          <w:pgSz w:w="11900" w:h="16838" w:orient="portrait"/>
          <w:cols w:equalWidth="0" w:num="1">
            <w:col w:w="11240"/>
          </w:cols>
          <w:pgMar w:left="320" w:top="368"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A preferred unitholders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income/(loss)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 average common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(2,847)</w:t>
        <w:tab/>
        <w:t>$</w:t>
      </w:r>
      <w:r>
        <w:rPr>
          <w:sz w:val="20"/>
          <w:szCs w:val="20"/>
          <w:color w:val="auto"/>
        </w:rPr>
        <w:tab/>
      </w:r>
      <w:r>
        <w:rPr>
          <w:rFonts w:ascii="Arial" w:cs="Arial" w:eastAsia="Arial" w:hAnsi="Arial"/>
          <w:sz w:val="15"/>
          <w:szCs w:val="15"/>
          <w:color w:val="auto"/>
        </w:rPr>
        <w:t>970</w:t>
      </w:r>
    </w:p>
    <w:p>
      <w:pPr>
        <w:spacing w:after="0" w:line="63" w:lineRule="exact"/>
        <w:rPr>
          <w:sz w:val="20"/>
          <w:szCs w:val="20"/>
          <w:color w:val="auto"/>
        </w:rPr>
      </w:pPr>
    </w:p>
    <w:p>
      <w:pPr>
        <w:ind w:left="2020" w:hanging="1277"/>
        <w:spacing w:after="0"/>
        <w:tabs>
          <w:tab w:leader="none" w:pos="2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(37)</w:t>
      </w:r>
    </w:p>
    <w:p>
      <w:pPr>
        <w:spacing w:after="0" w:line="86" w:lineRule="exact"/>
        <w:rPr>
          <w:sz w:val="20"/>
          <w:szCs w:val="20"/>
          <w:color w:val="auto"/>
        </w:rPr>
      </w:pPr>
    </w:p>
    <w:p>
      <w:pPr>
        <w:ind w:left="2020" w:hanging="1277"/>
        <w:spacing w:after="0"/>
        <w:tabs>
          <w:tab w:leader="none" w:pos="2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(12)</w:t>
      </w:r>
    </w:p>
    <w:p>
      <w:pPr>
        <w:spacing w:after="0" w:line="86" w:lineRule="exact"/>
        <w:rPr>
          <w:rFonts w:ascii="Arial" w:cs="Arial" w:eastAsia="Arial" w:hAnsi="Arial"/>
          <w:sz w:val="16"/>
          <w:szCs w:val="16"/>
          <w:color w:val="auto"/>
        </w:rPr>
      </w:pPr>
    </w:p>
    <w:p>
      <w:pPr>
        <w:ind w:left="2100" w:hanging="1267"/>
        <w:spacing w:after="0"/>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5430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7"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(2,897)</w:t>
        <w:tab/>
        <w:t>$</w:t>
      </w:r>
      <w:r>
        <w:rPr>
          <w:sz w:val="20"/>
          <w:szCs w:val="20"/>
          <w:color w:val="auto"/>
        </w:rPr>
        <w:tab/>
      </w:r>
      <w:r>
        <w:rPr>
          <w:rFonts w:ascii="Arial" w:cs="Arial" w:eastAsia="Arial" w:hAnsi="Arial"/>
          <w:sz w:val="15"/>
          <w:szCs w:val="15"/>
          <w:color w:val="auto"/>
        </w:rPr>
        <w:t>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5430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6" w:lineRule="exact"/>
        <w:rPr>
          <w:sz w:val="20"/>
          <w:szCs w:val="20"/>
          <w:color w:val="auto"/>
        </w:rPr>
      </w:pPr>
    </w:p>
    <w:p>
      <w:pPr>
        <w:ind w:left="720"/>
        <w:spacing w:after="0"/>
        <w:tabs>
          <w:tab w:leader="none" w:pos="198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8"/>
          <w:szCs w:val="18"/>
          <w:color w:val="auto"/>
        </w:rPr>
        <w:t>727</w:t>
      </w:r>
    </w:p>
    <w:p>
      <w:pPr>
        <w:spacing w:after="0" w:line="200" w:lineRule="exact"/>
        <w:rPr>
          <w:sz w:val="20"/>
          <w:szCs w:val="20"/>
          <w:color w:val="auto"/>
        </w:rPr>
      </w:pPr>
    </w:p>
    <w:p>
      <w:pPr>
        <w:sectPr>
          <w:pgSz w:w="11900" w:h="16838" w:orient="portrait"/>
          <w:cols w:equalWidth="0" w:num="2">
            <w:col w:w="8100" w:space="720"/>
            <w:col w:w="2420"/>
          </w:cols>
          <w:pgMar w:left="320" w:top="368" w:right="339" w:bottom="1440" w:gutter="0" w:footer="0" w:header="0"/>
          <w:type w:val="continuous"/>
        </w:sectPr>
      </w:pPr>
    </w:p>
    <w:p>
      <w:pPr>
        <w:spacing w:after="0" w:line="79" w:lineRule="exact"/>
        <w:rPr>
          <w:sz w:val="20"/>
          <w:szCs w:val="20"/>
          <w:color w:val="auto"/>
        </w:rPr>
      </w:pPr>
    </w:p>
    <w:p>
      <w:pPr>
        <w:ind w:left="20"/>
        <w:spacing w:after="0"/>
        <w:tabs>
          <w:tab w:leader="none" w:pos="8800" w:val="left"/>
          <w:tab w:leader="none" w:pos="9400" w:val="left"/>
          <w:tab w:leader="none" w:pos="10080" w:val="left"/>
          <w:tab w:leader="none" w:pos="10760" w:val="left"/>
        </w:tabs>
        <w:rPr>
          <w:sz w:val="20"/>
          <w:szCs w:val="20"/>
          <w:color w:val="auto"/>
        </w:rPr>
      </w:pPr>
      <w:r>
        <w:rPr>
          <w:rFonts w:ascii="Arial" w:cs="Arial" w:eastAsia="Arial" w:hAnsi="Arial"/>
          <w:sz w:val="18"/>
          <w:szCs w:val="18"/>
          <w:color w:val="auto"/>
        </w:rPr>
        <w:t>Basic net income/(loss) per common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(3.98)</w:t>
        <w:tab/>
        <w:t>$</w:t>
      </w:r>
      <w:r>
        <w:rPr>
          <w:sz w:val="20"/>
          <w:szCs w:val="20"/>
          <w:color w:val="auto"/>
        </w:rPr>
        <w:tab/>
      </w: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Diluted Net Income/(Loss)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B preferred unitholders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income/(loss)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 average common units outstanding</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(2,847)</w:t>
        <w:tab/>
        <w:t>$</w:t>
      </w:r>
      <w:r>
        <w:rPr>
          <w:sz w:val="20"/>
          <w:szCs w:val="20"/>
          <w:color w:val="auto"/>
        </w:rPr>
        <w:tab/>
      </w:r>
      <w:r>
        <w:rPr>
          <w:rFonts w:ascii="Arial" w:cs="Arial" w:eastAsia="Arial" w:hAnsi="Arial"/>
          <w:sz w:val="15"/>
          <w:szCs w:val="15"/>
          <w:color w:val="auto"/>
        </w:rPr>
        <w:t>970</w:t>
      </w:r>
    </w:p>
    <w:p>
      <w:pPr>
        <w:spacing w:after="0" w:line="63" w:lineRule="exact"/>
        <w:rPr>
          <w:sz w:val="20"/>
          <w:szCs w:val="20"/>
          <w:color w:val="auto"/>
        </w:rPr>
      </w:pPr>
    </w:p>
    <w:p>
      <w:pPr>
        <w:ind w:left="2080" w:hanging="1337"/>
        <w:spacing w:after="0"/>
        <w:tabs>
          <w:tab w:leader="none" w:pos="2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ind w:left="2020" w:hanging="1277"/>
        <w:spacing w:after="0"/>
        <w:tabs>
          <w:tab w:leader="none" w:pos="2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(12)</w:t>
      </w:r>
    </w:p>
    <w:p>
      <w:pPr>
        <w:spacing w:after="0" w:line="86" w:lineRule="exact"/>
        <w:rPr>
          <w:rFonts w:ascii="Arial" w:cs="Arial" w:eastAsia="Arial" w:hAnsi="Arial"/>
          <w:sz w:val="16"/>
          <w:szCs w:val="16"/>
          <w:color w:val="auto"/>
        </w:rPr>
      </w:pPr>
    </w:p>
    <w:p>
      <w:pPr>
        <w:ind w:left="2100" w:hanging="1267"/>
        <w:spacing w:after="0"/>
        <w:tabs>
          <w:tab w:leader="none" w:pos="2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w:t>
      </w:r>
    </w:p>
    <w:p>
      <w:pPr>
        <w:spacing w:after="0" w:line="77"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(2,897)</w:t>
        <w:tab/>
        <w:t>$</w:t>
      </w:r>
      <w:r>
        <w:rPr>
          <w:sz w:val="20"/>
          <w:szCs w:val="20"/>
          <w:color w:val="auto"/>
        </w:rPr>
        <w:tab/>
      </w:r>
      <w:r>
        <w:rPr>
          <w:rFonts w:ascii="Arial" w:cs="Arial" w:eastAsia="Arial" w:hAnsi="Arial"/>
          <w:sz w:val="15"/>
          <w:szCs w:val="15"/>
          <w:color w:val="auto"/>
        </w:rPr>
        <w:t>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1543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6" w:lineRule="exact"/>
        <w:rPr>
          <w:sz w:val="20"/>
          <w:szCs w:val="20"/>
          <w:color w:val="auto"/>
        </w:rPr>
      </w:pPr>
    </w:p>
    <w:p>
      <w:pPr>
        <w:ind w:left="720"/>
        <w:spacing w:after="0"/>
        <w:tabs>
          <w:tab w:leader="none" w:pos="198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8"/>
          <w:szCs w:val="18"/>
          <w:color w:val="auto"/>
        </w:rPr>
        <w:t>727</w:t>
      </w:r>
    </w:p>
    <w:p>
      <w:pPr>
        <w:spacing w:after="0" w:line="320" w:lineRule="exact"/>
        <w:rPr>
          <w:sz w:val="20"/>
          <w:szCs w:val="20"/>
          <w:color w:val="auto"/>
        </w:rPr>
      </w:pPr>
    </w:p>
    <w:p>
      <w:pPr>
        <w:sectPr>
          <w:pgSz w:w="11900" w:h="16838" w:orient="portrait"/>
          <w:cols w:equalWidth="0" w:num="2">
            <w:col w:w="8100" w:space="720"/>
            <w:col w:w="24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3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88"/>
        </w:trPr>
        <w:tc>
          <w:tcPr>
            <w:tcW w:w="8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5"/>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0" w:right="60" w:hanging="332"/>
        <w:spacing w:after="0" w:line="226" w:lineRule="auto"/>
        <w:tabs>
          <w:tab w:leader="none" w:pos="3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140" w:hanging="332"/>
        <w:spacing w:after="0" w:line="229"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and the impact of equity-indexed compensation plan awards was excluded from the calculation of diluted net income/(loss) per common unit for the three months ended March 31, 2020 as the effect was antidilutive.</w:t>
      </w:r>
    </w:p>
    <w:p>
      <w:pPr>
        <w:spacing w:after="0" w:line="31" w:lineRule="exact"/>
        <w:rPr>
          <w:rFonts w:ascii="Arial" w:cs="Arial" w:eastAsia="Arial" w:hAnsi="Arial"/>
          <w:sz w:val="22"/>
          <w:szCs w:val="22"/>
          <w:color w:val="auto"/>
          <w:vertAlign w:val="superscript"/>
        </w:rPr>
      </w:pPr>
    </w:p>
    <w:p>
      <w:pPr>
        <w:ind w:left="340" w:right="20" w:hanging="332"/>
        <w:spacing w:after="0"/>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Such LTIP awards were excluded from the calculation of diluted net loss per common unit for the three months ended March 31, 2020 as the effect was antidilutive.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3" w:lineRule="exact"/>
        <w:rPr>
          <w:sz w:val="20"/>
          <w:szCs w:val="20"/>
          <w:color w:val="auto"/>
        </w:rPr>
      </w:pPr>
    </w:p>
    <w:p>
      <w:pPr>
        <w:jc w:val="center"/>
        <w:ind w:left="89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33020</wp:posOffset>
            </wp:positionV>
            <wp:extent cx="1423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2019</w:t>
            </w:r>
          </w:p>
        </w:tc>
      </w:tr>
      <w:tr>
        <w:trPr>
          <w:trHeight w:val="33"/>
        </w:trPr>
        <w:tc>
          <w:tcPr>
            <w:tcW w:w="9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9000" w:type="dxa"/>
            <w:vAlign w:val="bottom"/>
            <w:shd w:val="clear" w:color="auto" w:fill="CCEEFF"/>
          </w:tcPr>
          <w:p>
            <w:pPr>
              <w:ind w:left="20"/>
              <w:spacing w:after="0" w:line="195"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57"/>
        </w:trPr>
        <w:tc>
          <w:tcPr>
            <w:tcW w:w="9000" w:type="dxa"/>
            <w:vAlign w:val="bottom"/>
          </w:tcPr>
          <w:p>
            <w:pPr>
              <w:ind w:left="20"/>
              <w:spacing w:after="0"/>
              <w:rPr>
                <w:sz w:val="20"/>
                <w:szCs w:val="20"/>
                <w:color w:val="auto"/>
              </w:rPr>
            </w:pPr>
            <w:r>
              <w:rPr>
                <w:rFonts w:ascii="Arial" w:cs="Arial" w:eastAsia="Arial" w:hAnsi="Arial"/>
                <w:sz w:val="17"/>
                <w:szCs w:val="17"/>
                <w:color w:val="auto"/>
              </w:rPr>
              <w:t xml:space="preserve">Gains/(losses) from derivative activities, net of inventory valuation adjustments </w:t>
            </w:r>
            <w:r>
              <w:rPr>
                <w:rFonts w:ascii="Arial" w:cs="Arial" w:eastAsia="Arial" w:hAnsi="Arial"/>
                <w:sz w:val="22"/>
                <w:szCs w:val="22"/>
                <w:color w:val="auto"/>
                <w:vertAlign w:val="superscript"/>
              </w:rPr>
              <w:t>(2)</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97</w:t>
            </w:r>
          </w:p>
        </w:tc>
      </w:tr>
      <w:tr>
        <w:trPr>
          <w:trHeight w:val="257"/>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21</w:t>
            </w:r>
          </w:p>
        </w:tc>
      </w:tr>
      <w:tr>
        <w:trPr>
          <w:trHeight w:val="256"/>
        </w:trPr>
        <w:tc>
          <w:tcPr>
            <w:tcW w:w="9000" w:type="dxa"/>
            <w:vAlign w:val="bottom"/>
          </w:tcPr>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40" w:type="dxa"/>
            <w:vAlign w:val="bottom"/>
          </w:tcPr>
          <w:p>
            <w:pPr>
              <w:spacing w:after="0"/>
              <w:rPr>
                <w:sz w:val="22"/>
                <w:szCs w:val="22"/>
                <w:color w:val="auto"/>
              </w:rPr>
            </w:pPr>
          </w:p>
        </w:tc>
        <w:tc>
          <w:tcPr>
            <w:tcW w:w="82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7</w:t>
            </w:r>
          </w:p>
        </w:tc>
      </w:tr>
      <w:tr>
        <w:trPr>
          <w:trHeight w:val="257"/>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w:t>
            </w:r>
          </w:p>
        </w:tc>
      </w:tr>
      <w:tr>
        <w:trPr>
          <w:trHeight w:val="257"/>
        </w:trPr>
        <w:tc>
          <w:tcPr>
            <w:tcW w:w="9000" w:type="dxa"/>
            <w:vAlign w:val="bottom"/>
          </w:tcPr>
          <w:p>
            <w:pPr>
              <w:ind w:left="20"/>
              <w:spacing w:after="0"/>
              <w:rPr>
                <w:sz w:val="20"/>
                <w:szCs w:val="20"/>
                <w:color w:val="auto"/>
              </w:rPr>
            </w:pPr>
            <w:r>
              <w:rPr>
                <w:rFonts w:ascii="Arial" w:cs="Arial" w:eastAsia="Arial" w:hAnsi="Arial"/>
                <w:sz w:val="17"/>
                <w:szCs w:val="17"/>
                <w:color w:val="auto"/>
              </w:rPr>
              <w:t xml:space="preserve">Net loss on foreign currency revaluation </w:t>
            </w:r>
            <w:r>
              <w:rPr>
                <w:rFonts w:ascii="Arial" w:cs="Arial" w:eastAsia="Arial" w:hAnsi="Arial"/>
                <w:sz w:val="22"/>
                <w:szCs w:val="22"/>
                <w:color w:val="auto"/>
                <w:vertAlign w:val="superscript"/>
              </w:rPr>
              <w:t>(6)</w:t>
            </w:r>
          </w:p>
        </w:tc>
        <w:tc>
          <w:tcPr>
            <w:tcW w:w="24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(7)</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8"/>
        </w:trPr>
        <w:tc>
          <w:tcPr>
            <w:tcW w:w="900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118</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267</w:t>
            </w: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31"/>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26"/>
        </w:trPr>
        <w:tc>
          <w:tcPr>
            <w:tcW w:w="9000" w:type="dxa"/>
            <w:vAlign w:val="bottom"/>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4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24</w:t>
            </w:r>
          </w:p>
        </w:tc>
      </w:tr>
      <w:tr>
        <w:trPr>
          <w:trHeight w:val="31"/>
        </w:trPr>
        <w:tc>
          <w:tcPr>
            <w:tcW w:w="9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5"/>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(3,303)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405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9"/>
          <w:szCs w:val="9"/>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9"/>
          <w:szCs w:val="9"/>
          <w:color w:val="auto"/>
        </w:rPr>
      </w:pPr>
    </w:p>
    <w:p>
      <w:pPr>
        <w:ind w:left="340" w:right="40" w:hanging="332"/>
        <w:spacing w:after="0" w:line="247"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1" w:lineRule="exact"/>
        <w:rPr>
          <w:rFonts w:ascii="Arial" w:cs="Arial" w:eastAsia="Arial" w:hAnsi="Arial"/>
          <w:sz w:val="9"/>
          <w:szCs w:val="9"/>
          <w:color w:val="auto"/>
        </w:rPr>
      </w:pPr>
    </w:p>
    <w:p>
      <w:pPr>
        <w:ind w:left="340" w:right="20" w:hanging="332"/>
        <w:spacing w:after="0" w:line="277"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1" w:lineRule="exact"/>
        <w:rPr>
          <w:rFonts w:ascii="Arial" w:cs="Arial" w:eastAsia="Arial" w:hAnsi="Arial"/>
          <w:sz w:val="9"/>
          <w:szCs w:val="9"/>
          <w:color w:val="auto"/>
        </w:rPr>
      </w:pPr>
    </w:p>
    <w:p>
      <w:pPr>
        <w:ind w:left="340" w:right="80" w:hanging="332"/>
        <w:spacing w:after="0" w:line="292" w:lineRule="auto"/>
        <w:tabs>
          <w:tab w:leader="none" w:pos="327" w:val="left"/>
        </w:tabs>
        <w:numPr>
          <w:ilvl w:val="0"/>
          <w:numId w:val="20"/>
        </w:numPr>
        <w:rPr>
          <w:rFonts w:ascii="Arial" w:cs="Arial" w:eastAsia="Arial" w:hAnsi="Arial"/>
          <w:sz w:val="8"/>
          <w:szCs w:val="8"/>
          <w:color w:val="auto"/>
        </w:rPr>
      </w:pPr>
      <w:r>
        <w:rPr>
          <w:rFonts w:ascii="Arial" w:cs="Arial" w:eastAsia="Arial" w:hAnsi="Arial"/>
          <w:sz w:val="12"/>
          <w:szCs w:val="12"/>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Arial" w:cs="Arial" w:eastAsia="Arial" w:hAnsi="Arial"/>
          <w:sz w:val="8"/>
          <w:szCs w:val="8"/>
          <w:color w:val="auto"/>
        </w:rPr>
      </w:pPr>
    </w:p>
    <w:p>
      <w:pPr>
        <w:ind w:left="340" w:right="100" w:hanging="332"/>
        <w:spacing w:after="0" w:line="249"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8" w:lineRule="exact"/>
        <w:rPr>
          <w:rFonts w:ascii="Arial" w:cs="Arial" w:eastAsia="Arial" w:hAnsi="Arial"/>
          <w:sz w:val="9"/>
          <w:szCs w:val="9"/>
          <w:color w:val="auto"/>
        </w:rPr>
      </w:pPr>
    </w:p>
    <w:p>
      <w:pPr>
        <w:ind w:left="340" w:right="60" w:hanging="332"/>
        <w:spacing w:after="0" w:line="273"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1" w:lineRule="exact"/>
        <w:rPr>
          <w:rFonts w:ascii="Arial" w:cs="Arial" w:eastAsia="Arial" w:hAnsi="Arial"/>
          <w:sz w:val="9"/>
          <w:szCs w:val="9"/>
          <w:color w:val="auto"/>
        </w:rPr>
      </w:pPr>
    </w:p>
    <w:p>
      <w:pPr>
        <w:ind w:left="320" w:hanging="312"/>
        <w:spacing w:after="0"/>
        <w:tabs>
          <w:tab w:leader="none" w:pos="32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acquisition-related expenses associated with the Felix Midstream LLC acquisition in February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Gains/(losses) from derivative activities, net of inventory valuation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Selected items impacting comparability -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Gains/(losses) from derivative activities </w:t>
      </w:r>
      <w:r>
        <w:rPr>
          <w:rFonts w:ascii="Arial" w:cs="Arial" w:eastAsia="Arial" w:hAnsi="Arial"/>
          <w:sz w:val="22"/>
          <w:szCs w:val="22"/>
          <w:color w:val="auto"/>
          <w:vertAlign w:val="superscript"/>
        </w:rPr>
        <w:t>(2)</w:t>
      </w:r>
    </w:p>
    <w:p>
      <w:pPr>
        <w:ind w:left="20"/>
        <w:spacing w:after="0"/>
        <w:rPr>
          <w:sz w:val="20"/>
          <w:szCs w:val="20"/>
          <w:color w:val="auto"/>
        </w:rPr>
      </w:pPr>
      <w:r>
        <w:rPr>
          <w:rFonts w:ascii="Arial" w:cs="Arial" w:eastAsia="Arial" w:hAnsi="Arial"/>
          <w:sz w:val="17"/>
          <w:szCs w:val="17"/>
          <w:color w:val="auto"/>
        </w:rPr>
        <w:t>Gain on investment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Gains/(losses) on asset sales and asset impairments, net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Tax effect on selected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Selected items impacting comparability - 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2459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423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5"/>
              <w:spacing w:after="0"/>
              <w:rPr>
                <w:sz w:val="20"/>
                <w:szCs w:val="20"/>
                <w:color w:val="auto"/>
              </w:rPr>
            </w:pPr>
            <w:r>
              <w:rPr>
                <w:rFonts w:ascii="Arial" w:cs="Arial" w:eastAsia="Arial" w:hAnsi="Arial"/>
                <w:sz w:val="16"/>
                <w:szCs w:val="16"/>
                <w:b w:val="1"/>
                <w:bCs w:val="1"/>
                <w:color w:val="auto"/>
              </w:rPr>
              <w:t>2018</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22"/>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505</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(55)</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423</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200</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114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(95)</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646</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368" w:right="339" w:bottom="1440" w:gutter="0" w:footer="0" w:header="0"/>
          <w:type w:val="continuous"/>
        </w:sectPr>
      </w:pPr>
    </w:p>
    <w:p>
      <w:pPr>
        <w:spacing w:after="0" w:line="335"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9"/>
          <w:szCs w:val="9"/>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9"/>
          <w:szCs w:val="9"/>
          <w:color w:val="auto"/>
        </w:rPr>
      </w:pPr>
    </w:p>
    <w:p>
      <w:pPr>
        <w:ind w:left="340" w:right="40" w:hanging="332"/>
        <w:spacing w:after="0" w:line="247"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1" w:lineRule="exact"/>
        <w:rPr>
          <w:rFonts w:ascii="Arial" w:cs="Arial" w:eastAsia="Arial" w:hAnsi="Arial"/>
          <w:sz w:val="9"/>
          <w:szCs w:val="9"/>
          <w:color w:val="auto"/>
        </w:rPr>
      </w:pPr>
    </w:p>
    <w:p>
      <w:pPr>
        <w:ind w:left="340" w:right="20" w:hanging="332"/>
        <w:spacing w:after="0" w:line="277"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1" w:lineRule="exact"/>
        <w:rPr>
          <w:rFonts w:ascii="Arial" w:cs="Arial" w:eastAsia="Arial" w:hAnsi="Arial"/>
          <w:sz w:val="9"/>
          <w:szCs w:val="9"/>
          <w:color w:val="auto"/>
        </w:rPr>
      </w:pPr>
    </w:p>
    <w:p>
      <w:pPr>
        <w:ind w:left="340" w:right="80" w:hanging="332"/>
        <w:spacing w:after="0" w:line="292" w:lineRule="auto"/>
        <w:tabs>
          <w:tab w:leader="none" w:pos="327" w:val="left"/>
        </w:tabs>
        <w:numPr>
          <w:ilvl w:val="0"/>
          <w:numId w:val="21"/>
        </w:numPr>
        <w:rPr>
          <w:rFonts w:ascii="Arial" w:cs="Arial" w:eastAsia="Arial" w:hAnsi="Arial"/>
          <w:sz w:val="8"/>
          <w:szCs w:val="8"/>
          <w:color w:val="auto"/>
        </w:rPr>
      </w:pPr>
      <w:r>
        <w:rPr>
          <w:rFonts w:ascii="Arial" w:cs="Arial" w:eastAsia="Arial" w:hAnsi="Arial"/>
          <w:sz w:val="12"/>
          <w:szCs w:val="12"/>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Arial" w:cs="Arial" w:eastAsia="Arial" w:hAnsi="Arial"/>
          <w:sz w:val="8"/>
          <w:szCs w:val="8"/>
          <w:color w:val="auto"/>
        </w:rPr>
      </w:pPr>
    </w:p>
    <w:p>
      <w:pPr>
        <w:ind w:left="340" w:right="100" w:hanging="332"/>
        <w:spacing w:after="0" w:line="249"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8" w:lineRule="exact"/>
        <w:rPr>
          <w:rFonts w:ascii="Arial" w:cs="Arial" w:eastAsia="Arial" w:hAnsi="Arial"/>
          <w:sz w:val="9"/>
          <w:szCs w:val="9"/>
          <w:color w:val="auto"/>
        </w:rPr>
      </w:pPr>
    </w:p>
    <w:p>
      <w:pPr>
        <w:ind w:left="340" w:right="60" w:hanging="332"/>
        <w:spacing w:after="0" w:line="273"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1" w:lineRule="exact"/>
        <w:rPr>
          <w:rFonts w:ascii="Arial" w:cs="Arial" w:eastAsia="Arial" w:hAnsi="Arial"/>
          <w:sz w:val="9"/>
          <w:szCs w:val="9"/>
          <w:color w:val="auto"/>
        </w:rPr>
      </w:pPr>
    </w:p>
    <w:p>
      <w:pPr>
        <w:ind w:left="320" w:hanging="312"/>
        <w:spacing w:after="0"/>
        <w:tabs>
          <w:tab w:leader="none" w:pos="32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9" w:lineRule="exact"/>
        <w:rPr>
          <w:rFonts w:ascii="Arial" w:cs="Arial" w:eastAsia="Arial" w:hAnsi="Arial"/>
          <w:sz w:val="9"/>
          <w:szCs w:val="9"/>
          <w:color w:val="auto"/>
        </w:rPr>
      </w:pPr>
    </w:p>
    <w:p>
      <w:pPr>
        <w:ind w:left="5440" w:hanging="106"/>
        <w:spacing w:after="0"/>
        <w:tabs>
          <w:tab w:leader="none" w:pos="5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48"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970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8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0.71</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970</w:t>
            </w:r>
          </w:p>
        </w:tc>
      </w:tr>
      <w:tr>
        <w:trPr>
          <w:trHeight w:val="270"/>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552</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Series A preferred units</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71</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64"/>
        </w:trPr>
        <w:tc>
          <w:tcPr>
            <w:tcW w:w="8800" w:type="dxa"/>
            <w:vAlign w:val="bottom"/>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800</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 w:right="60" w:hanging="332"/>
        <w:spacing w:after="0" w:line="233"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4"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50" w:lineRule="exact"/>
        <w:rPr>
          <w:rFonts w:ascii="Arial" w:cs="Arial" w:eastAsia="Arial" w:hAnsi="Arial"/>
          <w:sz w:val="21"/>
          <w:szCs w:val="21"/>
          <w:color w:val="auto"/>
          <w:vertAlign w:val="superscript"/>
        </w:rPr>
      </w:pPr>
    </w:p>
    <w:p>
      <w:pPr>
        <w:ind w:left="340" w:right="140" w:hanging="332"/>
        <w:spacing w:after="0" w:line="229"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4"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36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1.26</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1"/>
              </w:rPr>
              <w:t>4.54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3"/>
              </w:rPr>
              <w:t>(0.55)</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color w:val="auto"/>
                <w:w w:val="91"/>
              </w:rPr>
              <w:t>0.56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0.71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1.20</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1"/>
              </w:rPr>
              <w:t>4.53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3"/>
              </w:rPr>
              <w:t>(0.51)</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color w:val="auto"/>
                <w:w w:val="91"/>
              </w:rPr>
              <w:t>0.55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0.69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12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Income/(Loss) Per Common Unit” tables for additional information.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-147320</wp:posOffset>
            </wp:positionV>
            <wp:extent cx="708914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18034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914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140" cy="196850"/>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24599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spacing w:after="0" w:line="55"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1543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33"/>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1"/>
              </w:rPr>
              <w:t>2.65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91"/>
              </w:rPr>
              <w:t>2.71</w:t>
            </w:r>
          </w:p>
        </w:tc>
      </w:tr>
      <w:tr>
        <w:trPr>
          <w:trHeight w:val="270"/>
        </w:trPr>
        <w:tc>
          <w:tcPr>
            <w:tcW w:w="260" w:type="dxa"/>
            <w:vAlign w:val="bottom"/>
          </w:tcPr>
          <w:p>
            <w:pPr>
              <w:spacing w:after="0"/>
              <w:rPr>
                <w:sz w:val="23"/>
                <w:szCs w:val="23"/>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89"/>
              </w:rPr>
              <w:t>(0.14)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center"/>
              <w:ind w:left="152"/>
              <w:spacing w:after="0"/>
              <w:rPr>
                <w:sz w:val="20"/>
                <w:szCs w:val="20"/>
                <w:color w:val="auto"/>
              </w:rPr>
            </w:pPr>
            <w:r>
              <w:rPr>
                <w:rFonts w:ascii="Arial" w:cs="Arial" w:eastAsia="Arial" w:hAnsi="Arial"/>
                <w:sz w:val="18"/>
                <w:szCs w:val="18"/>
                <w:color w:val="auto"/>
                <w:w w:val="93"/>
              </w:rPr>
              <w:t>(0.83)</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1"/>
              </w:rPr>
              <w:t>2.51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91"/>
              </w:rPr>
              <w:t>1.88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0" w:lineRule="exact"/>
        <w:rPr>
          <w:sz w:val="20"/>
          <w:szCs w:val="20"/>
          <w:color w:val="auto"/>
        </w:rPr>
      </w:pPr>
    </w:p>
    <w:p>
      <w:pPr>
        <w:sectPr>
          <w:pgSz w:w="11900" w:h="16838" w:orient="portrait"/>
          <w:cols w:equalWidth="0" w:num="2">
            <w:col w:w="8060" w:space="720"/>
            <w:col w:w="2460"/>
          </w:cols>
          <w:pgMar w:left="320" w:top="368" w:right="339" w:bottom="1440" w:gutter="0" w:footer="0" w:header="0"/>
          <w:type w:val="continuous"/>
        </w:sectPr>
      </w:pPr>
    </w:p>
    <w:p>
      <w:pPr>
        <w:spacing w:after="0" w:line="5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49"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970</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70"/>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862</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691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798</w:t>
            </w:r>
          </w:p>
        </w:tc>
      </w:tr>
      <w:tr>
        <w:trPr>
          <w:trHeight w:val="162"/>
        </w:trPr>
        <w:tc>
          <w:tcPr>
            <w:tcW w:w="8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0.90</w:t>
            </w: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0.87</w:t>
            </w: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0.30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21"/>
                <w:szCs w:val="21"/>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2.27x</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3.00x</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jc w:val="both"/>
        <w:ind w:left="340" w:right="160" w:hanging="332"/>
        <w:spacing w:after="0" w:line="219" w:lineRule="auto"/>
        <w:tabs>
          <w:tab w:leader="none" w:pos="334"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25"/>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19"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49"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2,216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198</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1,948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1,787</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162"/>
        </w:trPr>
        <w:tc>
          <w:tcPr>
            <w:tcW w:w="8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2.38</w:t>
            </w: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871</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2.17x</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2.05x</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ind w:left="340" w:right="40" w:hanging="332"/>
        <w:spacing w:after="0" w:line="219" w:lineRule="auto"/>
        <w:tabs>
          <w:tab w:leader="none" w:pos="334"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26"/>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2"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Equivalent Unit Reconciliations:</w:t>
      </w:r>
    </w:p>
    <w:p>
      <w:pPr>
        <w:spacing w:after="0" w:line="36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ind w:right="331"/>
              <w:spacing w:after="0"/>
              <w:rPr>
                <w:sz w:val="20"/>
                <w:szCs w:val="20"/>
                <w:color w:val="auto"/>
              </w:rPr>
            </w:pPr>
            <w:r>
              <w:rPr>
                <w:rFonts w:ascii="Arial" w:cs="Arial" w:eastAsia="Arial" w:hAnsi="Arial"/>
                <w:sz w:val="16"/>
                <w:szCs w:val="16"/>
                <w:b w:val="1"/>
                <w:bCs w:val="1"/>
                <w:color w:val="auto"/>
                <w:w w:val="84"/>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2"/>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1.26</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4.80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(0.36)</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0.82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0.90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2"/>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1.26</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4.77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(0.39)</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0.79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0.87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22"/>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ind w:left="180"/>
              <w:spacing w:after="0"/>
              <w:rPr>
                <w:sz w:val="20"/>
                <w:szCs w:val="20"/>
                <w:color w:val="auto"/>
              </w:rPr>
            </w:pPr>
            <w:r>
              <w:rPr>
                <w:rFonts w:ascii="Arial" w:cs="Arial" w:eastAsia="Arial" w:hAnsi="Arial"/>
                <w:sz w:val="16"/>
                <w:szCs w:val="16"/>
                <w:b w:val="1"/>
                <w:bCs w:val="1"/>
                <w:color w:val="auto"/>
              </w:rPr>
              <w:t>Twelve Months Ended</w:t>
            </w:r>
          </w:p>
        </w:tc>
      </w:t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ind w:right="331"/>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2.77</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(0.31)</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2.99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2.46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2.77</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(5)</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0.21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(0.39)</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2.38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80" w:hanging="332"/>
        <w:spacing w:after="0" w:line="227"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and 727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and 726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3"/>
                <w:szCs w:val="13"/>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6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7,908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(7,813)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vMerge w:val="restart"/>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56" w:lineRule="exact"/>
        <w:rPr>
          <w:rFonts w:ascii="Arial" w:cs="Arial" w:eastAsia="Arial" w:hAnsi="Arial"/>
          <w:sz w:val="23"/>
          <w:szCs w:val="23"/>
          <w:color w:val="auto"/>
          <w:vertAlign w:val="superscript"/>
        </w:rPr>
      </w:pPr>
    </w:p>
    <w:p>
      <w:pPr>
        <w:ind w:left="340" w:right="80" w:hanging="332"/>
        <w:spacing w:after="0" w:line="246"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2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33020</wp:posOffset>
            </wp:positionV>
            <wp:extent cx="1525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r>
      <w:tr>
        <w:trPr>
          <w:trHeight w:val="33"/>
        </w:trPr>
        <w:tc>
          <w:tcPr>
            <w:tcW w:w="8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Tariff activities volumes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8840" w:type="dxa"/>
            <w:vAlign w:val="bottom"/>
          </w:tcPr>
          <w:p>
            <w:pPr>
              <w:ind w:left="36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5,165</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4,268</w:t>
            </w:r>
          </w:p>
        </w:tc>
      </w:tr>
      <w:tr>
        <w:trPr>
          <w:trHeight w:val="270"/>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460</w:t>
            </w:r>
          </w:p>
        </w:tc>
      </w:tr>
      <w:tr>
        <w:trPr>
          <w:trHeight w:val="270"/>
        </w:trPr>
        <w:tc>
          <w:tcPr>
            <w:tcW w:w="8840" w:type="dxa"/>
            <w:vAlign w:val="bottom"/>
          </w:tcPr>
          <w:p>
            <w:pPr>
              <w:ind w:left="36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509</w:t>
            </w:r>
          </w:p>
        </w:tc>
      </w:tr>
      <w:tr>
        <w:trPr>
          <w:trHeight w:val="270"/>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r>
      <w:tr>
        <w:trPr>
          <w:trHeight w:val="270"/>
        </w:trPr>
        <w:tc>
          <w:tcPr>
            <w:tcW w:w="8840" w:type="dxa"/>
            <w:vAlign w:val="bottom"/>
          </w:tcPr>
          <w:p>
            <w:pPr>
              <w:ind w:left="36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302</w:t>
            </w:r>
          </w:p>
        </w:tc>
      </w:tr>
      <w:tr>
        <w:trPr>
          <w:trHeight w:val="270"/>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r>
      <w:tr>
        <w:trPr>
          <w:trHeight w:val="270"/>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Canada</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322</w:t>
            </w:r>
          </w:p>
        </w:tc>
      </w:tr>
      <w:tr>
        <w:trPr>
          <w:trHeight w:val="263"/>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6,974</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6,201</w:t>
            </w:r>
          </w:p>
        </w:tc>
      </w:tr>
      <w:tr>
        <w:trPr>
          <w:trHeight w:val="270"/>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NGL pipelines</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210</w:t>
            </w:r>
          </w:p>
        </w:tc>
      </w:tr>
      <w:tr>
        <w:trPr>
          <w:trHeight w:val="243"/>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6,411</w:t>
            </w:r>
          </w:p>
        </w:tc>
      </w:tr>
      <w:tr>
        <w:trPr>
          <w:trHeight w:val="270"/>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Trucking volumes</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r>
      <w:tr>
        <w:trPr>
          <w:trHeight w:val="28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7,255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6,504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8840" w:type="dxa"/>
            <w:vAlign w:val="bottom"/>
          </w:tcPr>
          <w:p>
            <w:pPr>
              <w:ind w:left="180"/>
              <w:spacing w:after="0"/>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840" w:type="dxa"/>
            <w:vAlign w:val="bottom"/>
          </w:tcPr>
          <w:p>
            <w:pPr>
              <w:ind w:left="18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3"/>
                <w:szCs w:val="23"/>
                <w:color w:val="auto"/>
                <w:vertAlign w:val="superscript"/>
              </w:rPr>
              <w:t>(4)</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884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1,128</w:t>
            </w:r>
          </w:p>
        </w:tc>
      </w:tr>
      <w:tr>
        <w:trPr>
          <w:trHeight w:val="270"/>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328</w:t>
            </w:r>
          </w:p>
        </w:tc>
      </w:tr>
      <w:tr>
        <w:trPr>
          <w:trHeight w:val="264"/>
        </w:trPr>
        <w:tc>
          <w:tcPr>
            <w:tcW w:w="8840" w:type="dxa"/>
            <w:vAlign w:val="bottom"/>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1,456</w:t>
            </w:r>
          </w:p>
        </w:tc>
      </w:tr>
      <w:tr>
        <w:trPr>
          <w:trHeight w:val="20"/>
        </w:trPr>
        <w:tc>
          <w:tcPr>
            <w:tcW w:w="8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Fee-based Segment Adjusted EBITDA to Adjusted EBITDA Reconciliations:</w:t>
      </w:r>
    </w:p>
    <w:p>
      <w:pPr>
        <w:spacing w:after="0" w:line="123"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p>
      <w:pPr>
        <w:jc w:val="both"/>
        <w:ind w:left="9220"/>
        <w:spacing w:after="0"/>
        <w:tabs>
          <w:tab w:leader="none" w:pos="104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Transportation Segment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Facilities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Fee-based Segment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Supply and Logistics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399</w:t>
            </w:r>
          </w:p>
        </w:tc>
      </w:tr>
      <w:tr>
        <w:trPr>
          <w:trHeight w:val="270"/>
        </w:trPr>
        <w:tc>
          <w:tcPr>
            <w:tcW w:w="4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184</w:t>
            </w:r>
          </w:p>
        </w:tc>
      </w:tr>
      <w:tr>
        <w:trPr>
          <w:trHeight w:val="27"/>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583</w:t>
            </w:r>
          </w:p>
        </w:tc>
      </w:tr>
      <w:tr>
        <w:trPr>
          <w:trHeight w:val="270"/>
        </w:trPr>
        <w:tc>
          <w:tcPr>
            <w:tcW w:w="4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278</w:t>
            </w:r>
          </w:p>
        </w:tc>
      </w:tr>
      <w:tr>
        <w:trPr>
          <w:trHeight w:val="270"/>
        </w:trPr>
        <w:tc>
          <w:tcPr>
            <w:tcW w:w="4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862</w:t>
            </w:r>
          </w:p>
        </w:tc>
      </w:tr>
      <w:tr>
        <w:trPr>
          <w:trHeight w:val="27"/>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15430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8" w:lineRule="exact"/>
        <w:rPr>
          <w:sz w:val="20"/>
          <w:szCs w:val="20"/>
          <w:color w:val="auto"/>
        </w:rPr>
      </w:pPr>
    </w:p>
    <w:p>
      <w:pPr>
        <w:ind w:left="420"/>
        <w:spacing w:after="0"/>
        <w:tabs>
          <w:tab w:leader="none" w:pos="16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39" w:lineRule="exact"/>
        <w:rPr>
          <w:sz w:val="20"/>
          <w:szCs w:val="20"/>
          <w:color w:val="auto"/>
        </w:rPr>
      </w:pPr>
    </w:p>
    <w:p>
      <w:pPr>
        <w:sectPr>
          <w:pgSz w:w="11900" w:h="16838" w:orient="portrait"/>
          <w:cols w:equalWidth="0" w:num="2">
            <w:col w:w="8080" w:space="720"/>
            <w:col w:w="244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1,508</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Facilities Segment Adjusted EBITDA</w:t>
            </w:r>
          </w:p>
        </w:tc>
        <w:tc>
          <w:tcPr>
            <w:tcW w:w="3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711</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2,219</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3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462</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(3)</w:t>
            </w:r>
          </w:p>
        </w:tc>
        <w:tc>
          <w:tcPr>
            <w:tcW w:w="3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2,684</w:t>
            </w:r>
          </w:p>
        </w:tc>
      </w:tr>
      <w:tr>
        <w:trPr>
          <w:trHeight w:val="21"/>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60" w:hanging="332"/>
        <w:spacing w:after="0" w:line="234"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$33 million and $(24) million for the three months ended March 31, 2020 and 2019,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55" w:lineRule="exact"/>
        <w:rPr>
          <w:rFonts w:ascii="Arial" w:cs="Arial" w:eastAsia="Arial" w:hAnsi="Arial"/>
          <w:sz w:val="23"/>
          <w:szCs w:val="23"/>
          <w:color w:val="auto"/>
          <w:vertAlign w:val="superscript"/>
        </w:rPr>
      </w:pPr>
    </w:p>
    <w:p>
      <w:pPr>
        <w:ind w:left="340" w:right="60" w:hanging="332"/>
        <w:spacing w:after="0" w:line="219"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$(17) million and $10 million for the twelve months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2020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2019</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6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8,269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8,269</w:t>
            </w:r>
          </w:p>
        </w:tc>
        <w:tc>
          <w:tcPr>
            <w:tcW w:w="140" w:type="dxa"/>
            <w:vAlign w:val="bottom"/>
            <w:tcBorders>
              <w:right w:val="single" w:sz="8" w:color="auto"/>
            </w:tcBorders>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7,367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7,367</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619</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0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11,042</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11,044</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7,661</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(2,775)</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8"/>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(2,826)</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Deferred income tax (expense)/benefit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2,111</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(2,847)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71"/>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(581)</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970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6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860" w:type="dxa"/>
            <w:vAlign w:val="bottom"/>
            <w:gridSpan w:val="7"/>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183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2020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4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3,073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14,413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3,714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1,455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430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89"/>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23,700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25,166</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3,359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8,941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477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833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13,978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13,980</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9,579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1,457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64"/>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11,186</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303"/>
        </w:trPr>
        <w:tc>
          <w:tcPr>
            <w:tcW w:w="3120" w:type="dxa"/>
            <w:vAlign w:val="bottom"/>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23,700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25,166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Basic and Diluted Net Income/(Loss) per Class A Share</w:t>
            </w:r>
          </w:p>
        </w:tc>
        <w:tc>
          <w:tcPr>
            <w:tcW w:w="23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income/(loss) attributable to PAGP</w:t>
            </w:r>
          </w:p>
        </w:tc>
        <w:tc>
          <w:tcPr>
            <w:tcW w:w="2320" w:type="dxa"/>
            <w:vAlign w:val="bottom"/>
          </w:tcPr>
          <w:p>
            <w:pPr>
              <w:spacing w:after="0"/>
              <w:rPr>
                <w:sz w:val="21"/>
                <w:szCs w:val="21"/>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Basic and diluted weighted average Class A shares outstanding</w:t>
            </w:r>
          </w:p>
        </w:tc>
        <w:tc>
          <w:tcPr>
            <w:tcW w:w="2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income/(loss) per Class A share</w:t>
            </w:r>
          </w:p>
        </w:tc>
        <w:tc>
          <w:tcPr>
            <w:tcW w:w="23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0.92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Contacts:</w:t>
            </w:r>
          </w:p>
        </w:tc>
        <w:tc>
          <w:tcPr>
            <w:tcW w:w="2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8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Vice President, Investor Relations, Communications and Government Relations</w:t>
            </w: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(866) 809-1291</w:t>
            </w:r>
          </w:p>
        </w:tc>
        <w:tc>
          <w:tcPr>
            <w:tcW w:w="2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Brett Magill</w:t>
            </w: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2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(866) 809-1291</w:t>
            </w:r>
          </w:p>
        </w:tc>
        <w:tc>
          <w:tcPr>
            <w:tcW w:w="2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3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ind w:left="106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Houston, Texas 77002</w:t>
            </w:r>
          </w:p>
        </w:tc>
        <w:tc>
          <w:tcPr>
            <w:tcW w:w="286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713-646-4100 / 866-809-1291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04"/>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lvl w:ilvl="1">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lvl w:ilvl="1">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37"/>
    </w:lvl>
  </w:abstractNum>
  <w:abstractNum w:abstractNumId="13">
    <w:nsid w:val="2D1D5AE9"/>
    <w:multiLevelType w:val="hybridMultilevel"/>
    <w:lvl w:ilvl="0">
      <w:lvlJc w:val="left"/>
      <w:lvlText w:val="(%1)"/>
      <w:numFmt w:val="decimal"/>
      <w:start w:val="12"/>
    </w:lvl>
    <w:lvl w:ilvl="1">
      <w:lvlJc w:val="left"/>
      <w:lvlText w:val="%2"/>
      <w:numFmt w:val="decimal"/>
      <w:start w:val="1"/>
    </w:lvl>
  </w:abstractNum>
  <w:abstractNum w:abstractNumId="14">
    <w:nsid w:val="6763845E"/>
    <w:multiLevelType w:val="hybridMultilevel"/>
    <w:lvl w:ilvl="0">
      <w:lvlJc w:val="left"/>
      <w:lvlText w:val="(%1)"/>
      <w:numFmt w:val="decimal"/>
      <w:start w:val="1"/>
    </w:lvl>
    <w:lvl w:ilvl="1">
      <w:lvlJc w:val="left"/>
      <w:lvlText w:val="%2"/>
      <w:numFmt w:val="decimal"/>
      <w:start w:val="1"/>
    </w:lvl>
  </w:abstractNum>
  <w:abstractNum w:abstractNumId="15">
    <w:nsid w:val="75A2A8D4"/>
    <w:multiLevelType w:val="hybridMultilevel"/>
    <w:lvl w:ilvl="0">
      <w:lvlJc w:val="left"/>
      <w:lvlText w:val="(%1)"/>
      <w:numFmt w:val="decimal"/>
      <w:start w:val="37"/>
    </w:lvl>
  </w:abstractNum>
  <w:abstractNum w:abstractNumId="16">
    <w:nsid w:val="8EDBDAB"/>
    <w:multiLevelType w:val="hybridMultilevel"/>
    <w:lvl w:ilvl="0">
      <w:lvlJc w:val="left"/>
      <w:lvlText w:val="(%1)"/>
      <w:numFmt w:val="decimal"/>
      <w:start w:val="12"/>
    </w:lvl>
    <w:lvl w:ilvl="1">
      <w:lvlJc w:val="left"/>
      <w:lvlText w:val="%2"/>
      <w:numFmt w:val="decimal"/>
      <w:start w:val="1"/>
    </w:lvl>
  </w:abstractNum>
  <w:abstractNum w:abstractNumId="17">
    <w:nsid w:val="79838CB2"/>
    <w:multiLevelType w:val="hybridMultilevel"/>
    <w:lvl w:ilvl="0">
      <w:lvlJc w:val="left"/>
      <w:lvlText w:val="(%1)"/>
      <w:numFmt w:val="decimal"/>
      <w:start w:val="1"/>
    </w:lvl>
    <w:lvl w:ilvl="1">
      <w:lvlJc w:val="left"/>
      <w:lvlText w:val="%2"/>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lvl w:ilvl="1">
      <w:lvlJc w:val="left"/>
      <w:lvlText w:val="-"/>
      <w:numFmt w:val="bullet"/>
      <w:start w:val="1"/>
    </w:lvl>
  </w:abstractNum>
  <w:abstractNum w:abstractNumId="21">
    <w:nsid w:val="54E49EB4"/>
    <w:multiLevelType w:val="hybridMultilevel"/>
    <w:lvl w:ilvl="0">
      <w:lvlJc w:val="left"/>
      <w:lvlText w:val="(%1)"/>
      <w:numFmt w:val="decimal"/>
      <w:start w:val="1"/>
    </w:lvl>
    <w:lvl w:ilvl="1">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lvl w:ilvl="1">
      <w:lvlJc w:val="left"/>
      <w:lvlText w:val="-"/>
      <w:numFmt w:val="bullet"/>
      <w:start w:val="1"/>
    </w:lvl>
  </w:abstractNum>
  <w:abstractNum w:abstractNumId="24">
    <w:nsid w:val="836C40E"/>
    <w:multiLevelType w:val="hybridMultilevel"/>
    <w:lvl w:ilvl="0">
      <w:lvlJc w:val="left"/>
      <w:lvlText w:val="(%1)"/>
      <w:numFmt w:val="decimal"/>
      <w:start w:val="1"/>
    </w:lvl>
    <w:lvl w:ilvl="1">
      <w:lvlJc w:val="left"/>
      <w:lvlText w:val="-"/>
      <w:numFmt w:val="bullet"/>
      <w:start w:val="1"/>
    </w:lvl>
  </w:abstractNum>
  <w:abstractNum w:abstractNumId="25">
    <w:nsid w:val="2901D82"/>
    <w:multiLevelType w:val="hybridMultilevel"/>
    <w:lvl w:ilvl="0">
      <w:lvlJc w:val="left"/>
      <w:lvlText w:val="(%1)"/>
      <w:numFmt w:val="decimal"/>
      <w:start w:val="1"/>
    </w:lvl>
    <w:lvl w:ilvl="1">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lvl w:ilvl="1">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2020-05-05T15:38:31Z</dcterms:created>
  <dcterms:modified xsi:type="dcterms:W3CDTF">2020-05-05T15:38:31Z</dcterms:modified>
</cp:coreProperties>
</file>