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Pursuant to Section 13 or 15(d) of</w:t>
      </w:r>
    </w:p>
    <w:p>
      <w:pPr>
        <w:jc w:val="center"/>
        <w:ind w:right="-5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December 31, 2018</w:t>
      </w:r>
    </w:p>
    <w:p>
      <w:pPr>
        <w:spacing w:after="0" w:line="20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Plains All American Pipeline, L.P.</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60"/>
          </w:cols>
          <w:pgMar w:left="240" w:top="544" w:right="299" w:bottom="1440" w:gutter="0" w:footer="0" w:header="0"/>
        </w:sectPr>
      </w:pPr>
    </w:p>
    <w:p>
      <w:pPr>
        <w:spacing w:after="0" w:line="20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780"/>
        <w:spacing w:after="0"/>
        <w:rPr>
          <w:sz w:val="20"/>
          <w:szCs w:val="20"/>
          <w:color w:val="auto"/>
        </w:rPr>
      </w:pPr>
      <w:r>
        <w:rPr>
          <w:rFonts w:ascii="Arial" w:cs="Arial" w:eastAsia="Arial" w:hAnsi="Arial"/>
          <w:sz w:val="18"/>
          <w:szCs w:val="18"/>
          <w:b w:val="1"/>
          <w:bCs w:val="1"/>
          <w:color w:val="auto"/>
        </w:rPr>
        <w:t>1-14569</w:t>
      </w:r>
    </w:p>
    <w:p>
      <w:pPr>
        <w:spacing w:after="0" w:line="27" w:lineRule="exact"/>
        <w:rPr>
          <w:sz w:val="24"/>
          <w:szCs w:val="24"/>
          <w:color w:val="auto"/>
        </w:rPr>
      </w:pPr>
    </w:p>
    <w:p>
      <w:pPr>
        <w:jc w:val="center"/>
        <w:ind w:right="7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640"/>
        <w:spacing w:after="0"/>
        <w:rPr>
          <w:sz w:val="20"/>
          <w:szCs w:val="20"/>
          <w:color w:val="auto"/>
        </w:rPr>
      </w:pPr>
      <w:r>
        <w:rPr>
          <w:rFonts w:ascii="Arial" w:cs="Arial" w:eastAsia="Arial" w:hAnsi="Arial"/>
          <w:sz w:val="18"/>
          <w:szCs w:val="18"/>
          <w:b w:val="1"/>
          <w:bCs w:val="1"/>
          <w:color w:val="auto"/>
        </w:rPr>
        <w:t>76-0582150</w:t>
      </w:r>
    </w:p>
    <w:p>
      <w:pPr>
        <w:spacing w:after="0" w:line="27" w:lineRule="exact"/>
        <w:rPr>
          <w:sz w:val="24"/>
          <w:szCs w:val="24"/>
          <w:color w:val="auto"/>
        </w:rPr>
      </w:pPr>
    </w:p>
    <w:p>
      <w:pPr>
        <w:jc w:val="center"/>
        <w:ind w:right="64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3">
            <w:col w:w="4040" w:space="720"/>
            <w:col w:w="2760" w:space="720"/>
            <w:col w:w="3120"/>
          </w:cols>
          <w:pgMar w:left="240" w:top="544" w:right="299" w:bottom="1440" w:gutter="0" w:footer="0" w:header="0"/>
          <w:type w:val="continuous"/>
        </w:sectPr>
      </w:pPr>
    </w:p>
    <w:p>
      <w:pPr>
        <w:spacing w:after="0" w:line="18" w:lineRule="exact"/>
        <w:rPr>
          <w:sz w:val="24"/>
          <w:szCs w:val="24"/>
          <w:color w:val="auto"/>
        </w:rPr>
      </w:pPr>
    </w:p>
    <w:p>
      <w:pPr>
        <w:ind w:left="3800"/>
        <w:spacing w:after="0"/>
        <w:rPr>
          <w:sz w:val="20"/>
          <w:szCs w:val="20"/>
          <w:color w:val="auto"/>
        </w:rPr>
      </w:pPr>
      <w:r>
        <w:rPr>
          <w:rFonts w:ascii="Arial" w:cs="Arial" w:eastAsia="Arial" w:hAnsi="Arial"/>
          <w:sz w:val="16"/>
          <w:szCs w:val="16"/>
          <w:b w:val="1"/>
          <w:bCs w:val="1"/>
          <w:color w:val="auto"/>
        </w:rPr>
        <w:t>333 Clay Street, Suite 1600, Houston, Texas 77002</w:t>
      </w:r>
    </w:p>
    <w:p>
      <w:pPr>
        <w:spacing w:after="0" w:line="50" w:lineRule="exact"/>
        <w:rPr>
          <w:sz w:val="24"/>
          <w:szCs w:val="24"/>
          <w:color w:val="auto"/>
        </w:rPr>
      </w:pPr>
    </w:p>
    <w:p>
      <w:pPr>
        <w:ind w:left="3860"/>
        <w:spacing w:after="0"/>
        <w:rPr>
          <w:sz w:val="20"/>
          <w:szCs w:val="20"/>
          <w:color w:val="auto"/>
        </w:rPr>
      </w:pPr>
      <w:r>
        <w:rPr>
          <w:rFonts w:ascii="Arial" w:cs="Arial" w:eastAsia="Arial" w:hAnsi="Arial"/>
          <w:sz w:val="16"/>
          <w:szCs w:val="16"/>
          <w:color w:val="auto"/>
        </w:rPr>
        <w:t>(Address of principal executive offices) (Zip Code)</w:t>
      </w:r>
    </w:p>
    <w:p>
      <w:pPr>
        <w:sectPr>
          <w:pgSz w:w="11900" w:h="16838" w:orient="portrait"/>
          <w:cols w:equalWidth="0" w:num="1">
            <w:col w:w="11360"/>
          </w:cols>
          <w:pgMar w:left="240" w:top="544" w:right="299" w:bottom="1440" w:gutter="0" w:footer="0" w:header="0"/>
          <w:type w:val="continuous"/>
        </w:sectPr>
      </w:pPr>
    </w:p>
    <w:p>
      <w:pPr>
        <w:spacing w:after="0" w:line="23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713-646-4100</w:t>
      </w:r>
    </w:p>
    <w:p>
      <w:pPr>
        <w:spacing w:after="0" w:line="200" w:lineRule="exact"/>
        <w:rPr>
          <w:sz w:val="24"/>
          <w:szCs w:val="24"/>
          <w:color w:val="auto"/>
        </w:rPr>
      </w:pPr>
    </w:p>
    <w:p>
      <w:pPr>
        <w:spacing w:after="0" w:line="245"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60" w:hanging="352"/>
        <w:spacing w:after="0"/>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o</w:t>
      </w:r>
    </w:p>
    <w:p>
      <w:pPr>
        <w:spacing w:after="0" w:line="225"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544" w:right="299" w:bottom="1440" w:gutter="0" w:footer="0" w:header="0"/>
          <w:type w:val="continuous"/>
        </w:sectPr>
      </w:pPr>
    </w:p>
    <w:bookmarkStart w:id="1" w:name="page2"/>
    <w:bookmarkEnd w:id="1"/>
    <w:p>
      <w:pPr>
        <w:spacing w:after="0"/>
        <w:tabs>
          <w:tab w:leader="none" w:pos="104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On December 31, 2018, Willie Chiang, Chief Executive Officer of the Registrant, provided the following communication to all employees of the Registrant’s general partner: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Fellow Employees,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It is with great sadness that I inform you that Dan Nerbonne, EVP of Operations and Engineering, passed away suddenly this morning.</w:t>
      </w:r>
    </w:p>
    <w:p>
      <w:pPr>
        <w:spacing w:after="0" w:line="225" w:lineRule="exact"/>
        <w:rPr>
          <w:sz w:val="20"/>
          <w:szCs w:val="20"/>
          <w:color w:val="auto"/>
        </w:rPr>
      </w:pPr>
    </w:p>
    <w:p>
      <w:pPr>
        <w:jc w:val="both"/>
        <w:ind w:left="660" w:right="560"/>
        <w:spacing w:after="0" w:line="312" w:lineRule="auto"/>
        <w:rPr>
          <w:sz w:val="20"/>
          <w:szCs w:val="20"/>
          <w:color w:val="auto"/>
        </w:rPr>
      </w:pPr>
      <w:r>
        <w:rPr>
          <w:rFonts w:ascii="Arial" w:cs="Arial" w:eastAsia="Arial" w:hAnsi="Arial"/>
          <w:sz w:val="16"/>
          <w:szCs w:val="16"/>
          <w:color w:val="auto"/>
        </w:rPr>
        <w:t>Dan joined Plains over 13 years ago. He has been a key leader who was dedicated to our values and has made significant contributions to the Partnership’s growth and success. Dan was instrumental in developing and advancing our asset integrity management program as well as our Operations Management System. The impact of Dan’s contributions to the Partnership will extend for generations to come.</w:t>
      </w:r>
    </w:p>
    <w:p>
      <w:pPr>
        <w:spacing w:after="0" w:line="147" w:lineRule="exact"/>
        <w:rPr>
          <w:sz w:val="20"/>
          <w:szCs w:val="20"/>
          <w:color w:val="auto"/>
        </w:rPr>
      </w:pPr>
    </w:p>
    <w:p>
      <w:pPr>
        <w:ind w:left="660" w:right="200"/>
        <w:spacing w:after="0" w:line="277" w:lineRule="auto"/>
        <w:rPr>
          <w:sz w:val="20"/>
          <w:szCs w:val="20"/>
          <w:color w:val="auto"/>
        </w:rPr>
      </w:pPr>
      <w:r>
        <w:rPr>
          <w:rFonts w:ascii="Arial" w:cs="Arial" w:eastAsia="Arial" w:hAnsi="Arial"/>
          <w:sz w:val="18"/>
          <w:szCs w:val="18"/>
          <w:color w:val="auto"/>
        </w:rPr>
        <w:t>Most importantly, Dan was a man of character and integrity who always strived to do the right thing; he will be greatly missed. Please keep Dan’s wife and family in your thoughts and prayers.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Willie Chiang</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an interim basis and pending implementation of pre-existing succession plans, Phil Smith, Senior Vice President of Operations for the Registrant’s general partner, has assumed Mr. Nerbonne’s responsibilities, reporting directly to Mr. Chiang.</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2" w:name="page3"/>
    <w:bookmarkEnd w:id="2"/>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80" w:type="dxa"/>
            <w:vAlign w:val="bottom"/>
          </w:tcPr>
          <w:p>
            <w:pPr>
              <w:spacing w:after="0"/>
              <w:rPr>
                <w:sz w:val="20"/>
                <w:szCs w:val="20"/>
                <w:color w:val="auto"/>
              </w:rPr>
            </w:pPr>
          </w:p>
        </w:tc>
        <w:tc>
          <w:tcPr>
            <w:tcW w:w="7740" w:type="dxa"/>
            <w:vAlign w:val="bottom"/>
            <w:gridSpan w:val="3"/>
          </w:tcPr>
          <w:p>
            <w:pPr>
              <w:ind w:left="2040"/>
              <w:spacing w:after="0"/>
              <w:rPr>
                <w:sz w:val="20"/>
                <w:szCs w:val="20"/>
                <w:color w:val="auto"/>
              </w:rPr>
            </w:pPr>
            <w:r>
              <w:rPr>
                <w:rFonts w:ascii="Arial" w:cs="Arial" w:eastAsia="Arial" w:hAnsi="Arial"/>
                <w:sz w:val="18"/>
                <w:szCs w:val="18"/>
                <w:color w:val="auto"/>
              </w:rPr>
              <w:t>PLAINS ALL AMERICAN PIPELINE, L.P.</w:t>
            </w:r>
          </w:p>
        </w:tc>
        <w:tc>
          <w:tcPr>
            <w:tcW w:w="40" w:type="dxa"/>
            <w:vAlign w:val="bottom"/>
          </w:tcPr>
          <w:p>
            <w:pPr>
              <w:spacing w:after="0"/>
              <w:rPr>
                <w:sz w:val="20"/>
                <w:szCs w:val="20"/>
                <w:color w:val="auto"/>
              </w:rPr>
            </w:pPr>
          </w:p>
        </w:tc>
      </w:tr>
      <w:tr>
        <w:trPr>
          <w:trHeight w:val="418"/>
        </w:trPr>
        <w:tc>
          <w:tcPr>
            <w:tcW w:w="3680" w:type="dxa"/>
            <w:vAlign w:val="bottom"/>
          </w:tcPr>
          <w:p>
            <w:pPr>
              <w:ind w:left="60"/>
              <w:spacing w:after="0"/>
              <w:rPr>
                <w:sz w:val="20"/>
                <w:szCs w:val="20"/>
                <w:color w:val="auto"/>
              </w:rPr>
            </w:pPr>
            <w:r>
              <w:rPr>
                <w:rFonts w:ascii="Arial" w:cs="Arial" w:eastAsia="Arial" w:hAnsi="Arial"/>
                <w:sz w:val="18"/>
                <w:szCs w:val="18"/>
                <w:color w:val="auto"/>
              </w:rPr>
              <w:t>Date: January 4, 2019</w:t>
            </w:r>
          </w:p>
        </w:tc>
        <w:tc>
          <w:tcPr>
            <w:tcW w:w="2540" w:type="dxa"/>
            <w:vAlign w:val="bottom"/>
          </w:tcPr>
          <w:p>
            <w:pPr>
              <w:ind w:left="2040"/>
              <w:spacing w:after="0"/>
              <w:rPr>
                <w:sz w:val="20"/>
                <w:szCs w:val="20"/>
                <w:color w:val="auto"/>
              </w:rPr>
            </w:pPr>
            <w:r>
              <w:rPr>
                <w:rFonts w:ascii="Arial" w:cs="Arial" w:eastAsia="Arial" w:hAnsi="Arial"/>
                <w:sz w:val="18"/>
                <w:szCs w:val="18"/>
                <w:color w:val="auto"/>
              </w:rPr>
              <w:t>By:</w:t>
            </w:r>
          </w:p>
        </w:tc>
        <w:tc>
          <w:tcPr>
            <w:tcW w:w="5200" w:type="dxa"/>
            <w:vAlign w:val="bottom"/>
            <w:gridSpan w:val="2"/>
          </w:tcPr>
          <w:p>
            <w:pPr>
              <w:spacing w:after="0"/>
              <w:rPr>
                <w:sz w:val="20"/>
                <w:szCs w:val="20"/>
                <w:color w:val="auto"/>
              </w:rPr>
            </w:pPr>
            <w:r>
              <w:rPr>
                <w:rFonts w:ascii="Arial" w:cs="Arial" w:eastAsia="Arial" w:hAnsi="Arial"/>
                <w:sz w:val="18"/>
                <w:szCs w:val="18"/>
                <w:color w:val="auto"/>
              </w:rPr>
              <w:t>PAA GP LLC, its general partner</w:t>
            </w:r>
          </w:p>
        </w:tc>
        <w:tc>
          <w:tcPr>
            <w:tcW w:w="40" w:type="dxa"/>
            <w:vAlign w:val="bottom"/>
          </w:tcPr>
          <w:p>
            <w:pPr>
              <w:spacing w:after="0"/>
              <w:rPr>
                <w:sz w:val="24"/>
                <w:szCs w:val="24"/>
                <w:color w:val="auto"/>
              </w:rPr>
            </w:pPr>
          </w:p>
        </w:tc>
      </w:tr>
      <w:tr>
        <w:trPr>
          <w:trHeight w:val="216"/>
        </w:trPr>
        <w:tc>
          <w:tcPr>
            <w:tcW w:w="3680" w:type="dxa"/>
            <w:vAlign w:val="bottom"/>
          </w:tcPr>
          <w:p>
            <w:pPr>
              <w:spacing w:after="0"/>
              <w:rPr>
                <w:sz w:val="18"/>
                <w:szCs w:val="18"/>
                <w:color w:val="auto"/>
              </w:rPr>
            </w:pPr>
          </w:p>
        </w:tc>
        <w:tc>
          <w:tcPr>
            <w:tcW w:w="2540" w:type="dxa"/>
            <w:vAlign w:val="bottom"/>
          </w:tcPr>
          <w:p>
            <w:pPr>
              <w:ind w:left="2040"/>
              <w:spacing w:after="0"/>
              <w:rPr>
                <w:sz w:val="20"/>
                <w:szCs w:val="20"/>
                <w:color w:val="auto"/>
              </w:rPr>
            </w:pPr>
            <w:r>
              <w:rPr>
                <w:rFonts w:ascii="Arial" w:cs="Arial" w:eastAsia="Arial" w:hAnsi="Arial"/>
                <w:sz w:val="18"/>
                <w:szCs w:val="18"/>
                <w:color w:val="auto"/>
              </w:rPr>
              <w:t>By:</w:t>
            </w:r>
          </w:p>
        </w:tc>
        <w:tc>
          <w:tcPr>
            <w:tcW w:w="5200" w:type="dxa"/>
            <w:vAlign w:val="bottom"/>
            <w:gridSpan w:val="2"/>
          </w:tcPr>
          <w:p>
            <w:pPr>
              <w:spacing w:after="0"/>
              <w:rPr>
                <w:sz w:val="20"/>
                <w:szCs w:val="20"/>
                <w:color w:val="auto"/>
              </w:rPr>
            </w:pPr>
            <w:r>
              <w:rPr>
                <w:rFonts w:ascii="Arial" w:cs="Arial" w:eastAsia="Arial" w:hAnsi="Arial"/>
                <w:sz w:val="18"/>
                <w:szCs w:val="18"/>
                <w:color w:val="auto"/>
              </w:rPr>
              <w:t>Plains AAP, L.P., its sole member</w:t>
            </w:r>
          </w:p>
        </w:tc>
        <w:tc>
          <w:tcPr>
            <w:tcW w:w="40" w:type="dxa"/>
            <w:vAlign w:val="bottom"/>
          </w:tcPr>
          <w:p>
            <w:pPr>
              <w:spacing w:after="0"/>
              <w:rPr>
                <w:sz w:val="18"/>
                <w:szCs w:val="18"/>
                <w:color w:val="auto"/>
              </w:rPr>
            </w:pPr>
          </w:p>
        </w:tc>
      </w:tr>
      <w:tr>
        <w:trPr>
          <w:trHeight w:val="230"/>
        </w:trPr>
        <w:tc>
          <w:tcPr>
            <w:tcW w:w="3680" w:type="dxa"/>
            <w:vAlign w:val="bottom"/>
          </w:tcPr>
          <w:p>
            <w:pPr>
              <w:spacing w:after="0"/>
              <w:rPr>
                <w:sz w:val="20"/>
                <w:szCs w:val="20"/>
                <w:color w:val="auto"/>
              </w:rPr>
            </w:pPr>
          </w:p>
        </w:tc>
        <w:tc>
          <w:tcPr>
            <w:tcW w:w="2540" w:type="dxa"/>
            <w:vAlign w:val="bottom"/>
          </w:tcPr>
          <w:p>
            <w:pPr>
              <w:ind w:left="2040"/>
              <w:spacing w:after="0"/>
              <w:rPr>
                <w:sz w:val="20"/>
                <w:szCs w:val="20"/>
                <w:color w:val="auto"/>
              </w:rPr>
            </w:pPr>
            <w:r>
              <w:rPr>
                <w:rFonts w:ascii="Arial" w:cs="Arial" w:eastAsia="Arial" w:hAnsi="Arial"/>
                <w:sz w:val="18"/>
                <w:szCs w:val="18"/>
                <w:color w:val="auto"/>
              </w:rPr>
              <w:t>By:</w:t>
            </w:r>
          </w:p>
        </w:tc>
        <w:tc>
          <w:tcPr>
            <w:tcW w:w="5200" w:type="dxa"/>
            <w:vAlign w:val="bottom"/>
            <w:gridSpan w:val="2"/>
          </w:tcPr>
          <w:p>
            <w:pPr>
              <w:spacing w:after="0"/>
              <w:rPr>
                <w:sz w:val="20"/>
                <w:szCs w:val="20"/>
                <w:color w:val="auto"/>
              </w:rPr>
            </w:pPr>
            <w:r>
              <w:rPr>
                <w:rFonts w:ascii="Arial" w:cs="Arial" w:eastAsia="Arial" w:hAnsi="Arial"/>
                <w:sz w:val="18"/>
                <w:szCs w:val="18"/>
                <w:color w:val="auto"/>
              </w:rPr>
              <w:t>Plains All American GP LLC, its general partner</w:t>
            </w:r>
          </w:p>
        </w:tc>
        <w:tc>
          <w:tcPr>
            <w:tcW w:w="40" w:type="dxa"/>
            <w:vAlign w:val="bottom"/>
          </w:tcPr>
          <w:p>
            <w:pPr>
              <w:spacing w:after="0"/>
              <w:rPr>
                <w:sz w:val="20"/>
                <w:szCs w:val="20"/>
                <w:color w:val="auto"/>
              </w:rPr>
            </w:pPr>
          </w:p>
        </w:tc>
      </w:tr>
      <w:tr>
        <w:trPr>
          <w:trHeight w:val="432"/>
        </w:trPr>
        <w:tc>
          <w:tcPr>
            <w:tcW w:w="3680" w:type="dxa"/>
            <w:vAlign w:val="bottom"/>
          </w:tcPr>
          <w:p>
            <w:pPr>
              <w:spacing w:after="0"/>
              <w:rPr>
                <w:sz w:val="24"/>
                <w:szCs w:val="24"/>
                <w:color w:val="auto"/>
              </w:rPr>
            </w:pPr>
          </w:p>
        </w:tc>
        <w:tc>
          <w:tcPr>
            <w:tcW w:w="2540" w:type="dxa"/>
            <w:vAlign w:val="bottom"/>
          </w:tcPr>
          <w:p>
            <w:pPr>
              <w:ind w:left="2040"/>
              <w:spacing w:after="0"/>
              <w:rPr>
                <w:sz w:val="20"/>
                <w:szCs w:val="20"/>
                <w:color w:val="auto"/>
              </w:rPr>
            </w:pPr>
            <w:r>
              <w:rPr>
                <w:rFonts w:ascii="Arial" w:cs="Arial" w:eastAsia="Arial" w:hAnsi="Arial"/>
                <w:sz w:val="18"/>
                <w:szCs w:val="18"/>
                <w:color w:val="auto"/>
              </w:rPr>
              <w:t>By:</w:t>
            </w:r>
          </w:p>
        </w:tc>
        <w:tc>
          <w:tcPr>
            <w:tcW w:w="52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Richard McGee</w:t>
            </w:r>
          </w:p>
        </w:tc>
        <w:tc>
          <w:tcPr>
            <w:tcW w:w="40" w:type="dxa"/>
            <w:vAlign w:val="bottom"/>
          </w:tcPr>
          <w:p>
            <w:pPr>
              <w:spacing w:after="0"/>
              <w:rPr>
                <w:sz w:val="24"/>
                <w:szCs w:val="24"/>
                <w:color w:val="auto"/>
              </w:rPr>
            </w:pPr>
          </w:p>
        </w:tc>
      </w:tr>
      <w:tr>
        <w:trPr>
          <w:trHeight w:val="195"/>
        </w:trPr>
        <w:tc>
          <w:tcPr>
            <w:tcW w:w="368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620" w:type="dxa"/>
            <w:vAlign w:val="bottom"/>
          </w:tcPr>
          <w:p>
            <w:pPr>
              <w:ind w:left="100"/>
              <w:spacing w:after="0" w:line="195" w:lineRule="exact"/>
              <w:rPr>
                <w:sz w:val="20"/>
                <w:szCs w:val="20"/>
                <w:color w:val="auto"/>
              </w:rPr>
            </w:pPr>
            <w:r>
              <w:rPr>
                <w:rFonts w:ascii="Arial" w:cs="Arial" w:eastAsia="Arial" w:hAnsi="Arial"/>
                <w:sz w:val="18"/>
                <w:szCs w:val="18"/>
                <w:color w:val="auto"/>
              </w:rPr>
              <w:t>Richard McGee</w:t>
            </w:r>
          </w:p>
        </w:tc>
        <w:tc>
          <w:tcPr>
            <w:tcW w:w="40" w:type="dxa"/>
            <w:vAlign w:val="bottom"/>
          </w:tcPr>
          <w:p>
            <w:pPr>
              <w:spacing w:after="0"/>
              <w:rPr>
                <w:sz w:val="16"/>
                <w:szCs w:val="16"/>
                <w:color w:val="auto"/>
              </w:rPr>
            </w:pPr>
          </w:p>
        </w:tc>
      </w:tr>
      <w:tr>
        <w:trPr>
          <w:trHeight w:val="230"/>
        </w:trPr>
        <w:tc>
          <w:tcPr>
            <w:tcW w:w="368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620" w:type="dxa"/>
            <w:vAlign w:val="bottom"/>
          </w:tcPr>
          <w:p>
            <w:pPr>
              <w:ind w:left="100"/>
              <w:spacing w:after="0"/>
              <w:rPr>
                <w:sz w:val="20"/>
                <w:szCs w:val="20"/>
                <w:color w:val="auto"/>
              </w:rPr>
            </w:pPr>
            <w:r>
              <w:rPr>
                <w:rFonts w:ascii="Arial" w:cs="Arial" w:eastAsia="Arial" w:hAnsi="Arial"/>
                <w:sz w:val="18"/>
                <w:szCs w:val="18"/>
                <w:color w:val="auto"/>
              </w:rPr>
              <w:t>Executive Vice President</w:t>
            </w:r>
          </w:p>
        </w:tc>
        <w:tc>
          <w:tcPr>
            <w:tcW w:w="40" w:type="dxa"/>
            <w:vAlign w:val="bottom"/>
          </w:tcPr>
          <w:p>
            <w:pPr>
              <w:spacing w:after="0"/>
              <w:rPr>
                <w:sz w:val="20"/>
                <w:szCs w:val="20"/>
                <w:color w:val="auto"/>
              </w:rPr>
            </w:pPr>
          </w:p>
        </w:tc>
      </w:tr>
      <w:tr>
        <w:trPr>
          <w:trHeight w:val="432"/>
        </w:trPr>
        <w:tc>
          <w:tcPr>
            <w:tcW w:w="3680" w:type="dxa"/>
            <w:vAlign w:val="bottom"/>
          </w:tcPr>
          <w:p>
            <w:pPr>
              <w:spacing w:after="0"/>
              <w:rPr>
                <w:sz w:val="24"/>
                <w:szCs w:val="24"/>
                <w:color w:val="auto"/>
              </w:rPr>
            </w:pPr>
          </w:p>
        </w:tc>
        <w:tc>
          <w:tcPr>
            <w:tcW w:w="2540" w:type="dxa"/>
            <w:vAlign w:val="bottom"/>
          </w:tcPr>
          <w:p>
            <w:pPr>
              <w:ind w:left="1980"/>
              <w:spacing w:after="0"/>
              <w:rPr>
                <w:sz w:val="20"/>
                <w:szCs w:val="20"/>
                <w:color w:val="auto"/>
              </w:rPr>
            </w:pPr>
            <w:r>
              <w:rPr>
                <w:rFonts w:ascii="Arial" w:cs="Arial" w:eastAsia="Arial" w:hAnsi="Arial"/>
                <w:sz w:val="18"/>
                <w:szCs w:val="18"/>
                <w:color w:val="auto"/>
              </w:rPr>
              <w:t>3</w:t>
            </w:r>
          </w:p>
        </w:tc>
        <w:tc>
          <w:tcPr>
            <w:tcW w:w="58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680" w:type="dxa"/>
            <w:vAlign w:val="bottom"/>
            <w:tcBorders>
              <w:bottom w:val="single" w:sz="8" w:color="808080"/>
            </w:tcBorders>
          </w:tcPr>
          <w:p>
            <w:pPr>
              <w:spacing w:after="0"/>
              <w:rPr>
                <w:sz w:val="11"/>
                <w:szCs w:val="11"/>
                <w:color w:val="auto"/>
              </w:rPr>
            </w:pPr>
          </w:p>
        </w:tc>
        <w:tc>
          <w:tcPr>
            <w:tcW w:w="254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6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337"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2020-01-10T01:34:24Z</dcterms:created>
  <dcterms:modified xsi:type="dcterms:W3CDTF">2020-01-10T01:34:24Z</dcterms:modified>
</cp:coreProperties>
</file>