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22,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39"/>
          <w:szCs w:val="39"/>
          <w:b w:val="1"/>
          <w:bCs w:val="1"/>
          <w:color w:val="auto"/>
        </w:rPr>
        <w:t>Plains All American Pipeline, L.P.</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927" w:right="359" w:bottom="1440" w:gutter="0" w:footer="0" w:header="0"/>
        </w:sect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0"/>
          <w:szCs w:val="20"/>
          <w:color w:val="auto"/>
        </w:rPr>
      </w:pPr>
    </w:p>
    <w:p>
      <w:pPr>
        <w:sectPr>
          <w:pgSz w:w="11900" w:h="16838" w:orient="portrait"/>
          <w:cols w:equalWidth="0" w:num="3">
            <w:col w:w="3980" w:space="720"/>
            <w:col w:w="2960" w:space="720"/>
            <w:col w:w="2920"/>
          </w:cols>
          <w:pgMar w:left="240" w:top="927" w:right="35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31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00"/>
          </w:cols>
          <w:pgMar w:left="240" w:top="92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ind w:left="840" w:right="180" w:hanging="836"/>
        <w:spacing w:after="0" w:line="282" w:lineRule="auto"/>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 Compensatory Arrangements of Certain Officers.</w:t>
      </w:r>
    </w:p>
    <w:p>
      <w:pPr>
        <w:spacing w:after="0" w:line="58"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On February 22, 2007, the Board of Directors of Plains All American GP LLC, the general partner of our general partner, awarded phantom units under its Long-Term Incentive Plans to Greg L. Armstrong, Harry N. Pefanis, Phil D. Kramer, George R. Coiner, W. Dave Duckett and John P. VonBerg (collectively, the “Named Executive Officers”). These phantom units will vest and become payable in one-third increments upon achieving annualized quarterly distribution levels of $3.50 per unit, $3.75 per unit and $4.00 per unit, and continued employment through May 2011, May 2012 and May 2011, respectively. Upon vesting, the phantom units are payable on a one-for-one basis in common units of Plains All American Pipeline, L.P. (or cash equivalent). Any phantom units that have not vested as of the May 2014 distribution date will be forfeited. The phantom units include associated distribution equivalent rights (“DERs”). The DERs vest and become payable in cash in equal one-fourth increments upon the payment of annualized distributions of $3.40, $3.60, $3.80 and $4.00. The number of phantom units awarded to each Named Executive Officer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vMerge w:val="restart"/>
          </w:tcPr>
          <w:p>
            <w:pPr>
              <w:ind w:left="4300"/>
              <w:spacing w:after="0"/>
              <w:rPr>
                <w:sz w:val="20"/>
                <w:szCs w:val="20"/>
                <w:color w:val="auto"/>
              </w:rPr>
            </w:pPr>
            <w:r>
              <w:rPr>
                <w:rFonts w:ascii="Arial" w:cs="Arial" w:eastAsia="Arial" w:hAnsi="Arial"/>
                <w:sz w:val="14"/>
                <w:szCs w:val="14"/>
                <w:b w:val="1"/>
                <w:bCs w:val="1"/>
                <w:color w:val="auto"/>
              </w:rPr>
              <w:t>Name and Title</w:t>
            </w:r>
          </w:p>
        </w:tc>
        <w:tc>
          <w:tcPr>
            <w:tcW w:w="5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Phantom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Units Granted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Greg L. Armstrong</w:t>
            </w:r>
          </w:p>
        </w:tc>
        <w:tc>
          <w:tcPr>
            <w:tcW w:w="1820" w:type="dxa"/>
            <w:vAlign w:val="bottom"/>
            <w:gridSpan w:val="2"/>
            <w:shd w:val="clear" w:color="auto" w:fill="CCEEFF"/>
          </w:tcPr>
          <w:p>
            <w:pPr>
              <w:jc w:val="center"/>
              <w:ind w:left="470"/>
              <w:spacing w:after="0" w:line="195" w:lineRule="exact"/>
              <w:rPr>
                <w:sz w:val="20"/>
                <w:szCs w:val="20"/>
                <w:color w:val="auto"/>
              </w:rPr>
            </w:pPr>
            <w:r>
              <w:rPr>
                <w:rFonts w:ascii="Arial" w:cs="Arial" w:eastAsia="Arial" w:hAnsi="Arial"/>
                <w:sz w:val="18"/>
                <w:szCs w:val="18"/>
                <w:color w:val="auto"/>
                <w:w w:val="89"/>
              </w:rPr>
              <w:t>180,000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tcPr>
          <w:p>
            <w:pPr>
              <w:spacing w:after="0" w:line="201" w:lineRule="exact"/>
              <w:rPr>
                <w:sz w:val="20"/>
                <w:szCs w:val="20"/>
                <w:color w:val="auto"/>
              </w:rPr>
            </w:pPr>
            <w:r>
              <w:rPr>
                <w:rFonts w:ascii="Arial" w:cs="Arial" w:eastAsia="Arial" w:hAnsi="Arial"/>
                <w:sz w:val="18"/>
                <w:szCs w:val="18"/>
                <w:color w:val="auto"/>
              </w:rPr>
              <w:t>Harry N. Pefanis</w:t>
            </w:r>
          </w:p>
        </w:tc>
        <w:tc>
          <w:tcPr>
            <w:tcW w:w="182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w w:val="89"/>
              </w:rPr>
              <w:t>120,000</w:t>
            </w: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Phil D. Kramer</w:t>
            </w:r>
          </w:p>
        </w:tc>
        <w:tc>
          <w:tcPr>
            <w:tcW w:w="1820" w:type="dxa"/>
            <w:vAlign w:val="bottom"/>
            <w:gridSpan w:val="2"/>
            <w:shd w:val="clear" w:color="auto" w:fill="CCEEFF"/>
          </w:tcPr>
          <w:p>
            <w:pPr>
              <w:jc w:val="center"/>
              <w:ind w:left="470"/>
              <w:spacing w:after="0" w:line="201" w:lineRule="exact"/>
              <w:rPr>
                <w:sz w:val="20"/>
                <w:szCs w:val="20"/>
                <w:color w:val="auto"/>
              </w:rPr>
            </w:pPr>
            <w:r>
              <w:rPr>
                <w:rFonts w:ascii="Arial" w:cs="Arial" w:eastAsia="Arial" w:hAnsi="Arial"/>
                <w:sz w:val="18"/>
                <w:szCs w:val="18"/>
                <w:color w:val="auto"/>
                <w:w w:val="90"/>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tcPr>
          <w:p>
            <w:pPr>
              <w:spacing w:after="0" w:line="201" w:lineRule="exact"/>
              <w:rPr>
                <w:sz w:val="20"/>
                <w:szCs w:val="20"/>
                <w:color w:val="auto"/>
              </w:rPr>
            </w:pPr>
            <w:r>
              <w:rPr>
                <w:rFonts w:ascii="Arial" w:cs="Arial" w:eastAsia="Arial" w:hAnsi="Arial"/>
                <w:sz w:val="18"/>
                <w:szCs w:val="18"/>
                <w:color w:val="auto"/>
              </w:rPr>
              <w:t>George R. Coiner</w:t>
            </w:r>
          </w:p>
        </w:tc>
        <w:tc>
          <w:tcPr>
            <w:tcW w:w="182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w w:val="90"/>
              </w:rPr>
              <w:t>90,000</w:t>
            </w: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Senior Group Vice President</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 Dave Duckett</w:t>
            </w:r>
          </w:p>
        </w:tc>
        <w:tc>
          <w:tcPr>
            <w:tcW w:w="1820" w:type="dxa"/>
            <w:vAlign w:val="bottom"/>
            <w:gridSpan w:val="2"/>
            <w:shd w:val="clear" w:color="auto" w:fill="CCEEFF"/>
          </w:tcPr>
          <w:p>
            <w:pPr>
              <w:jc w:val="center"/>
              <w:ind w:left="470"/>
              <w:spacing w:after="0" w:line="201" w:lineRule="exact"/>
              <w:rPr>
                <w:sz w:val="20"/>
                <w:szCs w:val="20"/>
                <w:color w:val="auto"/>
              </w:rPr>
            </w:pPr>
            <w:r>
              <w:rPr>
                <w:rFonts w:ascii="Arial" w:cs="Arial" w:eastAsia="Arial" w:hAnsi="Arial"/>
                <w:sz w:val="18"/>
                <w:szCs w:val="18"/>
                <w:color w:val="auto"/>
                <w:w w:val="90"/>
              </w:rPr>
              <w:t>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President, PMC (Nova Scotia) Company</w:t>
            </w: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tcPr>
          <w:p>
            <w:pPr>
              <w:spacing w:after="0" w:line="201" w:lineRule="exact"/>
              <w:rPr>
                <w:sz w:val="20"/>
                <w:szCs w:val="20"/>
                <w:color w:val="auto"/>
              </w:rPr>
            </w:pPr>
            <w:r>
              <w:rPr>
                <w:rFonts w:ascii="Arial" w:cs="Arial" w:eastAsia="Arial" w:hAnsi="Arial"/>
                <w:sz w:val="18"/>
                <w:szCs w:val="18"/>
                <w:color w:val="auto"/>
              </w:rPr>
              <w:t>John P. vonBerg</w:t>
            </w:r>
          </w:p>
        </w:tc>
        <w:tc>
          <w:tcPr>
            <w:tcW w:w="182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w w:val="90"/>
              </w:rPr>
              <w:t>54,000</w:t>
            </w: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Exhibit 10.1 — Forms of LTIP Grant Letters dated February 22, 2007 (Named Executive Officers)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February 28, 2007</w:t>
      </w:r>
      <w:r>
        <w:rPr>
          <w:sz w:val="20"/>
          <w:szCs w:val="20"/>
          <w:color w:val="auto"/>
        </w:rPr>
        <w:tab/>
      </w:r>
      <w:r>
        <w:rPr>
          <w:rFonts w:ascii="Arial" w:cs="Arial" w:eastAsia="Arial" w:hAnsi="Arial"/>
          <w:sz w:val="16"/>
          <w:szCs w:val="16"/>
          <w:color w:val="auto"/>
        </w:rPr>
        <w:t>By:  Plains AAP, L.P., its general partner</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14605</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Tim Moore</w:t>
      </w:r>
    </w:p>
    <w:p>
      <w:pPr>
        <w:spacing w:after="0" w:line="23" w:lineRule="exact"/>
        <w:rPr>
          <w:sz w:val="20"/>
          <w:szCs w:val="20"/>
          <w:color w:val="auto"/>
        </w:rPr>
      </w:pPr>
    </w:p>
    <w:p>
      <w:pPr>
        <w:jc w:val="center"/>
        <w:ind w:right="-979"/>
        <w:spacing w:after="0"/>
        <w:rPr>
          <w:sz w:val="20"/>
          <w:szCs w:val="20"/>
          <w:color w:val="auto"/>
        </w:rPr>
      </w:pPr>
      <w:r>
        <w:rPr>
          <w:rFonts w:ascii="Arial" w:cs="Arial" w:eastAsia="Arial" w:hAnsi="Arial"/>
          <w:sz w:val="18"/>
          <w:szCs w:val="18"/>
          <w:color w:val="auto"/>
        </w:rPr>
        <w:t>Title: Vice President</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58" w:right="1139" w:bottom="1440" w:gutter="0" w:footer="0" w:header="0"/>
        </w:sectPr>
      </w:pPr>
    </w:p>
    <w:bookmarkStart w:id="4" w:name="page5"/>
    <w:bookmarkEnd w:id="4"/>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tabs>
          <w:tab w:leader="none" w:pos="1060" w:val="left"/>
          <w:tab w:leader="none" w:pos="1440" w:val="left"/>
        </w:tabs>
        <w:rPr>
          <w:sz w:val="20"/>
          <w:szCs w:val="20"/>
          <w:color w:val="auto"/>
        </w:rPr>
      </w:pPr>
      <w:r>
        <w:rPr>
          <w:rFonts w:ascii="Arial" w:cs="Arial" w:eastAsia="Arial" w:hAnsi="Arial"/>
          <w:sz w:val="18"/>
          <w:szCs w:val="18"/>
          <w:color w:val="auto"/>
        </w:rPr>
        <w:t>Exhibit 10.1</w:t>
        <w:tab/>
        <w:t>—</w:t>
      </w:r>
      <w:r>
        <w:rPr>
          <w:sz w:val="20"/>
          <w:szCs w:val="20"/>
          <w:color w:val="auto"/>
        </w:rPr>
        <w:tab/>
      </w:r>
      <w:r>
        <w:rPr>
          <w:rFonts w:ascii="Arial" w:cs="Arial" w:eastAsia="Arial" w:hAnsi="Arial"/>
          <w:sz w:val="16"/>
          <w:szCs w:val="16"/>
          <w:color w:val="auto"/>
        </w:rPr>
        <w:t>Forms of LTIP Grant Letters dated February 22, 2007 (Named Executive Officers)</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58" w:right="1440"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220980</wp:posOffset>
            </wp:positionV>
            <wp:extent cx="2470150"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«FirstName» «MI» «LastName»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103" w:lineRule="exact"/>
        <w:rPr>
          <w:sz w:val="20"/>
          <w:szCs w:val="20"/>
          <w:color w:val="auto"/>
        </w:rPr>
      </w:pPr>
    </w:p>
    <w:p>
      <w:pPr>
        <w:ind w:left="140"/>
        <w:spacing w:after="0"/>
        <w:tabs>
          <w:tab w:leader="none" w:pos="600" w:val="left"/>
        </w:tabs>
        <w:rPr>
          <w:sz w:val="20"/>
          <w:szCs w:val="20"/>
          <w:color w:val="auto"/>
        </w:rPr>
      </w:pPr>
      <w:r>
        <w:rPr>
          <w:rFonts w:ascii="Arial" w:cs="Arial" w:eastAsia="Arial" w:hAnsi="Arial"/>
          <w:sz w:val="18"/>
          <w:szCs w:val="18"/>
          <w:color w:val="auto"/>
        </w:rPr>
        <w:t>Re:</w:t>
        <w:tab/>
        <w:t>Grant of Phantom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«FirstName»:</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 am pleased to inform you that you have been granted «Units» Phantom Units as of the above date pursuant to the Company’s Long-Term Incentive Plan (the “Plan”). In addition, in tandem with each Phantom Unit you have been granted a distribution equivalent right (a “DER”). The terms and conditions of this grant are as set forth below.</w:t>
      </w:r>
    </w:p>
    <w:p>
      <w:pPr>
        <w:spacing w:after="0" w:line="73" w:lineRule="exact"/>
        <w:rPr>
          <w:sz w:val="20"/>
          <w:szCs w:val="20"/>
          <w:color w:val="auto"/>
        </w:rPr>
      </w:pPr>
    </w:p>
    <w:p>
      <w:pPr>
        <w:ind w:left="460" w:right="20" w:hanging="236"/>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Phantom Units shall vest (become payable in the form of one Common Unit of Plains All American Pipeline, L.P. for each Phantom Unit) as follows: (i) 33.33% shall vest upon the later to occur of the May 2011 Distribution Date and the date on which the Partnership pays a quarterly distribution of at least $0.875 per unit, (ii) 33.33% shall vest upon the later to occur of the May 2011 Distribution Date and the date on which the Partnership pays a quarterly distribution of at least $1.00 per unit, and (iii) 33.34% shall vest upon the later to occur of the May 2012 Distribution Date and the date on which the Partnership pays a quarterly distribution of at least $0.9375 per unit. Any remaining Phantom Units that are not vested by the May 2014 Distribution Date, and any tandem DERs (regardless of vesting) associated with such Phantom Units, shall expire on such date.</w:t>
      </w:r>
    </w:p>
    <w:p>
      <w:pPr>
        <w:spacing w:after="0" w:line="81" w:lineRule="exact"/>
        <w:rPr>
          <w:rFonts w:ascii="Arial" w:cs="Arial" w:eastAsia="Arial" w:hAnsi="Arial"/>
          <w:sz w:val="18"/>
          <w:szCs w:val="18"/>
          <w:color w:val="auto"/>
        </w:rPr>
      </w:pPr>
    </w:p>
    <w:p>
      <w:pPr>
        <w:ind w:left="460" w:right="120" w:hanging="236"/>
        <w:spacing w:after="0" w:line="25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DERs shall vest (become payable in cash) as follows: (i) 25% shall vest upon and effective with the date on which the Partnership pays a quarterly distribution of at least $0.85 per unit, (ii) 25% shall vest upon and effective with date on which the Partnership pays a quarterly distribution of at least $0.90 per unit, (iii) 25% shall vest upon and effective with the date on which the Partnership pays a quarterly distribution of at least $0.95 per unit, and (iv) 25% shall vest upon and effective with date on which the Partnership pays a quarterly distribution of at least $1.00 per unit.</w:t>
      </w:r>
    </w:p>
    <w:p>
      <w:pPr>
        <w:spacing w:after="0" w:line="80" w:lineRule="exact"/>
        <w:rPr>
          <w:rFonts w:ascii="Arial" w:cs="Arial" w:eastAsia="Arial" w:hAnsi="Arial"/>
          <w:sz w:val="18"/>
          <w:szCs w:val="18"/>
          <w:color w:val="auto"/>
        </w:rPr>
      </w:pPr>
    </w:p>
    <w:p>
      <w:pPr>
        <w:ind w:left="460" w:hanging="23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DERs shall not accrue payments prior to vesting.</w:t>
      </w:r>
    </w:p>
    <w:p>
      <w:pPr>
        <w:spacing w:after="0" w:line="117" w:lineRule="exact"/>
        <w:rPr>
          <w:rFonts w:ascii="Arial" w:cs="Arial" w:eastAsia="Arial" w:hAnsi="Arial"/>
          <w:sz w:val="18"/>
          <w:szCs w:val="18"/>
          <w:color w:val="auto"/>
        </w:rPr>
      </w:pPr>
    </w:p>
    <w:p>
      <w:pPr>
        <w:ind w:left="460" w:right="320" w:hanging="236"/>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distribution level required for vesting under paragraphs 1 or 2 above shall be proportionately reduced or increased for any split or reverse split, respectively, of the Units, or any event or transaction having similar effect.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Clay Street, Suite 1600  n  Houston, Texas 77002  n  713/646-4100 or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tabs>
          <w:tab w:leader="none" w:pos="5540" w:val="left"/>
          <w:tab w:leader="none" w:pos="10480" w:val="left"/>
        </w:tabs>
        <w:rPr>
          <w:sz w:val="20"/>
          <w:szCs w:val="20"/>
          <w:color w:val="auto"/>
        </w:rPr>
      </w:pPr>
      <w:r>
        <w:rPr>
          <w:rFonts w:ascii="Arial" w:cs="Arial" w:eastAsia="Arial" w:hAnsi="Arial"/>
          <w:sz w:val="18"/>
          <w:szCs w:val="18"/>
          <w:color w:val="auto"/>
        </w:rPr>
        <w:t>«FirstName» «MI» «LastName»</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«GrantDate»</w:t>
      </w:r>
    </w:p>
    <w:p>
      <w:pPr>
        <w:sectPr>
          <w:pgSz w:w="11900" w:h="16838" w:orient="portrait"/>
          <w:cols w:equalWidth="0" w:num="1">
            <w:col w:w="11420"/>
          </w:cols>
          <w:pgMar w:left="240" w:top="1152" w:right="239" w:bottom="1440" w:gutter="0" w:footer="0" w:header="0"/>
        </w:sectPr>
      </w:pPr>
    </w:p>
    <w:p>
      <w:pPr>
        <w:spacing w:after="0" w:line="117" w:lineRule="exact"/>
        <w:rPr>
          <w:sz w:val="20"/>
          <w:szCs w:val="20"/>
          <w:color w:val="auto"/>
        </w:rPr>
      </w:pPr>
    </w:p>
    <w:p>
      <w:pPr>
        <w:ind w:left="460" w:right="240" w:hanging="236"/>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pacing w:after="0" w:line="62" w:lineRule="exact"/>
        <w:rPr>
          <w:rFonts w:ascii="Arial" w:cs="Arial" w:eastAsia="Arial" w:hAnsi="Arial"/>
          <w:sz w:val="18"/>
          <w:szCs w:val="18"/>
          <w:color w:val="auto"/>
        </w:rPr>
      </w:pPr>
    </w:p>
    <w:p>
      <w:pPr>
        <w:ind w:left="460" w:right="80" w:hanging="236"/>
        <w:spacing w:after="0" w:line="270"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your employment with the Company and its Affiliates (other than in connection with a Change in Status or by reason of your death, “disability,” as defined in paragraph 7 below, or “retirement” as defined in paragraph 8 below), all of your then outstanding DERs (regardless of vesting) and Phantom Units shall automatically be forfeited as of the date of termination;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Company or its Affiliates terminate your employment other than a Termination for Cause: (i) any unvested Phantom Units that have satisfied all vesting criteria as of the date of termination but for the passage of time shall be deemed nonforfeitable on the date of termination, and shall vest on the next following Distribution Date; (ii) any DERs associated with the unvested, nonforfeitable Phantom Units described in clause (i) shall not be forfeited on the date of termination, but shall be payable and shall expire in accordance with paragraph 5 above; and (iii) any unvested Phantom Units that have satisfied none of the vesting criteria as of the date of termination, and any tandem DERs (regardless of vesting) associated with such Phantom Units, shall automatically be forfeited as of the date of termination.</w:t>
      </w:r>
    </w:p>
    <w:p>
      <w:pPr>
        <w:spacing w:after="0" w:line="73" w:lineRule="exact"/>
        <w:rPr>
          <w:rFonts w:ascii="Arial" w:cs="Arial" w:eastAsia="Arial" w:hAnsi="Arial"/>
          <w:sz w:val="17"/>
          <w:szCs w:val="17"/>
          <w:color w:val="auto"/>
        </w:rPr>
      </w:pPr>
    </w:p>
    <w:p>
      <w:pPr>
        <w:ind w:left="460" w:right="160" w:hanging="236"/>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all of your then outstanding Phantom Units and tandem DERs shall be deemed 100% nonforfeitable on such date, and such Phantom Units and DERs shall vest in accordance with paragraph 1 and paragraph 2 above.</w:t>
      </w:r>
    </w:p>
    <w:p>
      <w:pPr>
        <w:spacing w:after="0" w:line="63" w:lineRule="exact"/>
        <w:rPr>
          <w:rFonts w:ascii="Arial" w:cs="Arial" w:eastAsia="Arial" w:hAnsi="Arial"/>
          <w:sz w:val="17"/>
          <w:szCs w:val="17"/>
          <w:color w:val="auto"/>
        </w:rPr>
      </w:pPr>
    </w:p>
    <w:p>
      <w:pPr>
        <w:ind w:left="460" w:right="60" w:hanging="236"/>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the event of your retirement, 50% of any unvested Phantom Units that have satisfied all vesting criteria as of the date of termination but for the passage of time shall be deemed nonforfeitable on the date of termination, and shall vest on the next following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DERs associated with the unvested, nonforfeitable Phantom Units described in this paragraph shall not be forfeited on the date of termination, but shall be payable and shall expire in accordance with paragraph 5 above. All other unvested Phantom Units and tandem DERs (regardless of vesting) shall automatically be forfeited as of the date of retirement. “Retirement” means (i) you have reached the age of 60 prior to meeting the time requirement for vesting, (ii) you provide a written statement that you are retiring, and (iii) the written statement includes your agreement not to accept any employment or consulting position with any competitor in the hydrocarbon midstream business for a period of two years after the date of retirement.</w:t>
      </w:r>
    </w:p>
    <w:p>
      <w:pPr>
        <w:spacing w:after="0" w:line="59" w:lineRule="exact"/>
        <w:rPr>
          <w:rFonts w:ascii="Arial" w:cs="Arial" w:eastAsia="Arial" w:hAnsi="Arial"/>
          <w:sz w:val="16"/>
          <w:szCs w:val="16"/>
          <w:color w:val="auto"/>
        </w:rPr>
      </w:pPr>
    </w:p>
    <w:p>
      <w:pPr>
        <w:ind w:left="460" w:right="240" w:hanging="236"/>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of a Change in Status, all of your then outstanding Phantom Units and tandem DERs shall be deemed 100% nonforfeitable on such date, and such Phantom Units shall vest in full upon the next Distribution Date.</w:t>
      </w:r>
    </w:p>
    <w:p>
      <w:pPr>
        <w:spacing w:after="0" w:line="62" w:lineRule="exact"/>
        <w:rPr>
          <w:rFonts w:ascii="Arial" w:cs="Arial" w:eastAsia="Arial" w:hAnsi="Arial"/>
          <w:sz w:val="18"/>
          <w:szCs w:val="18"/>
          <w:color w:val="auto"/>
        </w:rPr>
      </w:pPr>
    </w:p>
    <w:p>
      <w:pPr>
        <w:ind w:left="560" w:hanging="336"/>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payment pursuant to a DER, you agree that the Company may withhold any taxes due from your compensation as required by law. Upon vesting of a Phantom Unit, you agree that the Company may withhold any taxes due from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7" w:name="page8"/>
    <w:bookmarkEnd w:id="7"/>
    <w:p>
      <w:pPr>
        <w:spacing w:after="0"/>
        <w:tabs>
          <w:tab w:leader="none" w:pos="5540" w:val="left"/>
          <w:tab w:leader="none" w:pos="10480" w:val="left"/>
        </w:tabs>
        <w:rPr>
          <w:sz w:val="20"/>
          <w:szCs w:val="20"/>
          <w:color w:val="auto"/>
        </w:rPr>
      </w:pPr>
      <w:r>
        <w:rPr>
          <w:rFonts w:ascii="Arial" w:cs="Arial" w:eastAsia="Arial" w:hAnsi="Arial"/>
          <w:sz w:val="18"/>
          <w:szCs w:val="18"/>
          <w:color w:val="auto"/>
        </w:rPr>
        <w:t>«FirstName» «MI» «LastName»</w:t>
      </w:r>
      <w:r>
        <w:rPr>
          <w:sz w:val="20"/>
          <w:szCs w:val="20"/>
          <w:color w:val="auto"/>
        </w:rPr>
        <w:tab/>
      </w:r>
      <w:r>
        <w:rPr>
          <w:rFonts w:ascii="Arial" w:cs="Arial" w:eastAsia="Arial" w:hAnsi="Arial"/>
          <w:sz w:val="18"/>
          <w:szCs w:val="18"/>
          <w:color w:val="auto"/>
        </w:rPr>
        <w:t>- 3 -</w:t>
      </w:r>
      <w:r>
        <w:rPr>
          <w:sz w:val="20"/>
          <w:szCs w:val="20"/>
          <w:color w:val="auto"/>
        </w:rPr>
        <w:tab/>
      </w:r>
      <w:r>
        <w:rPr>
          <w:rFonts w:ascii="Arial" w:cs="Arial" w:eastAsia="Arial" w:hAnsi="Arial"/>
          <w:sz w:val="16"/>
          <w:szCs w:val="16"/>
          <w:color w:val="auto"/>
        </w:rPr>
        <w:t>«GrantDate»</w:t>
      </w:r>
    </w:p>
    <w:p>
      <w:pPr>
        <w:spacing w:after="0" w:line="117" w:lineRule="exact"/>
        <w:rPr>
          <w:sz w:val="20"/>
          <w:szCs w:val="20"/>
          <w:color w:val="auto"/>
        </w:rPr>
      </w:pPr>
    </w:p>
    <w:p>
      <w:pPr>
        <w:ind w:left="440" w:right="580"/>
        <w:spacing w:after="0" w:line="277" w:lineRule="auto"/>
        <w:rPr>
          <w:sz w:val="20"/>
          <w:szCs w:val="20"/>
          <w:color w:val="auto"/>
        </w:rPr>
      </w:pPr>
      <w:r>
        <w:rPr>
          <w:rFonts w:ascii="Arial" w:cs="Arial" w:eastAsia="Arial" w:hAnsi="Arial"/>
          <w:sz w:val="18"/>
          <w:szCs w:val="18"/>
          <w:color w:val="auto"/>
        </w:rPr>
        <w:t>compensation as required by law, which (in the sole discretion of the Company) may include withholding a number of Common Units otherwise payable to you.</w:t>
      </w:r>
    </w:p>
    <w:p>
      <w:pPr>
        <w:spacing w:after="0" w:line="62" w:lineRule="exact"/>
        <w:rPr>
          <w:sz w:val="20"/>
          <w:szCs w:val="20"/>
          <w:color w:val="auto"/>
        </w:rPr>
      </w:pPr>
    </w:p>
    <w:p>
      <w:pPr>
        <w:ind w:left="220" w:right="400" w:hanging="6"/>
        <w:spacing w:after="0" w:line="361" w:lineRule="auto"/>
        <w:rPr>
          <w:sz w:val="20"/>
          <w:szCs w:val="20"/>
          <w:color w:val="auto"/>
        </w:rPr>
      </w:pPr>
      <w:r>
        <w:rPr>
          <w:rFonts w:ascii="Arial" w:cs="Arial" w:eastAsia="Arial" w:hAnsi="Arial"/>
          <w:sz w:val="16"/>
          <w:szCs w:val="16"/>
          <w:color w:val="auto"/>
        </w:rPr>
        <w:t>As used herein, the phrase “Distribution Date” means the date, in any given month and year, on which the Partnership pays a quarterly distribution. The phrase “Change in Status” means the occurrence, within three months prior to or one year following a Change of Control, of any of the following</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circumstances: (A) any termination by the Company of your employment other than a Termination for Cause, (B) without your consent, any removal of you from, or any failure to re-elect you to, the positions held by you (or substantially equivalent positions) immediately prior to the change that may constitute a Change in Status, or (C) any reduction in your base salary or (D) any material reduction in your fringe benefits.</w:t>
      </w:r>
    </w:p>
    <w:p>
      <w:pPr>
        <w:spacing w:after="0" w:line="82" w:lineRule="exact"/>
        <w:rPr>
          <w:sz w:val="20"/>
          <w:szCs w:val="20"/>
          <w:color w:val="auto"/>
        </w:rPr>
      </w:pPr>
    </w:p>
    <w:p>
      <w:pPr>
        <w:ind w:right="260" w:firstLine="222"/>
        <w:spacing w:after="0" w:line="284" w:lineRule="auto"/>
        <w:rPr>
          <w:sz w:val="20"/>
          <w:szCs w:val="20"/>
          <w:color w:val="auto"/>
        </w:rPr>
      </w:pPr>
      <w:r>
        <w:rPr>
          <w:rFonts w:ascii="Arial" w:cs="Arial" w:eastAsia="Arial" w:hAnsi="Arial"/>
          <w:sz w:val="16"/>
          <w:szCs w:val="16"/>
          <w:color w:val="auto"/>
        </w:rPr>
        <w:t>The phrase “Change of Control” means, and shall be deemed to have occurred upon the occurrence of, one or more of the following events: (i) the Company ceasing to be the general partner of the general partner of the Partnership, (ii) any sale, lease, exchange or other transfer (in one transaction or a 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 (b) the Partnership, the Company or both, (iv) the Persons who own membership interests in the Company on the date hereof cease to beneficially own, directly or indirectly, more than 50% of the membership interest in the Company, or</w:t>
      </w:r>
    </w:p>
    <w:p>
      <w:pPr>
        <w:spacing w:after="0" w:line="5" w:lineRule="exact"/>
        <w:rPr>
          <w:sz w:val="20"/>
          <w:szCs w:val="20"/>
          <w:color w:val="auto"/>
        </w:rPr>
      </w:pPr>
    </w:p>
    <w:p>
      <w:pPr>
        <w:ind w:right="4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Person, including any partnership, limited partnership, syndicate or other group deemed a “person” for purposes of Section 13(d) or 14(d) of the Securities Exchange Act of 1934, as amended, becoming after the date hereof the beneficial owner, directly or indirectly, of more than 49.9% of the membership interest in the Company.</w:t>
      </w:r>
    </w:p>
    <w:p>
      <w:pPr>
        <w:spacing w:after="0" w:line="8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phrase “Termination for Cause” shall mean severance of your employment with the Company or its Affiliates based on your (i) failure to perform your job function in accordance with standards described to you in writing, or (ii) violation of the Company’s Code of Business Conduct (unless waived in accordance with the terms thereof), in each case, with the specific failure or violation described to you in writing.</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refers to Plains All American GP LLC. The “Partnership” refers to Plains All American Pipeline, L.P.</w:t>
      </w:r>
    </w:p>
    <w:p>
      <w:pPr>
        <w:spacing w:after="0" w:line="117"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Terms used herein that are not defined herein shall have the meanings set forth in the Plan or, if not defined in the Plan, in the Third Amended and Restated Agreement of Limited Partnership of Plains All American Pipeline, L.P., as amended (the “Partnership Agreement”). By signing below, you agree that the Phantom Units and DERs granted hereunder are governed by the terms of the Plan. Copies of the Plan and the Partnership Agreement are available upon request. This letter corrects and replaces a similar letter of the same date. Please execute and return this Agreement to me. The attached copy of this Agreement is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4480" w:type="dxa"/>
            <w:vAlign w:val="bottom"/>
            <w:gridSpan w:val="4"/>
          </w:tcPr>
          <w:p>
            <w:pPr>
              <w:spacing w:after="0"/>
              <w:rPr>
                <w:sz w:val="20"/>
                <w:szCs w:val="20"/>
                <w:color w:val="auto"/>
              </w:rPr>
            </w:pPr>
            <w:r>
              <w:rPr>
                <w:rFonts w:ascii="Arial" w:cs="Arial" w:eastAsia="Arial" w:hAnsi="Arial"/>
                <w:sz w:val="18"/>
                <w:szCs w:val="18"/>
                <w:color w:val="auto"/>
              </w:rPr>
              <w:t>«FirstName» «MI» «LastName»</w:t>
            </w:r>
          </w:p>
        </w:tc>
        <w:tc>
          <w:tcPr>
            <w:tcW w:w="1560" w:type="dxa"/>
            <w:vAlign w:val="bottom"/>
          </w:tcPr>
          <w:p>
            <w:pPr>
              <w:ind w:left="1080"/>
              <w:spacing w:after="0"/>
              <w:rPr>
                <w:sz w:val="20"/>
                <w:szCs w:val="20"/>
                <w:color w:val="auto"/>
              </w:rPr>
            </w:pPr>
            <w:r>
              <w:rPr>
                <w:rFonts w:ascii="Arial" w:cs="Arial" w:eastAsia="Arial" w:hAnsi="Arial"/>
                <w:sz w:val="18"/>
                <w:szCs w:val="18"/>
                <w:color w:val="auto"/>
              </w:rPr>
              <w:t>- 4 -</w:t>
            </w:r>
          </w:p>
        </w:tc>
        <w:tc>
          <w:tcPr>
            <w:tcW w:w="100" w:type="dxa"/>
            <w:vAlign w:val="bottom"/>
          </w:tcPr>
          <w:p>
            <w:pPr>
              <w:spacing w:after="0"/>
              <w:rPr>
                <w:sz w:val="20"/>
                <w:szCs w:val="20"/>
                <w:color w:val="auto"/>
              </w:rPr>
            </w:pPr>
          </w:p>
        </w:tc>
        <w:tc>
          <w:tcPr>
            <w:tcW w:w="5280" w:type="dxa"/>
            <w:vAlign w:val="bottom"/>
            <w:gridSpan w:val="2"/>
          </w:tcPr>
          <w:p>
            <w:pPr>
              <w:ind w:left="4360"/>
              <w:spacing w:after="0"/>
              <w:rPr>
                <w:sz w:val="20"/>
                <w:szCs w:val="20"/>
                <w:color w:val="auto"/>
              </w:rPr>
            </w:pPr>
            <w:r>
              <w:rPr>
                <w:rFonts w:ascii="Arial" w:cs="Arial" w:eastAsia="Arial" w:hAnsi="Arial"/>
                <w:sz w:val="18"/>
                <w:szCs w:val="18"/>
                <w:color w:val="auto"/>
                <w:w w:val="87"/>
              </w:rPr>
              <w:t>«GrantDate»</w:t>
            </w: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40" w:type="dxa"/>
            <w:vAlign w:val="bottom"/>
            <w:gridSpan w:val="4"/>
          </w:tcPr>
          <w:p>
            <w:pPr>
              <w:ind w:left="106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By:</w:t>
            </w: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rPr>
              <w:t>PLAINS AAP, L.P.</w:t>
            </w: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By:</w:t>
            </w: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rPr>
              <w:t>PLAINS ALL AMERICAN GP LLC</w:t>
            </w: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Tim Moore</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Title:</w:t>
            </w: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rPr>
              <w:t>Vice President &amp; General Counsel</w:t>
            </w:r>
          </w:p>
        </w:tc>
      </w:tr>
      <w:tr>
        <w:trPr>
          <w:trHeight w:val="216"/>
        </w:trPr>
        <w:tc>
          <w:tcPr>
            <w:tcW w:w="8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First Name</w:t>
            </w:r>
          </w:p>
        </w:tc>
        <w:tc>
          <w:tcPr>
            <w:tcW w:w="36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MI   Last Name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880" w:type="dxa"/>
            <w:vAlign w:val="bottom"/>
            <w:gridSpan w:val="2"/>
          </w:tcPr>
          <w:p>
            <w:pPr>
              <w:spacing w:after="0"/>
              <w:rPr>
                <w:sz w:val="20"/>
                <w:szCs w:val="20"/>
                <w:color w:val="auto"/>
              </w:rPr>
            </w:pPr>
            <w:r>
              <w:rPr>
                <w:rFonts w:ascii="Arial" w:cs="Arial" w:eastAsia="Arial" w:hAnsi="Arial"/>
                <w:sz w:val="18"/>
                <w:szCs w:val="18"/>
                <w:color w:val="auto"/>
              </w:rPr>
              <w:t>Units:</w:t>
            </w:r>
          </w:p>
        </w:tc>
        <w:tc>
          <w:tcPr>
            <w:tcW w:w="3600" w:type="dxa"/>
            <w:vAlign w:val="bottom"/>
            <w:gridSpan w:val="2"/>
          </w:tcPr>
          <w:p>
            <w:pPr>
              <w:jc w:val="center"/>
              <w:ind w:right="780"/>
              <w:spacing w:after="0"/>
              <w:rPr>
                <w:sz w:val="20"/>
                <w:szCs w:val="20"/>
                <w:color w:val="auto"/>
              </w:rPr>
            </w:pPr>
            <w:r>
              <w:rPr>
                <w:rFonts w:ascii="Arial" w:cs="Arial" w:eastAsia="Arial" w:hAnsi="Arial"/>
                <w:sz w:val="18"/>
                <w:szCs w:val="18"/>
                <w:color w:val="auto"/>
                <w:w w:val="94"/>
              </w:rPr>
              <w:t>«Units»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80" w:type="dxa"/>
            <w:vAlign w:val="bottom"/>
            <w:gridSpan w:val="2"/>
          </w:tcPr>
          <w:p>
            <w:pPr>
              <w:spacing w:after="0"/>
              <w:rPr>
                <w:sz w:val="20"/>
                <w:szCs w:val="20"/>
                <w:color w:val="auto"/>
              </w:rPr>
            </w:pPr>
            <w:r>
              <w:rPr>
                <w:rFonts w:ascii="Arial" w:cs="Arial" w:eastAsia="Arial" w:hAnsi="Arial"/>
                <w:sz w:val="18"/>
                <w:szCs w:val="18"/>
                <w:color w:val="auto"/>
              </w:rPr>
              <w:t>SSN:</w:t>
            </w:r>
          </w:p>
        </w:tc>
        <w:tc>
          <w:tcPr>
            <w:tcW w:w="2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«SSN»</w:t>
            </w: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80" w:type="dxa"/>
            <w:vAlign w:val="bottom"/>
            <w:gridSpan w:val="2"/>
          </w:tcPr>
          <w:p>
            <w:pPr>
              <w:spacing w:after="0"/>
              <w:rPr>
                <w:sz w:val="20"/>
                <w:szCs w:val="20"/>
                <w:color w:val="auto"/>
              </w:rPr>
            </w:pPr>
            <w:r>
              <w:rPr>
                <w:rFonts w:ascii="Arial" w:cs="Arial" w:eastAsia="Arial" w:hAnsi="Arial"/>
                <w:sz w:val="18"/>
                <w:szCs w:val="18"/>
                <w:color w:val="auto"/>
              </w:rPr>
              <w:t>Dated:</w:t>
            </w:r>
          </w:p>
        </w:tc>
        <w:tc>
          <w:tcPr>
            <w:tcW w:w="28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9"/>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(cash settled)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LTIP Grant Letter—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211455</wp:posOffset>
            </wp:positionV>
            <wp:extent cx="2470150"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«FirstName» «MI» «LastName»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103"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color w:val="auto"/>
        </w:rPr>
        <w:t>Re:</w:t>
        <w:tab/>
        <w:t>Grant of Phantom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«FirstName»:</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I am pleased to inform you that you have been granted «Units» Phantom Units as of the above date pursuant to the Company’s 2005 Long-Term Incentive Plan (the “Plan”). In addition, in tandem with each Phantom Unit you have been granted a distribution equivalent right (a “DER”). The terms and conditions of this grant are as set forth below.</w:t>
      </w:r>
    </w:p>
    <w:p>
      <w:pPr>
        <w:spacing w:after="0" w:line="73" w:lineRule="exact"/>
        <w:rPr>
          <w:sz w:val="20"/>
          <w:szCs w:val="20"/>
          <w:color w:val="auto"/>
        </w:rPr>
      </w:pPr>
    </w:p>
    <w:p>
      <w:pPr>
        <w:ind w:left="460" w:right="40" w:hanging="236"/>
        <w:spacing w:after="0" w:line="272"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to the further provisions of this Agreement, your Phantom Units shall vest (become payable in cash based on the Market Value of an equivalent number of Common Units of Plains All American Pipeline, L.P.) as follows: (i) 33.33% shall vest upon the later to occur of the May 2011 Distribution Date and the date on which the Partnership pays a quarterly distribution of at least $0.875 per unit, (ii) 33.33% shall vest upon the later to occur of the May 2011 Distribution Date and the date on which the Partnership pays a quarterly distribution of at least $1.00 per unit, and (iii) 33.34% shall vest upon the later to occur of the May 2012 Distribution Date and the date on which the Partnership pays a quarterly distribution of at least $0.9375 per unit. Any remaining Phantom Units that are not vested by the May 2014 Distribution Date, and any tandem DERs (regardless of vesting) associated with such Phantom Units, shall expire on such date.</w:t>
      </w:r>
    </w:p>
    <w:p>
      <w:pPr>
        <w:spacing w:after="0" w:line="69" w:lineRule="exact"/>
        <w:rPr>
          <w:rFonts w:ascii="Arial" w:cs="Arial" w:eastAsia="Arial" w:hAnsi="Arial"/>
          <w:sz w:val="17"/>
          <w:szCs w:val="17"/>
          <w:color w:val="auto"/>
        </w:rPr>
      </w:pPr>
    </w:p>
    <w:p>
      <w:pPr>
        <w:ind w:left="460" w:right="120" w:hanging="236"/>
        <w:spacing w:after="0" w:line="25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DERs shall vest (become payable in cash) as follows: (i) 25% shall vest upon and effective with the date on which the Partnership pays a quarterly distribution of at least $0.85 per unit, (ii) 25% shall vest upon and effective with date on which the Partnership pays a quarterly distribution of at least $0.90 per unit, (iii) 25% shall vest upon and effective with the date on which the Partnership pays a quarterly distribution of at least $0.95 per unit, and (iv) 25% shall vest upon and effective with date on which the Partnership pays a quarterly distribution of at least $1.00 per unit.</w:t>
      </w:r>
    </w:p>
    <w:p>
      <w:pPr>
        <w:spacing w:after="0" w:line="80" w:lineRule="exact"/>
        <w:rPr>
          <w:rFonts w:ascii="Arial" w:cs="Arial" w:eastAsia="Arial" w:hAnsi="Arial"/>
          <w:sz w:val="18"/>
          <w:szCs w:val="18"/>
          <w:color w:val="auto"/>
        </w:rPr>
      </w:pPr>
    </w:p>
    <w:p>
      <w:pPr>
        <w:ind w:left="460" w:hanging="236"/>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Your DERs shall not accrue payments prior to vesting.</w:t>
      </w:r>
    </w:p>
    <w:p>
      <w:pPr>
        <w:spacing w:after="0" w:line="117" w:lineRule="exact"/>
        <w:rPr>
          <w:rFonts w:ascii="Arial" w:cs="Arial" w:eastAsia="Arial" w:hAnsi="Arial"/>
          <w:sz w:val="18"/>
          <w:szCs w:val="18"/>
          <w:color w:val="auto"/>
        </w:rPr>
      </w:pPr>
    </w:p>
    <w:p>
      <w:pPr>
        <w:ind w:left="460" w:right="320" w:hanging="236"/>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distribution level required for vesting under paragraphs 1 or 2 above shall be proportionately reduced or increased for any split or reverse split, respectively, of the Units, or any event or transaction having similar effect.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Clay Street, Suite 1600  n  Houston, Texas 77002  n  713/646-4100 or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tabs>
          <w:tab w:leader="none" w:pos="5540" w:val="left"/>
          <w:tab w:leader="none" w:pos="10480" w:val="left"/>
        </w:tabs>
        <w:rPr>
          <w:sz w:val="20"/>
          <w:szCs w:val="20"/>
          <w:color w:val="auto"/>
        </w:rPr>
      </w:pPr>
      <w:r>
        <w:rPr>
          <w:rFonts w:ascii="Arial" w:cs="Arial" w:eastAsia="Arial" w:hAnsi="Arial"/>
          <w:sz w:val="18"/>
          <w:szCs w:val="18"/>
          <w:color w:val="auto"/>
        </w:rPr>
        <w:t>«FirstName» «MI» «LastName»</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«GrantDate»</w:t>
      </w:r>
    </w:p>
    <w:p>
      <w:pPr>
        <w:sectPr>
          <w:pgSz w:w="11900" w:h="16838" w:orient="portrait"/>
          <w:cols w:equalWidth="0" w:num="1">
            <w:col w:w="11420"/>
          </w:cols>
          <w:pgMar w:left="240" w:top="1152" w:right="239" w:bottom="1440" w:gutter="0" w:footer="0" w:header="0"/>
        </w:sectPr>
      </w:pPr>
    </w:p>
    <w:p>
      <w:pPr>
        <w:spacing w:after="0" w:line="117" w:lineRule="exact"/>
        <w:rPr>
          <w:sz w:val="20"/>
          <w:szCs w:val="20"/>
          <w:color w:val="auto"/>
        </w:rPr>
      </w:pPr>
    </w:p>
    <w:p>
      <w:pPr>
        <w:ind w:left="460" w:right="240" w:hanging="236"/>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pacing w:after="0" w:line="62" w:lineRule="exact"/>
        <w:rPr>
          <w:rFonts w:ascii="Arial" w:cs="Arial" w:eastAsia="Arial" w:hAnsi="Arial"/>
          <w:sz w:val="18"/>
          <w:szCs w:val="18"/>
          <w:color w:val="auto"/>
        </w:rPr>
      </w:pPr>
    </w:p>
    <w:p>
      <w:pPr>
        <w:ind w:left="460" w:right="80" w:hanging="236"/>
        <w:spacing w:after="0" w:line="27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your employment with the Company and its Affiliates (other than in connection with a Change in Status or by reason of your death, “disability,” as defined in paragraph 7 below, or “retirement” as defined in paragraph 8 below), all of your then outstanding DERs (regardless of vesting) and Phantom Units shall automatically be forfeited as of the date of termination;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Company or its Affiliates terminate your employment other than a Termination for Cause: (i) any unvested Phantom Units that have satisfied all vesting criteria as of the date of termination but for the passage of time shall be deemed nonforfeitable on the date of termination, and shall vest on the next following Distribution Date; (ii) any DERs associated with the unvested, nonforfeitable Phantom Units described in clause (i) shall not be forfeited on the date of termination, but shall be payable and shall expire in accordance with paragraph 5 above; and (iii) any unvested Phantom Units that have satisfied none of the vesting criteria as of the date of termination, and any tandem DERs (regardless of vesting) associated with such Phantom Units, shall automatically be forfeited as of the date of termination.</w:t>
      </w:r>
    </w:p>
    <w:p>
      <w:pPr>
        <w:spacing w:after="0" w:line="73" w:lineRule="exact"/>
        <w:rPr>
          <w:rFonts w:ascii="Arial" w:cs="Arial" w:eastAsia="Arial" w:hAnsi="Arial"/>
          <w:sz w:val="17"/>
          <w:szCs w:val="17"/>
          <w:color w:val="auto"/>
        </w:rPr>
      </w:pPr>
    </w:p>
    <w:p>
      <w:pPr>
        <w:ind w:left="460" w:right="160" w:hanging="236"/>
        <w:spacing w:after="0" w:line="27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all of your then outstanding Phantom Units and tandem DERs shall be deemed 100% nonforfeitable on such date, and such Phantom Units and DERs shall vest in accordance with paragraph 1 and paragraph 2 above.</w:t>
      </w:r>
    </w:p>
    <w:p>
      <w:pPr>
        <w:spacing w:after="0" w:line="63" w:lineRule="exact"/>
        <w:rPr>
          <w:rFonts w:ascii="Arial" w:cs="Arial" w:eastAsia="Arial" w:hAnsi="Arial"/>
          <w:sz w:val="17"/>
          <w:szCs w:val="17"/>
          <w:color w:val="auto"/>
        </w:rPr>
      </w:pPr>
    </w:p>
    <w:p>
      <w:pPr>
        <w:ind w:left="460" w:right="60" w:hanging="236"/>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the event of your retirement, 50% of any unvested Phantom Units that have satisfied all vesting criteria as of the date of termination but for the passage of time shall be deemed nonforfeitable on the date of termination, and shall vest on the next following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DERs associated with the unvested, nonforfeitable Phantom Units described in this paragraph shall not be forfeited on the date of termination, but shall be payable and shall expire in accordance with paragraph 5 above. All other unvested Phantom Units and tandem DERs (regardless of vesting) shall automatically be forfeited as of the date of retirement. “Retirement” means (i) you have reached the age of 60 prior to meeting the time requirement for vesting, (ii) you provide a written statement that you are retiring, and (iii) the written statement includes your agreement not to accept any employment or consulting position with any competitor in the hydrocarbon midstream business for a period of two years after the date of retirement.</w:t>
      </w:r>
    </w:p>
    <w:p>
      <w:pPr>
        <w:spacing w:after="0" w:line="59" w:lineRule="exact"/>
        <w:rPr>
          <w:rFonts w:ascii="Arial" w:cs="Arial" w:eastAsia="Arial" w:hAnsi="Arial"/>
          <w:sz w:val="16"/>
          <w:szCs w:val="16"/>
          <w:color w:val="auto"/>
        </w:rPr>
      </w:pPr>
    </w:p>
    <w:p>
      <w:pPr>
        <w:ind w:left="460" w:right="240" w:hanging="236"/>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of a Change in Status, all of your then outstanding Phantom Units and tandem DERs shall be deemed 100% nonforfeitable on such date, and such Phantom Units shall vest in full upon the next Distribution Date.</w:t>
      </w:r>
    </w:p>
    <w:p>
      <w:pPr>
        <w:spacing w:after="0" w:line="62" w:lineRule="exact"/>
        <w:rPr>
          <w:rFonts w:ascii="Arial" w:cs="Arial" w:eastAsia="Arial" w:hAnsi="Arial"/>
          <w:sz w:val="18"/>
          <w:szCs w:val="18"/>
          <w:color w:val="auto"/>
        </w:rPr>
      </w:pPr>
    </w:p>
    <w:p>
      <w:pPr>
        <w:ind w:left="560" w:hanging="336"/>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payment pursuant to a DER, you agree that the Company may withhold any taxes due from your compensation as required by law. Upon vesting of a Phantom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11" w:name="page12"/>
    <w:bookmarkEnd w:id="11"/>
    <w:p>
      <w:pPr>
        <w:spacing w:after="0"/>
        <w:tabs>
          <w:tab w:leader="none" w:pos="5540" w:val="left"/>
          <w:tab w:leader="none" w:pos="10480" w:val="left"/>
        </w:tabs>
        <w:rPr>
          <w:sz w:val="20"/>
          <w:szCs w:val="20"/>
          <w:color w:val="auto"/>
        </w:rPr>
      </w:pPr>
      <w:r>
        <w:rPr>
          <w:rFonts w:ascii="Arial" w:cs="Arial" w:eastAsia="Arial" w:hAnsi="Arial"/>
          <w:sz w:val="18"/>
          <w:szCs w:val="18"/>
          <w:color w:val="auto"/>
        </w:rPr>
        <w:t>«FirstName» «MI» «LastName»</w:t>
      </w:r>
      <w:r>
        <w:rPr>
          <w:sz w:val="20"/>
          <w:szCs w:val="20"/>
          <w:color w:val="auto"/>
        </w:rPr>
        <w:tab/>
      </w:r>
      <w:r>
        <w:rPr>
          <w:rFonts w:ascii="Arial" w:cs="Arial" w:eastAsia="Arial" w:hAnsi="Arial"/>
          <w:sz w:val="18"/>
          <w:szCs w:val="18"/>
          <w:color w:val="auto"/>
        </w:rPr>
        <w:t>- 3 -</w:t>
      </w:r>
      <w:r>
        <w:rPr>
          <w:sz w:val="20"/>
          <w:szCs w:val="20"/>
          <w:color w:val="auto"/>
        </w:rPr>
        <w:tab/>
      </w:r>
      <w:r>
        <w:rPr>
          <w:rFonts w:ascii="Arial" w:cs="Arial" w:eastAsia="Arial" w:hAnsi="Arial"/>
          <w:sz w:val="16"/>
          <w:szCs w:val="16"/>
          <w:color w:val="auto"/>
        </w:rPr>
        <w:t>«GrantDate»</w:t>
      </w:r>
    </w:p>
    <w:p>
      <w:pPr>
        <w:spacing w:after="0" w:line="117" w:lineRule="exact"/>
        <w:rPr>
          <w:sz w:val="20"/>
          <w:szCs w:val="20"/>
          <w:color w:val="auto"/>
        </w:rPr>
      </w:pPr>
    </w:p>
    <w:p>
      <w:pPr>
        <w:ind w:left="440" w:right="720"/>
        <w:spacing w:after="0" w:line="277" w:lineRule="auto"/>
        <w:rPr>
          <w:sz w:val="20"/>
          <w:szCs w:val="20"/>
          <w:color w:val="auto"/>
        </w:rPr>
      </w:pPr>
      <w:r>
        <w:rPr>
          <w:rFonts w:ascii="Arial" w:cs="Arial" w:eastAsia="Arial" w:hAnsi="Arial"/>
          <w:sz w:val="18"/>
          <w:szCs w:val="18"/>
          <w:color w:val="auto"/>
        </w:rPr>
        <w:t>Unit, you agree that the Company may withhold any taxes due from your compensation as required by law, which (in the sole discretion of the Company) may include withholding a number of Common Units otherwise payable to you.</w:t>
      </w:r>
    </w:p>
    <w:p>
      <w:pPr>
        <w:spacing w:after="0" w:line="62" w:lineRule="exact"/>
        <w:rPr>
          <w:sz w:val="20"/>
          <w:szCs w:val="20"/>
          <w:color w:val="auto"/>
        </w:rPr>
      </w:pPr>
    </w:p>
    <w:p>
      <w:pPr>
        <w:ind w:right="280" w:firstLine="215"/>
        <w:spacing w:after="0" w:line="264" w:lineRule="auto"/>
        <w:rPr>
          <w:sz w:val="20"/>
          <w:szCs w:val="20"/>
          <w:color w:val="auto"/>
        </w:rPr>
      </w:pPr>
      <w:r>
        <w:rPr>
          <w:rFonts w:ascii="Arial" w:cs="Arial" w:eastAsia="Arial" w:hAnsi="Arial"/>
          <w:sz w:val="18"/>
          <w:szCs w:val="18"/>
          <w:color w:val="auto"/>
        </w:rPr>
        <w:t>As used herein, the phrase “Distribution Date” means the date, in any given month and year, on which the Partnership pays a quarterly distribution. “Market Value” means the average of the closing sales prices for a Common Unit on the New York Stock Exchange for the five trading days preceding the then most recent “ex dividend” date for payment of a distribution by the Partnership.</w:t>
      </w:r>
    </w:p>
    <w:p>
      <w:pPr>
        <w:spacing w:after="0" w:line="73"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phrase “Change in Status” means the occurrence, within three months prior to or one year following a Change of Control, of any of the following circumstances: (A) any termination by the Company of your employment other than a Termination for Cause, (B) without your consent, any removal of you from, or any failure to re-elect you to, the positions held by you (or substantially equivalent positions) immediately prior to the change that may constitute a Change in Status, or (C) any reduction in your base salary or (D) any material reduction in your fringe benefits.</w:t>
      </w:r>
    </w:p>
    <w:p>
      <w:pPr>
        <w:spacing w:after="0" w:line="63" w:lineRule="exact"/>
        <w:rPr>
          <w:sz w:val="20"/>
          <w:szCs w:val="20"/>
          <w:color w:val="auto"/>
        </w:rPr>
      </w:pPr>
    </w:p>
    <w:p>
      <w:pPr>
        <w:ind w:right="260" w:firstLine="222"/>
        <w:spacing w:after="0" w:line="284" w:lineRule="auto"/>
        <w:rPr>
          <w:sz w:val="20"/>
          <w:szCs w:val="20"/>
          <w:color w:val="auto"/>
        </w:rPr>
      </w:pPr>
      <w:r>
        <w:rPr>
          <w:rFonts w:ascii="Arial" w:cs="Arial" w:eastAsia="Arial" w:hAnsi="Arial"/>
          <w:sz w:val="16"/>
          <w:szCs w:val="16"/>
          <w:color w:val="auto"/>
        </w:rPr>
        <w:t>The phrase “Change of Control” means, and shall be deemed to have occurred upon the occurrence of, one or more of the following events: (i) the Company ceasing to be the general partner of the general partner of the Partnership, (ii) any sale, lease, exchange or other transfer (in one transaction or a 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 (b) the Partnership, the Company or both, (iv) the Persons who own membership interests in the Company on the date hereof cease to beneficially own, directly or indirectly, more than 50% of the membership interest in the Company, or</w:t>
      </w:r>
    </w:p>
    <w:p>
      <w:pPr>
        <w:spacing w:after="0" w:line="5" w:lineRule="exact"/>
        <w:rPr>
          <w:sz w:val="20"/>
          <w:szCs w:val="20"/>
          <w:color w:val="auto"/>
        </w:rPr>
      </w:pPr>
    </w:p>
    <w:p>
      <w:pPr>
        <w:ind w:right="480" w:firstLine="8"/>
        <w:spacing w:after="0" w:line="25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Person, including any partnership, limited partnership, syndicate or other group deemed a “person” for purposes of Section 13(d) or 14(d) of the Securities Exchange Act of 1934, as amended, becoming after the date hereof the beneficial owner, directly or indirectly, of more than 49.9% of the membership interest in the Company.</w:t>
      </w:r>
    </w:p>
    <w:p>
      <w:pPr>
        <w:spacing w:after="0" w:line="8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phrase “Termination for Cause” shall mean severance of your employment with the Company or its Affiliates based on your (i) failure to perform your job function in accordance with standards described to you in writing, or (ii) violation of the Company’s Code of Business Conduct (unless waived in accordance with the terms thereof), in each case, with the specific failure or violation described to you in writing.</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refers to Plains All American GP LLC. The “Partnership” refers to Plains All American Pipeline, L.P.</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Terms used herein that are not defined herein shall have the meanings set forth in the Plan or, if not defined in the Plan, in the Third Amended and Restated Agreement of Limited Partnership of Plains All American Pipeline, L.P., as amended (the “Partnership Agreement”). By signing below, you agree that the Phantom Units and DERs granted hereunder are governed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2" w:name="page13"/>
    <w:bookmarkEnd w:id="12"/>
    <w:p>
      <w:pPr>
        <w:spacing w:after="0"/>
        <w:tabs>
          <w:tab w:leader="none" w:pos="5540" w:val="left"/>
          <w:tab w:leader="none" w:pos="10480" w:val="left"/>
        </w:tabs>
        <w:rPr>
          <w:sz w:val="20"/>
          <w:szCs w:val="20"/>
          <w:color w:val="auto"/>
        </w:rPr>
      </w:pPr>
      <w:r>
        <w:rPr>
          <w:rFonts w:ascii="Arial" w:cs="Arial" w:eastAsia="Arial" w:hAnsi="Arial"/>
          <w:sz w:val="18"/>
          <w:szCs w:val="18"/>
          <w:color w:val="auto"/>
        </w:rPr>
        <w:t>«FirstName» «MI» «LastName»</w:t>
      </w:r>
      <w:r>
        <w:rPr>
          <w:sz w:val="20"/>
          <w:szCs w:val="20"/>
          <w:color w:val="auto"/>
        </w:rPr>
        <w:tab/>
      </w:r>
      <w:r>
        <w:rPr>
          <w:rFonts w:ascii="Arial" w:cs="Arial" w:eastAsia="Arial" w:hAnsi="Arial"/>
          <w:sz w:val="18"/>
          <w:szCs w:val="18"/>
          <w:color w:val="auto"/>
        </w:rPr>
        <w:t>- 4 -</w:t>
      </w:r>
      <w:r>
        <w:rPr>
          <w:sz w:val="20"/>
          <w:szCs w:val="20"/>
          <w:color w:val="auto"/>
        </w:rPr>
        <w:tab/>
      </w:r>
      <w:r>
        <w:rPr>
          <w:rFonts w:ascii="Arial" w:cs="Arial" w:eastAsia="Arial" w:hAnsi="Arial"/>
          <w:sz w:val="16"/>
          <w:szCs w:val="16"/>
          <w:color w:val="auto"/>
        </w:rPr>
        <w:t>«GrantDate»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by the terms of the Plan. Copies of the Plan and the Partnership Agreement are available upon request. This letter corrects and replaces a similar letter of the same date. Please execute and return this Agreement to me. The attached copy of this Agreement is for your records.</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PLAINS ALL AMERICAN PIPELINE, L.P.</w:t>
      </w:r>
    </w:p>
    <w:p>
      <w:pPr>
        <w:sectPr>
          <w:pgSz w:w="11900" w:h="16838" w:orient="portrait"/>
          <w:cols w:equalWidth="0" w:num="1">
            <w:col w:w="11420"/>
          </w:cols>
          <w:pgMar w:left="240" w:top="1152" w:right="239" w:bottom="1440" w:gutter="0" w:footer="0" w:header="0"/>
        </w:sect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PLAINS AAP, L.P.</w:t>
      </w:r>
    </w:p>
    <w:p>
      <w:pPr>
        <w:spacing w:after="0" w:line="211" w:lineRule="exact"/>
        <w:rPr>
          <w:sz w:val="20"/>
          <w:szCs w:val="20"/>
          <w:color w:val="auto"/>
        </w:rPr>
      </w:pPr>
    </w:p>
    <w:p>
      <w:pPr>
        <w:sectPr>
          <w:pgSz w:w="11900" w:h="16838" w:orient="portrait"/>
          <w:cols w:equalWidth="0" w:num="2">
            <w:col w:w="5800" w:space="340"/>
            <w:col w:w="5280"/>
          </w:cols>
          <w:pgMar w:left="240" w:top="1152" w:right="239" w:bottom="1440" w:gutter="0" w:footer="0" w:header="0"/>
          <w:type w:val="continuous"/>
        </w:sectPr>
      </w:pPr>
    </w:p>
    <w:p>
      <w:pPr>
        <w:spacing w:after="0" w:line="3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PLAINS ALL AMERICAN GP LLC</w:t>
      </w:r>
    </w:p>
    <w:p>
      <w:pPr>
        <w:spacing w:after="0" w:line="200" w:lineRule="exact"/>
        <w:rPr>
          <w:sz w:val="20"/>
          <w:szCs w:val="20"/>
          <w:color w:val="auto"/>
        </w:rPr>
      </w:pPr>
    </w:p>
    <w:p>
      <w:pPr>
        <w:sectPr>
          <w:pgSz w:w="11900" w:h="16838" w:orient="portrait"/>
          <w:cols w:equalWidth="0" w:num="2">
            <w:col w:w="5800" w:space="340"/>
            <w:col w:w="5280"/>
          </w:cols>
          <w:pgMar w:left="240" w:top="1152" w:right="239" w:bottom="1440" w:gutter="0" w:footer="0" w:header="0"/>
          <w:type w:val="continuous"/>
        </w:sectPr>
      </w:pPr>
    </w:p>
    <w:p>
      <w:pPr>
        <w:spacing w:after="0" w:line="3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284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Tim Moore</w:t>
      </w:r>
    </w:p>
    <w:p>
      <w:pPr>
        <w:spacing w:after="0" w:line="23" w:lineRule="exact"/>
        <w:rPr>
          <w:sz w:val="20"/>
          <w:szCs w:val="20"/>
          <w:color w:val="auto"/>
        </w:rPr>
      </w:pPr>
    </w:p>
    <w:p>
      <w:pPr>
        <w:ind w:left="5540"/>
        <w:spacing w:after="0"/>
        <w:tabs>
          <w:tab w:leader="none" w:pos="6120" w:val="left"/>
        </w:tabs>
        <w:rPr>
          <w:sz w:val="20"/>
          <w:szCs w:val="20"/>
          <w:color w:val="auto"/>
        </w:rPr>
      </w:pPr>
      <w:r>
        <w:rPr>
          <w:rFonts w:ascii="Arial" w:cs="Arial" w:eastAsia="Arial" w:hAnsi="Arial"/>
          <w:sz w:val="16"/>
          <w:szCs w:val="16"/>
          <w:color w:val="auto"/>
        </w:rPr>
        <w:t>Title:</w:t>
        <w:tab/>
        <w:t>Vice President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38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FirstName  MI  Last Name</w:t>
      </w:r>
    </w:p>
    <w:p>
      <w:pPr>
        <w:spacing w:after="0" w:line="22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Units:</w:t>
      </w:r>
      <w:r>
        <w:rPr>
          <w:sz w:val="20"/>
          <w:szCs w:val="20"/>
          <w:color w:val="auto"/>
        </w:rPr>
        <w:tab/>
      </w: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17837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SSN:</w:t>
      </w:r>
      <w:r>
        <w:rPr>
          <w:sz w:val="20"/>
          <w:szCs w:val="20"/>
          <w:color w:val="auto"/>
        </w:rPr>
        <w:tab/>
      </w: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17837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1783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sectPr>
      <w:pgSz w:w="11900" w:h="16838" w:orient="portrait"/>
      <w:cols w:equalWidth="0" w:num="1">
        <w:col w:w="11420"/>
      </w:cols>
      <w:pgMar w:left="240" w:top="115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lowerRoman"/>
      <w:start w:val="5"/>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2020-02-06T08:54:36Z</dcterms:created>
  <dcterms:modified xsi:type="dcterms:W3CDTF">2020-02-06T08:54:36Z</dcterms:modified>
</cp:coreProperties>
</file>