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22,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80" w:space="720"/>
            <w:col w:w="2740" w:space="720"/>
            <w:col w:w="308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80" w:firstLine="8"/>
        <w:spacing w:after="0" w:line="498"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Senior Unsecured Revolving Credit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August 22, 2022, Plains All American Pipeline, L.P. (the “Partnership”) and Plains Midstream Canada ULC (“PMC”), each a wholly-owned subsidiary of Plains GP Holdings, L.P. (“PAGP” or the “Registrant”), entered into that certain First Amendment to Credit Agreement (the “Revolving Credit Facility Amendment”) amending certain of the terms of their Credit Agreement dated as of August 20, 2021 among the Partnership and PMC, as borrowers, Bank of America, N.A., as administrative agent, and the other lenders party thereto (as amended, the “Revolving Credit Agreement”). Pursuant to the Revolving Credit Facility Amendment, among other things, the Eurocurrency Rate was replaced with Term SOFR and Canadian Term Rate, as applicable, and a mechanism was added to replace Term SOFR and Canadian Term Rate or other then-applicable interest rate benchmark if it is no longer available. In connection with the Revolving Credit Facility Amendment, the Maturity Date of the Revolving Credit Agreement was also extended from August 20, 2026 to August 20, 2027. Terms used in this paragraph but not defined herein have the meanings assigned to them in the Revolving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Hedged Inventory Credit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22, 2022, Plains Marketing, L.P. (“PMLP”), a wholly-owned subsidiary of the Partnership, and PMC entered into that certain First Amendment to Fourth Amended and Restated Credit Agreement (the “Hedged Inventory Facility Amendment” and together with the Revolving Credit Facility Amendment, the “Amendments”) amending certain of the terms of their Fourth Amended and Restated Credit Agreement dated as of August 20, 2021 among PMLP and PMC, as borrowers, the Partnership, as guarantor, Bank of America, N.A., as administrative agent, and the other lenders party thereto (as amended, the “Hedged Inventory Facility”). Pursuant to the Hedged Inventory Facility Amendment, among other things, the Eurocurrency Rate was replaced with Term SOFR and Canadian Term Rate, as applicable, and a mechanism was added to replace Term SOFR and Canadian Term Rate or other then-applicable interest rate benchmark if it is no longer available. In connection with the Hedged Inventory Facility Amendment, the Maturity Date of the Hedged Inventory Facility was also extended from August 20, 2024 to August 20, 2025. Terms used in this paragraph but not defined herein have the meanings assigned to them in the Hedged Inventory Facility.</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above descriptions of the Amendments are qualified in their entirety by the terms of the Revolving Credit Facility Amendment and the Hedged Inventory Facility Amendment, as applicable, which are attached hereto as Exhibits 10.1 and 10.2, respectively, and are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1880" w:right="40" w:hanging="1551"/>
        <w:spacing w:after="0" w:line="257" w:lineRule="auto"/>
        <w:tabs>
          <w:tab w:leader="none" w:pos="1860" w:val="left"/>
        </w:tabs>
        <w:rPr>
          <w:sz w:val="20"/>
          <w:szCs w:val="20"/>
          <w:color w:val="auto"/>
        </w:rPr>
      </w:pPr>
      <w:r>
        <w:rPr>
          <w:rFonts w:ascii="Arial" w:cs="Arial" w:eastAsia="Arial" w:hAnsi="Arial"/>
          <w:sz w:val="18"/>
          <w:szCs w:val="18"/>
          <w:u w:val="single" w:color="auto"/>
          <w:color w:val="0000EE"/>
        </w:rPr>
        <w:t>Exhibit 10.1 –</w:t>
      </w:r>
      <w:r>
        <w:rPr>
          <w:sz w:val="20"/>
          <w:szCs w:val="20"/>
          <w:color w:val="auto"/>
        </w:rPr>
        <w:tab/>
      </w:r>
      <w:r>
        <w:rPr>
          <w:rFonts w:ascii="Arial" w:cs="Arial" w:eastAsia="Arial" w:hAnsi="Arial"/>
          <w:sz w:val="18"/>
          <w:szCs w:val="18"/>
          <w:u w:val="single" w:color="auto"/>
          <w:color w:val="0000EE"/>
        </w:rPr>
        <w:t>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w:t>
      </w:r>
    </w:p>
    <w:p>
      <w:pPr>
        <w:spacing w:after="0" w:line="188" w:lineRule="exact"/>
        <w:rPr>
          <w:sz w:val="20"/>
          <w:szCs w:val="20"/>
          <w:color w:val="auto"/>
        </w:rPr>
      </w:pPr>
    </w:p>
    <w:p>
      <w:pPr>
        <w:ind w:left="1880" w:right="40" w:hanging="1551"/>
        <w:spacing w:after="0" w:line="279" w:lineRule="auto"/>
        <w:tabs>
          <w:tab w:leader="none" w:pos="1860" w:val="left"/>
        </w:tabs>
        <w:rPr>
          <w:sz w:val="20"/>
          <w:szCs w:val="20"/>
          <w:color w:val="auto"/>
        </w:rPr>
      </w:pPr>
      <w:r>
        <w:rPr>
          <w:rFonts w:ascii="Arial" w:cs="Arial" w:eastAsia="Arial" w:hAnsi="Arial"/>
          <w:sz w:val="18"/>
          <w:szCs w:val="18"/>
          <w:u w:val="single" w:color="auto"/>
          <w:color w:val="0000EE"/>
        </w:rPr>
        <w:t>Exhibit 10.2 –</w:t>
      </w:r>
      <w:r>
        <w:rPr>
          <w:sz w:val="20"/>
          <w:szCs w:val="20"/>
          <w:color w:val="auto"/>
        </w:rPr>
        <w:tab/>
      </w:r>
      <w:r>
        <w:rPr>
          <w:rFonts w:ascii="Arial" w:cs="Arial" w:eastAsia="Arial" w:hAnsi="Arial"/>
          <w:sz w:val="17"/>
          <w:szCs w:val="17"/>
          <w:u w:val="single" w:color="auto"/>
          <w:color w:val="0000EE"/>
        </w:rPr>
        <w:t>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w:t>
      </w:r>
    </w:p>
    <w:p>
      <w:pPr>
        <w:spacing w:after="0" w:line="17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color w:val="auto"/>
        </w:rPr>
        <w:t>Exhibit 104 –</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25, 2022</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FIRST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22nd day of August, 2022, is by and among PLAINS ALL AMERICAN PIPELINE, L.P.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the Lenders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Borrowers, Administrative Agent and the L/C Issuers and Lenders party thereto entered into that certain Credit Agreement dated as of August 20, 2021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purposes and consideration therein expressed;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Borrowers, Administrative Agent, and the Lenders party hereto desire to amend the Original Agreement for the purposes described herein;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  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pacing w:after="0" w:line="170" w:lineRule="exact"/>
        <w:rPr>
          <w:rFonts w:ascii="Arial" w:cs="Arial" w:eastAsia="Arial" w:hAnsi="Arial"/>
          <w:sz w:val="18"/>
          <w:szCs w:val="18"/>
          <w:color w:val="auto"/>
        </w:rPr>
      </w:pPr>
    </w:p>
    <w:p>
      <w:pPr>
        <w:ind w:right="2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  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656"/>
        <w:spacing w:after="0" w:line="301" w:lineRule="auto"/>
        <w:tabs>
          <w:tab w:leader="none" w:pos="783" w:val="left"/>
        </w:tabs>
        <w:numPr>
          <w:ilvl w:val="0"/>
          <w:numId w:val="3"/>
        </w:numPr>
        <w:rPr>
          <w:rFonts w:ascii="Arial" w:cs="Arial" w:eastAsia="Arial" w:hAnsi="Arial"/>
          <w:sz w:val="16"/>
          <w:szCs w:val="16"/>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  Credit Agreement</w:t>
      </w:r>
      <w:r>
        <w:rPr>
          <w:rFonts w:ascii="Arial" w:cs="Arial" w:eastAsia="Arial" w:hAnsi="Arial"/>
          <w:sz w:val="16"/>
          <w:szCs w:val="16"/>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Arial" w:cs="Arial" w:eastAsia="Arial" w:hAnsi="Arial"/>
          <w:sz w:val="16"/>
          <w:szCs w:val="16"/>
          <w:color w:val="FF0000"/>
          <w:strike w:val="1"/>
        </w:rPr>
        <w:t>stricken text</w:t>
      </w:r>
      <w:r>
        <w:rPr>
          <w:rFonts w:ascii="Arial" w:cs="Arial" w:eastAsia="Arial" w:hAnsi="Arial"/>
          <w:sz w:val="16"/>
          <w:szCs w:val="16"/>
          <w:color w:val="FF0000"/>
        </w:rPr>
        <w:t xml:space="preserve"> </w:t>
      </w:r>
      <w:r>
        <w:rPr>
          <w:rFonts w:ascii="Arial" w:cs="Arial" w:eastAsia="Arial" w:hAnsi="Arial"/>
          <w:sz w:val="16"/>
          <w:szCs w:val="16"/>
          <w:color w:val="000000"/>
        </w:rPr>
        <w:t>and</w:t>
      </w:r>
      <w:r>
        <w:rPr>
          <w:rFonts w:ascii="Arial" w:cs="Arial" w:eastAsia="Arial" w:hAnsi="Arial"/>
          <w:sz w:val="16"/>
          <w:szCs w:val="16"/>
          <w:color w:val="FF0000"/>
        </w:rPr>
        <w:t xml:space="preserve"> </w:t>
      </w:r>
      <w:r>
        <w:rPr>
          <w:rFonts w:ascii="Arial" w:cs="Arial" w:eastAsia="Arial" w:hAnsi="Arial"/>
          <w:sz w:val="16"/>
          <w:szCs w:val="16"/>
          <w:color w:val="00B150"/>
          <w:strike w:val="1"/>
        </w:rPr>
        <w:t>stricken text</w:t>
      </w:r>
      <w:r>
        <w:rPr>
          <w:rFonts w:ascii="Arial" w:cs="Arial" w:eastAsia="Arial" w:hAnsi="Arial"/>
          <w:sz w:val="16"/>
          <w:szCs w:val="16"/>
          <w:color w:val="000000"/>
        </w:rPr>
        <w:t>) and (b) to add the blue or green double-underlined text (indicated textually in the same manner as the following examples: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double-underlined text</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B150"/>
        </w:rPr>
        <w:t>double-underlined text</w:t>
      </w:r>
      <w:r>
        <w:rPr>
          <w:rFonts w:ascii="Arial" w:cs="Arial" w:eastAsia="Arial" w:hAnsi="Arial"/>
          <w:sz w:val="16"/>
          <w:szCs w:val="16"/>
          <w:color w:val="000000"/>
        </w:rPr>
        <w:t>), in each case, as set forth in the marked pages of the Credit Agreement attached as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Annex A</w:t>
      </w:r>
      <w:r>
        <w:rPr>
          <w:rFonts w:ascii="Arial" w:cs="Arial" w:eastAsia="Arial" w:hAnsi="Arial"/>
          <w:sz w:val="16"/>
          <w:szCs w:val="16"/>
          <w:color w:val="0000FF"/>
        </w:rPr>
        <w:t xml:space="preserve"> </w:t>
      </w:r>
      <w:r>
        <w:rPr>
          <w:rFonts w:ascii="Arial" w:cs="Arial" w:eastAsia="Arial" w:hAnsi="Arial"/>
          <w:sz w:val="16"/>
          <w:szCs w:val="16"/>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20" w:firstLine="656"/>
        <w:spacing w:after="0" w:line="277"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 Committed Loan Notice</w:t>
      </w:r>
      <w:r>
        <w:rPr>
          <w:rFonts w:ascii="Arial" w:cs="Arial" w:eastAsia="Arial" w:hAnsi="Arial"/>
          <w:sz w:val="18"/>
          <w:szCs w:val="18"/>
          <w:color w:val="auto"/>
        </w:rPr>
        <w:t>. Exhibit A to the Original Agreement is hereby amended in its entirety to read as set forth on Exhibit A attached hereto, which shall be deemed to be attached as Exhibit A to the Credit Agreement.</w:t>
      </w:r>
    </w:p>
    <w:p>
      <w:pPr>
        <w:spacing w:after="0" w:line="170" w:lineRule="exact"/>
        <w:rPr>
          <w:rFonts w:ascii="Arial" w:cs="Arial" w:eastAsia="Arial" w:hAnsi="Arial"/>
          <w:sz w:val="18"/>
          <w:szCs w:val="18"/>
          <w:color w:val="auto"/>
        </w:rPr>
      </w:pPr>
    </w:p>
    <w:p>
      <w:pPr>
        <w:ind w:right="20" w:firstLine="656"/>
        <w:spacing w:after="0" w:line="277"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  Swing Line Loan Notice</w:t>
      </w:r>
      <w:r>
        <w:rPr>
          <w:rFonts w:ascii="Arial" w:cs="Arial" w:eastAsia="Arial" w:hAnsi="Arial"/>
          <w:sz w:val="18"/>
          <w:szCs w:val="18"/>
          <w:color w:val="auto"/>
        </w:rPr>
        <w:t>. Exhibit B to the Original Agreement is hereby amended in its entirety to read as set forth on Exhibit B attached hereto, which shall be deemed to be attached as Exhibit B to the Credit Agreement.</w:t>
      </w:r>
    </w:p>
    <w:p>
      <w:pPr>
        <w:spacing w:after="0" w:line="170" w:lineRule="exact"/>
        <w:rPr>
          <w:rFonts w:ascii="Arial" w:cs="Arial" w:eastAsia="Arial" w:hAnsi="Arial"/>
          <w:sz w:val="18"/>
          <w:szCs w:val="18"/>
          <w:color w:val="auto"/>
        </w:rPr>
      </w:pPr>
    </w:p>
    <w:p>
      <w:pPr>
        <w:jc w:val="both"/>
        <w:ind w:firstLine="656"/>
        <w:spacing w:after="0" w:line="287" w:lineRule="auto"/>
        <w:tabs>
          <w:tab w:leader="none" w:pos="796" w:val="left"/>
        </w:tabs>
        <w:numPr>
          <w:ilvl w:val="0"/>
          <w:numId w:val="4"/>
        </w:numPr>
        <w:rPr>
          <w:rFonts w:ascii="Arial" w:cs="Arial" w:eastAsia="Arial" w:hAnsi="Arial"/>
          <w:sz w:val="16"/>
          <w:szCs w:val="16"/>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  Outstanding Eurocurrency Borrowings</w:t>
      </w:r>
      <w:r>
        <w:rPr>
          <w:rFonts w:ascii="Arial" w:cs="Arial" w:eastAsia="Arial" w:hAnsi="Arial"/>
          <w:sz w:val="16"/>
          <w:szCs w:val="16"/>
          <w:color w:val="auto"/>
        </w:rPr>
        <w:t xml:space="preserve">. Notwithstanding the amendments to the Original Agreement contemplated hereby, to the extent any Eurocurrency Rate Committed Loan (as such term is defined in the Original Agreement) is outstanding on the Amendment Effective Date, such Eurocurrency Rate Committed Loan shall continue to bear interest at the applicable Eurocurrency Rate (as defined in the Original Agreement) plus the Applicable Rate until the end of the Interest Period therefor, and the related provisions of the Original Agreement shall continue in effect solely with respect to such Eurocurrency Rate Committed Loans until such time for the limited purposes set forth in this section. If any such Eurocurrency Rate Committed Loan remains outstanding upon the expiration of the Interest Period applicable thereto, then such Eurocurrency Rate Committed Loan shall be converted, at the election of the Company, into Borrowings consisting of Base Rate Loans and/or Term SOFR Loans (with respect to Eurocurrency Rate Committed Loans denominated in Dollars) or Canadian Prime Rate Loans and/or Canadian Term Rate Loans (with respect to Eurocurrency Rate Committed Loans denominated in Canadian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if no election as to the Type of Borrowing is specified, the Borrower shall be deemed to have requested a Committed Borrowing of Base Rate Loans (with respect to Loans denominated in Dollars) or Canadian Prime Rate Loans (with respect to Loans denominated in Canadian Dollars). On and after the Amendment Effective Date, no Loans may be continued as or converted into Eurocurrency Rate Loans, no new Eurocurrency Rate Loans may be requested by the Borrower, and no Lender shall advance any new Eurocurrency Rate Loans.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right="20" w:firstLine="656"/>
        <w:spacing w:after="0" w:line="277"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  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            executed counterparts of this Amendment, sufficient in number for distribution to the Administrative Agent, each Lender and each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(ii)           such other assurances, certificates, documents, consents or opinions as the Administrative Agent may reasonably require.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48"/>
        <w:spacing w:after="0" w:line="263" w:lineRule="auto"/>
        <w:rPr>
          <w:sz w:val="20"/>
          <w:szCs w:val="20"/>
          <w:color w:val="auto"/>
        </w:rPr>
      </w:pPr>
      <w:r>
        <w:rPr>
          <w:rFonts w:ascii="Arial" w:cs="Arial" w:eastAsia="Arial" w:hAnsi="Arial"/>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The Company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 3.1</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firstLine="656"/>
        <w:spacing w:after="0" w:line="277" w:lineRule="auto"/>
        <w:tabs>
          <w:tab w:leader="none" w:pos="796" w:val="left"/>
        </w:tabs>
        <w:numPr>
          <w:ilvl w:val="0"/>
          <w:numId w:val="6"/>
        </w:numPr>
        <w:rPr>
          <w:rFonts w:ascii="Arial" w:cs="Arial" w:eastAsia="Arial" w:hAnsi="Arial"/>
          <w:sz w:val="18"/>
          <w:szCs w:val="18"/>
          <w:color w:val="auto"/>
        </w:rPr>
      </w:pPr>
      <w:r>
        <w:rPr>
          <w:rFonts w:ascii="Arial" w:cs="Arial" w:eastAsia="Arial" w:hAnsi="Arial"/>
          <w:sz w:val="18"/>
          <w:szCs w:val="18"/>
          <w:color w:val="auto"/>
        </w:rPr>
        <w:t>4.1.    </w:t>
      </w:r>
      <w:r>
        <w:rPr>
          <w:rFonts w:ascii="Arial" w:cs="Arial" w:eastAsia="Arial" w:hAnsi="Arial"/>
          <w:sz w:val="18"/>
          <w:szCs w:val="18"/>
          <w:u w:val="single" w:color="auto"/>
          <w:color w:val="auto"/>
        </w:rPr>
        <w:t>  Representations and Warranties of the Company</w:t>
      </w:r>
      <w:r>
        <w:rPr>
          <w:rFonts w:ascii="Arial" w:cs="Arial" w:eastAsia="Arial" w:hAnsi="Arial"/>
          <w:sz w:val="18"/>
          <w:szCs w:val="18"/>
          <w:color w:val="auto"/>
        </w:rPr>
        <w:t>. In order to induce Administrative Agent, L/C Issuers and Lenders to enter into this Amendment, the Company represents and warrants to Administrative Agent, L/C Issuers and each Lender that: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           The representations and warranties of (i)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7"/>
          <w:szCs w:val="17"/>
          <w:u w:val="single" w:color="auto"/>
          <w:color w:val="auto"/>
        </w:rPr>
        <w:t>subsections (a) and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Credit Agreement shall be deemed to refer to the most recent statements furnished pursuant to clauses (a)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Credit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 Default has occurred and is continuing as of the Amendment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56"/>
        <w:spacing w:after="0" w:line="290" w:lineRule="auto"/>
        <w:tabs>
          <w:tab w:leader="none" w:pos="810" w:val="left"/>
        </w:tabs>
        <w:numPr>
          <w:ilvl w:val="0"/>
          <w:numId w:val="7"/>
        </w:numPr>
        <w:rPr>
          <w:rFonts w:ascii="Arial" w:cs="Arial" w:eastAsia="Arial" w:hAnsi="Arial"/>
          <w:sz w:val="16"/>
          <w:szCs w:val="16"/>
          <w:color w:val="auto"/>
        </w:rPr>
      </w:pPr>
      <w:r>
        <w:rPr>
          <w:rFonts w:ascii="Arial" w:cs="Arial" w:eastAsia="Arial" w:hAnsi="Arial"/>
          <w:sz w:val="16"/>
          <w:szCs w:val="16"/>
          <w:color w:val="auto"/>
        </w:rPr>
        <w:t>5.1.   </w:t>
      </w:r>
      <w:r>
        <w:rPr>
          <w:rFonts w:ascii="Arial" w:cs="Arial" w:eastAsia="Arial" w:hAnsi="Arial"/>
          <w:sz w:val="16"/>
          <w:szCs w:val="16"/>
          <w:u w:val="single" w:color="auto"/>
          <w:color w:val="auto"/>
        </w:rPr>
        <w:t>  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 5.2.    </w:t>
      </w:r>
      <w:r>
        <w:rPr>
          <w:rFonts w:ascii="Arial" w:cs="Arial" w:eastAsia="Arial" w:hAnsi="Arial"/>
          <w:sz w:val="16"/>
          <w:szCs w:val="16"/>
          <w:u w:val="single" w:color="auto"/>
          <w:color w:val="auto"/>
        </w:rPr>
        <w:t>  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firstLine="656"/>
        <w:spacing w:after="0" w:line="282" w:lineRule="auto"/>
        <w:tabs>
          <w:tab w:leader="none" w:pos="78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5.3.     GOVERNING LAW.</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THIS AMENDMENT SHALL BE GOVERNED BY, AND CONSTRUED IN ACCORDANCE WITH, THE LAWS OF THE STATE OF NEW YORK</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jc w:val="both"/>
        <w:ind w:firstLine="656"/>
        <w:spacing w:after="0" w:line="259" w:lineRule="auto"/>
        <w:tabs>
          <w:tab w:leader="none" w:pos="783" w:val="left"/>
        </w:tabs>
        <w:numPr>
          <w:ilvl w:val="0"/>
          <w:numId w:val="8"/>
        </w:numPr>
        <w:rPr>
          <w:rFonts w:ascii="Arial" w:cs="Arial" w:eastAsia="Arial" w:hAnsi="Arial"/>
          <w:sz w:val="18"/>
          <w:szCs w:val="18"/>
          <w:color w:val="auto"/>
        </w:rPr>
      </w:pPr>
      <w:r>
        <w:rPr>
          <w:rFonts w:ascii="Arial" w:cs="Arial" w:eastAsia="Arial" w:hAnsi="Arial"/>
          <w:sz w:val="18"/>
          <w:szCs w:val="18"/>
          <w:color w:val="auto"/>
        </w:rPr>
        <w:t>5.4.    </w:t>
      </w:r>
      <w:r>
        <w:rPr>
          <w:rFonts w:ascii="Arial" w:cs="Arial" w:eastAsia="Arial" w:hAnsi="Arial"/>
          <w:sz w:val="18"/>
          <w:szCs w:val="18"/>
          <w:u w:val="single" w:color="auto"/>
          <w:color w:val="auto"/>
        </w:rPr>
        <w:t>  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796" w:val="left"/>
        </w:tabs>
        <w:numPr>
          <w:ilvl w:val="0"/>
          <w:numId w:val="8"/>
        </w:numPr>
        <w:rPr>
          <w:rFonts w:ascii="Arial" w:cs="Arial" w:eastAsia="Arial" w:hAnsi="Arial"/>
          <w:sz w:val="18"/>
          <w:szCs w:val="18"/>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PLAINS ALL AMERICAN PIPELINE, L.P. </w:t>
      </w:r>
      <w:r>
        <w:rPr>
          <w:rFonts w:ascii="Arial" w:cs="Arial" w:eastAsia="Arial" w:hAnsi="Arial"/>
          <w:sz w:val="18"/>
          <w:szCs w:val="18"/>
          <w:color w:val="auto"/>
        </w:rPr>
        <w:t>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MIDSTREAM CANADA ULC</w:t>
      </w:r>
      <w:r>
        <w:rPr>
          <w:rFonts w:ascii="Arial" w:cs="Arial" w:eastAsia="Arial" w:hAnsi="Arial"/>
          <w:sz w:val="18"/>
          <w:szCs w:val="18"/>
          <w:color w:val="auto"/>
        </w:rPr>
        <w:t>, 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500" w:val="left"/>
        </w:tabs>
        <w:rPr>
          <w:sz w:val="20"/>
          <w:szCs w:val="20"/>
          <w:color w:val="auto"/>
        </w:rPr>
      </w:pPr>
      <w:r>
        <w:rPr>
          <w:rFonts w:ascii="Arial" w:cs="Arial" w:eastAsia="Arial" w:hAnsi="Arial"/>
          <w:sz w:val="35"/>
          <w:szCs w:val="35"/>
          <w:color w:val="auto"/>
          <w:vertAlign w:val="superscript"/>
        </w:rPr>
        <w:t>S-1</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Melissa Mullis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S-2</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ind w:left="4420" w:right="360"/>
        <w:spacing w:after="0" w:line="282" w:lineRule="auto"/>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an L/C Issuer and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14605</wp:posOffset>
            </wp:positionV>
            <wp:extent cx="33089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Name:Megan Baqui</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S-3</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Maureen Maroney</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S-4</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ind w:left="564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Lender and an L/C Issuer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 Linda Papadakis</w:t>
            </w:r>
          </w:p>
        </w:tc>
      </w:tr>
      <w:tr>
        <w:trPr>
          <w:trHeight w:val="425"/>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Jo Linda Papadakis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S-5</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04" w:right="339" w:bottom="1440" w:gutter="0" w:footer="0" w:header="0"/>
        </w:sectPr>
      </w:pPr>
    </w:p>
    <w:bookmarkStart w:id="12" w:name="page13"/>
    <w:bookmarkEnd w:id="12"/>
    <w:p>
      <w:pPr>
        <w:ind w:left="4520" w:right="16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an L/C Issuer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Nathan Starr</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S-6</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BANCO BILBAO VIZCAYA ARGENTARIA, S.A. NEW YORK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Cara Younger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Miriam Trautmann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S-7</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Jason Lang</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S-8</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b w:val="1"/>
          <w:bCs w:val="1"/>
          <w:color w:val="auto"/>
        </w:rPr>
        <w:t>BANK OF NOVA SCOTIA, HOUSTON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Joe Lattanzi</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S-9</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6" w:name="page17"/>
    <w:bookmarkEnd w:id="16"/>
    <w:p>
      <w:pPr>
        <w:ind w:left="564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Sydney G. Dennis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S-10</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17" w:name="page18"/>
    <w:bookmarkEnd w:id="17"/>
    <w:p>
      <w:pPr>
        <w:ind w:left="564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 Danvers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Scott W. Danvers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Trudy Nelson</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Trudy Nelson</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16"/>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S-11</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04" w:right="33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/s/ Monica Morton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Monica Morton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S-12</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Juli Bieser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Lauren Gutterman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S-13</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Edward Sacks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S-14</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Anastasiya Bykov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Anastasiya Bykov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S-15</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ind w:left="564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Kyle T. Helfrich</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S-16</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Valentine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S-17</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Emilee Scott</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S-18</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Jeffrey Cobb</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S-19</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6" w:name="page27"/>
    <w:bookmarkEnd w:id="26"/>
    <w:p>
      <w:pPr>
        <w:ind w:left="4520" w:right="360"/>
        <w:spacing w:after="0" w:line="282" w:lineRule="auto"/>
        <w:rPr>
          <w:sz w:val="20"/>
          <w:szCs w:val="20"/>
          <w:color w:val="auto"/>
        </w:rPr>
      </w:pPr>
      <w:r>
        <w:rPr>
          <w:rFonts w:ascii="Arial" w:cs="Arial" w:eastAsia="Arial" w:hAnsi="Arial"/>
          <w:sz w:val="18"/>
          <w:szCs w:val="18"/>
          <w:b w:val="1"/>
          <w:bCs w:val="1"/>
          <w:color w:val="auto"/>
        </w:rPr>
        <w:t>THE TORONTO-DOMINION BANK, NEW YORK BRANCH</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Tyrone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Tyrone Nicholson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S-20</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Lincoln LaCour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S-21</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8" w:name="page29"/>
    <w:bookmarkEnd w:id="28"/>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V. Farrell</w:t>
            </w:r>
          </w:p>
        </w:tc>
      </w:tr>
      <w:tr>
        <w:trPr>
          <w:trHeight w:val="425"/>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Paul V. Farrell</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S-22</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b w:val="1"/>
          <w:bCs w:val="1"/>
          <w:color w:val="auto"/>
        </w:rPr>
        <w:t>ZIONS BANCORPORATION, N.A. DBA AMEGY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Sam Trail</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S-23</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King</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S-24</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Reference is made to that certain Credit Agreement, dated as of August 20, 2021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Plains All American Pipeline, L.P., a Delaware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each Subsidiary of the Company from time to time and during the time it is a party thereto (each such Subsidiary and, together with the Company and PMCULC,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Committed Loans</w:t>
      </w:r>
    </w:p>
    <w:p>
      <w:pPr>
        <w:spacing w:after="0" w:line="225" w:lineRule="exact"/>
        <w:rPr>
          <w:sz w:val="20"/>
          <w:szCs w:val="20"/>
          <w:color w:val="auto"/>
        </w:rPr>
      </w:pPr>
    </w:p>
    <w:p>
      <w:pPr>
        <w:ind w:left="660"/>
        <w:spacing w:after="0"/>
        <w:tabs>
          <w:tab w:leader="none" w:pos="5100" w:val="left"/>
        </w:tabs>
        <w:rPr>
          <w:sz w:val="20"/>
          <w:szCs w:val="20"/>
          <w:color w:val="auto"/>
        </w:rPr>
      </w:pPr>
      <w:r>
        <w:rPr>
          <w:rFonts w:ascii="Arial" w:cs="Arial" w:eastAsia="Arial" w:hAnsi="Arial"/>
          <w:sz w:val="18"/>
          <w:szCs w:val="18"/>
          <w:color w:val="auto"/>
        </w:rPr>
        <w:t>1.             On</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wp:posOffset>
            </wp:positionV>
            <wp:extent cx="23704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[$/C$]___________] [aggregate face amount of C$___________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 Loans] [Term SOFR/Canadian Term Rate Loans] [Borrowing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For Term SOFR Loans: with an Interest Period of [one] [three] [six]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Term Rate Loans: with an Interest Period of [one] [two] [three]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BA’s: a maturity date of ____________, 20__.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           If a conversion or continuation of Committed Loans, the existing Borrowing(s) of Committed Loans to be converted or continued: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Principal amount of [$/C$] ____________ of Base Rate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Committed Borrowing, if any, requested herein complies with the proviso to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Agreement.</w:t>
      </w: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11240"/>
          </w:cols>
          <w:pgMar w:left="320" w:top="90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Swing Line Lender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Reference is made to that certain Credit Agreement, dated as of August 20, 2021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Plains All American Pipeline, L.P., a Delaware limited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Plains Midstream Canada ULC, a British Columbia unlimited liability company (“</w:t>
      </w:r>
      <w:r>
        <w:rPr>
          <w:rFonts w:ascii="Arial" w:cs="Arial" w:eastAsia="Arial" w:hAnsi="Arial"/>
          <w:sz w:val="16"/>
          <w:szCs w:val="16"/>
          <w:u w:val="single" w:color="auto"/>
          <w:color w:val="auto"/>
        </w:rPr>
        <w:t>PMCULC</w:t>
      </w:r>
      <w:r>
        <w:rPr>
          <w:rFonts w:ascii="Arial" w:cs="Arial" w:eastAsia="Arial" w:hAnsi="Arial"/>
          <w:sz w:val="16"/>
          <w:szCs w:val="16"/>
          <w:color w:val="auto"/>
        </w:rPr>
        <w:t>”), each Subsidiary of the Company from time to time and during the time it is a party thereto (each such Subsidiary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a Swing Line Loan:</w:t>
      </w:r>
    </w:p>
    <w:p>
      <w:pPr>
        <w:spacing w:after="0" w:line="225" w:lineRule="exact"/>
        <w:rPr>
          <w:sz w:val="20"/>
          <w:szCs w:val="20"/>
          <w:color w:val="auto"/>
        </w:rPr>
      </w:pPr>
    </w:p>
    <w:p>
      <w:pPr>
        <w:ind w:left="660"/>
        <w:spacing w:after="0"/>
        <w:tabs>
          <w:tab w:leader="none" w:pos="5120" w:val="left"/>
        </w:tabs>
        <w:rPr>
          <w:sz w:val="20"/>
          <w:szCs w:val="20"/>
          <w:color w:val="auto"/>
        </w:rPr>
      </w:pPr>
      <w:r>
        <w:rPr>
          <w:rFonts w:ascii="Arial" w:cs="Arial" w:eastAsia="Arial" w:hAnsi="Arial"/>
          <w:sz w:val="18"/>
          <w:szCs w:val="18"/>
          <w:color w:val="auto"/>
        </w:rPr>
        <w:t>1.             On </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-10160</wp:posOffset>
            </wp:positionV>
            <wp:extent cx="2399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w:t>
      </w:r>
      <w:r>
        <w:rPr>
          <w:rFonts w:ascii="Arial" w:cs="Arial" w:eastAsia="Arial" w:hAnsi="Arial"/>
          <w:sz w:val="18"/>
          <w:szCs w:val="18"/>
          <w:u w:val="single" w:color="auto"/>
          <w:color w:val="auto"/>
        </w:rPr>
        <w:t>                     </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Rate/Canadian Prime Rate/Term SOFR/Canadian Term Rate] Loans.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Swing Line Borrowing requested herein complies with the requirements of the provisos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of the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FOURTH AMENDED AND RESTATED CREDIT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FIRST AMENDMENT TO FOURTH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22nd day of August, 2022, is by and among PLAINS MARKETING, L.P., a Texas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PLAINS ALL AMERICAN PIPELINE, L.P., a Delaware limited partnership (“</w:t>
      </w:r>
      <w:r>
        <w:rPr>
          <w:rFonts w:ascii="Arial" w:cs="Arial" w:eastAsia="Arial" w:hAnsi="Arial"/>
          <w:sz w:val="18"/>
          <w:szCs w:val="18"/>
          <w:u w:val="single" w:color="auto"/>
          <w:color w:val="auto"/>
        </w:rPr>
        <w:t>PAA</w:t>
      </w:r>
      <w:r>
        <w:rPr>
          <w:rFonts w:ascii="Arial" w:cs="Arial" w:eastAsia="Arial" w:hAnsi="Arial"/>
          <w:sz w:val="18"/>
          <w:szCs w:val="18"/>
          <w:color w:val="auto"/>
        </w:rPr>
        <w:t>”), as guarantor, BANK OF AMERICA, N.A., as Administrative Agent, and the Lenders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Borrowers, PAA, Administrative Agent and the L/C Issuers and Lenders party thereto entered into that certain Fourth Amended and Restated Credit Agreement dated as of August 20, 2021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for the purposes and consideration therein expressed; and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Borrowers, PAA, Administrative Agent, and the Lenders party hereto desire to amend the Original Agreement for the purposes described herein;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0" w:firstLine="656"/>
        <w:spacing w:after="0" w:line="27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  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pacing w:after="0" w:line="170" w:lineRule="exact"/>
        <w:rPr>
          <w:rFonts w:ascii="Arial" w:cs="Arial" w:eastAsia="Arial" w:hAnsi="Arial"/>
          <w:sz w:val="18"/>
          <w:szCs w:val="18"/>
          <w:color w:val="auto"/>
        </w:rPr>
      </w:pPr>
    </w:p>
    <w:p>
      <w:pPr>
        <w:ind w:right="20" w:firstLine="656"/>
        <w:spacing w:after="0" w:line="27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  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Fourth Amended and Restated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656"/>
        <w:spacing w:after="0" w:line="301"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  Credit Agreement</w:t>
      </w:r>
      <w:r>
        <w:rPr>
          <w:rFonts w:ascii="Arial" w:cs="Arial" w:eastAsia="Arial" w:hAnsi="Arial"/>
          <w:sz w:val="16"/>
          <w:szCs w:val="16"/>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Arial" w:cs="Arial" w:eastAsia="Arial" w:hAnsi="Arial"/>
          <w:sz w:val="16"/>
          <w:szCs w:val="16"/>
          <w:color w:val="FF0000"/>
          <w:strike w:val="1"/>
        </w:rPr>
        <w:t>stricken text</w:t>
      </w:r>
      <w:r>
        <w:rPr>
          <w:rFonts w:ascii="Arial" w:cs="Arial" w:eastAsia="Arial" w:hAnsi="Arial"/>
          <w:sz w:val="16"/>
          <w:szCs w:val="16"/>
          <w:color w:val="FF0000"/>
        </w:rPr>
        <w:t xml:space="preserve"> </w:t>
      </w:r>
      <w:r>
        <w:rPr>
          <w:rFonts w:ascii="Arial" w:cs="Arial" w:eastAsia="Arial" w:hAnsi="Arial"/>
          <w:sz w:val="16"/>
          <w:szCs w:val="16"/>
          <w:color w:val="000000"/>
        </w:rPr>
        <w:t>and</w:t>
      </w:r>
      <w:r>
        <w:rPr>
          <w:rFonts w:ascii="Arial" w:cs="Arial" w:eastAsia="Arial" w:hAnsi="Arial"/>
          <w:sz w:val="16"/>
          <w:szCs w:val="16"/>
          <w:color w:val="FF0000"/>
        </w:rPr>
        <w:t xml:space="preserve"> </w:t>
      </w:r>
      <w:r>
        <w:rPr>
          <w:rFonts w:ascii="Arial" w:cs="Arial" w:eastAsia="Arial" w:hAnsi="Arial"/>
          <w:sz w:val="16"/>
          <w:szCs w:val="16"/>
          <w:color w:val="00B150"/>
          <w:strike w:val="1"/>
        </w:rPr>
        <w:t>stricken text</w:t>
      </w:r>
      <w:r>
        <w:rPr>
          <w:rFonts w:ascii="Arial" w:cs="Arial" w:eastAsia="Arial" w:hAnsi="Arial"/>
          <w:sz w:val="16"/>
          <w:szCs w:val="16"/>
          <w:color w:val="000000"/>
        </w:rPr>
        <w:t>) and (b) to add the blue or green double-underlined text (indicated textually in the same manner as the following examples: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double-underlined text</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B150"/>
        </w:rPr>
        <w:t>double-underlined text</w:t>
      </w:r>
      <w:r>
        <w:rPr>
          <w:rFonts w:ascii="Arial" w:cs="Arial" w:eastAsia="Arial" w:hAnsi="Arial"/>
          <w:sz w:val="16"/>
          <w:szCs w:val="16"/>
          <w:color w:val="000000"/>
        </w:rPr>
        <w:t>), in each case, as set forth in the marked pages of the Credit Agreement attached as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Annex A</w:t>
      </w:r>
      <w:r>
        <w:rPr>
          <w:rFonts w:ascii="Arial" w:cs="Arial" w:eastAsia="Arial" w:hAnsi="Arial"/>
          <w:sz w:val="16"/>
          <w:szCs w:val="16"/>
          <w:color w:val="0000FF"/>
        </w:rPr>
        <w:t xml:space="preserve"> </w:t>
      </w:r>
      <w:r>
        <w:rPr>
          <w:rFonts w:ascii="Arial" w:cs="Arial" w:eastAsia="Arial" w:hAnsi="Arial"/>
          <w:sz w:val="16"/>
          <w:szCs w:val="16"/>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ind w:firstLine="656"/>
        <w:spacing w:after="0" w:line="277" w:lineRule="auto"/>
        <w:tabs>
          <w:tab w:leader="none" w:pos="7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  Committed Loan Notice</w:t>
      </w:r>
      <w:r>
        <w:rPr>
          <w:rFonts w:ascii="Arial" w:cs="Arial" w:eastAsia="Arial" w:hAnsi="Arial"/>
          <w:sz w:val="18"/>
          <w:szCs w:val="18"/>
          <w:color w:val="auto"/>
        </w:rPr>
        <w:t>. Exhibit A to the Original Agreement is hereby amended in its entirety to read as set forth on Exhibit A attached hereto, which shall be deemed to be attached as Exhibit A to the Credit Agreement.</w:t>
      </w:r>
    </w:p>
    <w:p>
      <w:pPr>
        <w:spacing w:after="0" w:line="170" w:lineRule="exact"/>
        <w:rPr>
          <w:rFonts w:ascii="Arial" w:cs="Arial" w:eastAsia="Arial" w:hAnsi="Arial"/>
          <w:sz w:val="18"/>
          <w:szCs w:val="18"/>
          <w:color w:val="auto"/>
        </w:rPr>
      </w:pPr>
    </w:p>
    <w:p>
      <w:pPr>
        <w:ind w:firstLine="656"/>
        <w:spacing w:after="0" w:line="277" w:lineRule="auto"/>
        <w:tabs>
          <w:tab w:leader="none" w:pos="7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  Swing Line Loan Notice</w:t>
      </w:r>
      <w:r>
        <w:rPr>
          <w:rFonts w:ascii="Arial" w:cs="Arial" w:eastAsia="Arial" w:hAnsi="Arial"/>
          <w:sz w:val="18"/>
          <w:szCs w:val="18"/>
          <w:color w:val="auto"/>
        </w:rPr>
        <w:t>. Exhibit B to the Original Agreement is hereby amended in its entirety to read as set forth on Exhibit B attached hereto, which shall be deemed to be attached as Exhibit B to the Credit Agreement.</w:t>
      </w:r>
    </w:p>
    <w:p>
      <w:pPr>
        <w:spacing w:after="0" w:line="170" w:lineRule="exact"/>
        <w:rPr>
          <w:rFonts w:ascii="Arial" w:cs="Arial" w:eastAsia="Arial" w:hAnsi="Arial"/>
          <w:sz w:val="18"/>
          <w:szCs w:val="18"/>
          <w:color w:val="auto"/>
        </w:rPr>
      </w:pPr>
    </w:p>
    <w:p>
      <w:pPr>
        <w:jc w:val="both"/>
        <w:ind w:firstLine="656"/>
        <w:spacing w:after="0" w:line="287" w:lineRule="auto"/>
        <w:tabs>
          <w:tab w:leader="none" w:pos="7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  Outstanding Eurocurrency Borrowings</w:t>
      </w:r>
      <w:r>
        <w:rPr>
          <w:rFonts w:ascii="Arial" w:cs="Arial" w:eastAsia="Arial" w:hAnsi="Arial"/>
          <w:sz w:val="16"/>
          <w:szCs w:val="16"/>
          <w:color w:val="auto"/>
        </w:rPr>
        <w:t xml:space="preserve">. Notwithstanding the amendments to the Original Agreement contemplated hereby, to the extent any Eurocurrency Rate Committed Loan (as such term is defined in the Original Agreement) is outstanding on the Amendment Effective Date, such Eurocurrency Rate Committed Loan shall continue to bear interest at the applicable Eurocurrency Rate (as defined in the Original Agreement) plus the Applicable Rate until the end of the Interest Period therefor, and the related provisions of the Original Agreement shall continue in effect solely with respect to such Eurocurrency Rate Committed Loans until such time for the limited purposes set forth in this section. If any such Eurocurrency Rate Committed Loan remains outstanding upon the expiration of the Interest Period applicable thereto, then such Eurocurrency Rate Committed Loan shall be converted, at the election of the Company, into Borrowings consisting of Base Rate Loans and/or Term SOFR Loans (with respect to Eurocurrency Rate Committed Loans denominated in Dollars) or Canadian Prime Rate Loans and/or Canadian Term Rate Loans (with respect to Eurocurrency Rate Committed Loans denominated in Canadian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if no election as to the Type of Borrowing is specified, the Borrower shall be deemed to have requested a Committed Borrowing of Base Rate Loans (with respect to Loans denominated in Dollars) or Canadian Prime Rate Loans (with respect to Loans denominated in Canadian Dollars). On and after the Amendment Effective Date, no Loans may be continued as or converted into Eurocurrency Rate Loans, no new Eurocurrency Rate Loans may be requested by the Borrower, and no Lender shall advance any new Eurocurrency Rate Loans.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firstLine="656"/>
        <w:spacing w:after="0" w:line="277"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  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            executed counterparts of this Amendment, sufficient in number for distribution to the Administrative Agent, each Lender, each Borrower and PAA;</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1300"/>
        <w:spacing w:after="0"/>
        <w:rPr>
          <w:sz w:val="20"/>
          <w:szCs w:val="20"/>
          <w:color w:val="auto"/>
        </w:rPr>
      </w:pPr>
      <w:r>
        <w:rPr>
          <w:rFonts w:ascii="Arial" w:cs="Arial" w:eastAsia="Arial" w:hAnsi="Arial"/>
          <w:sz w:val="17"/>
          <w:szCs w:val="17"/>
          <w:color w:val="auto"/>
        </w:rPr>
        <w:t>(ii)           such other assurances, certificates, documents, consents or opinions as the Administrative Agent may reasonably require.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The Company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 3.1</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firstLine="656"/>
        <w:spacing w:after="0" w:line="308" w:lineRule="auto"/>
        <w:tabs>
          <w:tab w:leader="none" w:pos="7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4.1.    </w:t>
      </w:r>
      <w:r>
        <w:rPr>
          <w:rFonts w:ascii="Arial" w:cs="Arial" w:eastAsia="Arial" w:hAnsi="Arial"/>
          <w:sz w:val="17"/>
          <w:szCs w:val="17"/>
          <w:u w:val="single" w:color="auto"/>
          <w:color w:val="auto"/>
        </w:rPr>
        <w:t>  Representations and Warranties of the Company</w:t>
      </w:r>
      <w:r>
        <w:rPr>
          <w:rFonts w:ascii="Arial" w:cs="Arial" w:eastAsia="Arial" w:hAnsi="Arial"/>
          <w:sz w:val="17"/>
          <w:szCs w:val="17"/>
          <w:color w:val="auto"/>
        </w:rPr>
        <w:t>. In order to induce Administrative Agent, L/C Issuers and Lenders to enter into this Amendment, the Company (and PMCULC, solely as to itself) represents and warrants to Administrative Agent, L/C Issuers and each Lender that:</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           The representations and warranties of (i) the Company (and PMCULC, solely as to itself)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6"/>
          <w:szCs w:val="16"/>
          <w:u w:val="single" w:color="auto"/>
          <w:color w:val="auto"/>
        </w:rPr>
        <w:t>subsections (a) and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Credit Agreement shall be deemed to refer to the most recent statements furnished pursuant to clauses (a)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Credit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 Default has occurred and is continuing as of the Amendment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56"/>
        <w:spacing w:after="0" w:line="290" w:lineRule="auto"/>
        <w:tabs>
          <w:tab w:leader="none" w:pos="8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5.1.    </w:t>
      </w:r>
      <w:r>
        <w:rPr>
          <w:rFonts w:ascii="Arial" w:cs="Arial" w:eastAsia="Arial" w:hAnsi="Arial"/>
          <w:sz w:val="16"/>
          <w:szCs w:val="16"/>
          <w:u w:val="single" w:color="auto"/>
          <w:color w:val="auto"/>
        </w:rPr>
        <w:t>  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56"/>
        <w:spacing w:after="0" w:line="293" w:lineRule="auto"/>
        <w:tabs>
          <w:tab w:leader="none" w:pos="7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5.2.     </w:t>
      </w:r>
      <w:r>
        <w:rPr>
          <w:rFonts w:ascii="Arial" w:cs="Arial" w:eastAsia="Arial" w:hAnsi="Arial"/>
          <w:sz w:val="16"/>
          <w:szCs w:val="16"/>
          <w:u w:val="single" w:color="auto"/>
          <w:color w:val="auto"/>
        </w:rPr>
        <w:t>  Ratification of PAA Guaranty and Collateral Documents</w:t>
      </w:r>
      <w:r>
        <w:rPr>
          <w:rFonts w:ascii="Arial" w:cs="Arial" w:eastAsia="Arial" w:hAnsi="Arial"/>
          <w:sz w:val="16"/>
          <w:szCs w:val="16"/>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64" w:lineRule="exact"/>
        <w:rPr>
          <w:rFonts w:ascii="Arial" w:cs="Arial" w:eastAsia="Arial" w:hAnsi="Arial"/>
          <w:sz w:val="16"/>
          <w:szCs w:val="16"/>
          <w:color w:val="auto"/>
        </w:rPr>
      </w:pPr>
    </w:p>
    <w:p>
      <w:pPr>
        <w:ind w:left="800" w:hanging="14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5.3.    </w:t>
      </w:r>
      <w:r>
        <w:rPr>
          <w:rFonts w:ascii="Arial" w:cs="Arial" w:eastAsia="Arial" w:hAnsi="Arial"/>
          <w:sz w:val="16"/>
          <w:szCs w:val="16"/>
          <w:u w:val="single" w:color="auto"/>
          <w:color w:val="auto"/>
        </w:rPr>
        <w:t>  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color w:val="auto"/>
        </w:rPr>
      </w:pPr>
    </w:p>
    <w:p>
      <w:pPr>
        <w:ind w:right="20" w:firstLine="656"/>
        <w:spacing w:after="0" w:line="282" w:lineRule="auto"/>
        <w:tabs>
          <w:tab w:leader="none" w:pos="78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5.4.      GOVERNING LAW.</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THIS AMENDMENT SHALL BE GOVERNED BY, AND CONSTRUED IN ACCORDANCE WITH, THE LAWS OF THE STATE OF NEW YORK</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jc w:val="both"/>
        <w:ind w:firstLine="656"/>
        <w:spacing w:after="0" w:line="259"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  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7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5.6.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 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MIDSTREAM CANADA ULC</w:t>
      </w:r>
      <w:r>
        <w:rPr>
          <w:rFonts w:ascii="Arial" w:cs="Arial" w:eastAsia="Arial" w:hAnsi="Arial"/>
          <w:sz w:val="18"/>
          <w:szCs w:val="18"/>
          <w:color w:val="auto"/>
        </w:rPr>
        <w:t>, 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PLAINS ALL AMERICAN PIPELINE, L.P. </w:t>
      </w:r>
      <w:r>
        <w:rPr>
          <w:rFonts w:ascii="Arial" w:cs="Arial" w:eastAsia="Arial" w:hAnsi="Arial"/>
          <w:sz w:val="18"/>
          <w:szCs w:val="18"/>
          <w:color w:val="auto"/>
        </w:rPr>
        <w:t>as Guarantor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1620" w:val="left"/>
        </w:tabs>
        <w:rPr>
          <w:sz w:val="20"/>
          <w:szCs w:val="20"/>
          <w:color w:val="auto"/>
        </w:rPr>
      </w:pPr>
      <w:r>
        <w:rPr>
          <w:rFonts w:ascii="Arial" w:cs="Arial" w:eastAsia="Arial" w:hAnsi="Arial"/>
          <w:sz w:val="35"/>
          <w:szCs w:val="35"/>
          <w:color w:val="auto"/>
          <w:vertAlign w:val="superscript"/>
        </w:rPr>
        <w:t>S-1</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9" w:name="page40"/>
    <w:bookmarkEnd w:id="39"/>
    <w:p>
      <w:pPr>
        <w:ind w:left="45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Melissa Mullis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S-2</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0" w:name="page41"/>
    <w:bookmarkEnd w:id="40"/>
    <w:p>
      <w:pPr>
        <w:ind w:left="4520" w:right="260"/>
        <w:spacing w:after="0" w:line="282" w:lineRule="auto"/>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an L/C Issuer and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Megan Baqui</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S-3</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1" w:name="page42"/>
    <w:bookmarkEnd w:id="41"/>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Maureen Maroney</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S-4</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2" w:name="page43"/>
    <w:bookmarkEnd w:id="42"/>
    <w:p>
      <w:pPr>
        <w:ind w:left="452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Stephanie Balette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S-5</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3" w:name="page44"/>
    <w:bookmarkEnd w:id="43"/>
    <w:p>
      <w:pPr>
        <w:ind w:left="4520" w:right="16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an L/C Issuer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Nathan Starr</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S-6</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4" w:name="page45"/>
    <w:bookmarkEnd w:id="44"/>
    <w:p>
      <w:pPr>
        <w:ind w:left="4520"/>
        <w:spacing w:after="0"/>
        <w:rPr>
          <w:sz w:val="20"/>
          <w:szCs w:val="20"/>
          <w:color w:val="auto"/>
        </w:rPr>
      </w:pPr>
      <w:r>
        <w:rPr>
          <w:rFonts w:ascii="Arial" w:cs="Arial" w:eastAsia="Arial" w:hAnsi="Arial"/>
          <w:sz w:val="18"/>
          <w:szCs w:val="18"/>
          <w:b w:val="1"/>
          <w:bCs w:val="1"/>
          <w:color w:val="auto"/>
        </w:rPr>
        <w:t>BANCO BILBAO VIZCAYA ARGENTARIA, S.A. NEW YORK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Cara Younger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Miriam Trautmann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S-7</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5" w:name="page46"/>
    <w:bookmarkEnd w:id="45"/>
    <w:p>
      <w:pPr>
        <w:ind w:left="45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Jason Lang</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S-8</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6" w:name="page47"/>
    <w:bookmarkEnd w:id="46"/>
    <w:p>
      <w:pPr>
        <w:ind w:left="4520"/>
        <w:spacing w:after="0"/>
        <w:rPr>
          <w:sz w:val="20"/>
          <w:szCs w:val="20"/>
          <w:color w:val="auto"/>
        </w:rPr>
      </w:pPr>
      <w:r>
        <w:rPr>
          <w:rFonts w:ascii="Arial" w:cs="Arial" w:eastAsia="Arial" w:hAnsi="Arial"/>
          <w:sz w:val="18"/>
          <w:szCs w:val="18"/>
          <w:b w:val="1"/>
          <w:bCs w:val="1"/>
          <w:color w:val="auto"/>
        </w:rPr>
        <w:t>BANK OF NOVA SCOTIA, HOUSTON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Joe Lattanzi</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S-9</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7" w:name="page48"/>
    <w:bookmarkEnd w:id="47"/>
    <w:p>
      <w:pPr>
        <w:ind w:left="564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Sydney G. Dennis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716"/>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S-10</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48" w:name="page49"/>
    <w:bookmarkEnd w:id="48"/>
    <w:p>
      <w:pPr>
        <w:ind w:left="564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 Danvers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Scott W. Danvers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Trudy Nelson</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Trudy Nelson</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S-11</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49" w:name="page50"/>
    <w:bookmarkEnd w:id="49"/>
    <w:p>
      <w:pPr>
        <w:ind w:left="45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Monica Morton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Monica Morton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S-12</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0" w:name="page51"/>
    <w:bookmarkEnd w:id="50"/>
    <w:p>
      <w:pPr>
        <w:ind w:left="45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Juli Bieser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Lauren Gutterman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S-13</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1" w:name="page52"/>
    <w:bookmarkEnd w:id="51"/>
    <w:p>
      <w:pPr>
        <w:ind w:left="45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Edward Sacks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S-14</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2" w:name="page53"/>
    <w:bookmarkEnd w:id="52"/>
    <w:p>
      <w:pPr>
        <w:ind w:left="45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Anastasiya Bykov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Anastasiya Bykov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S-15</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3" w:name="page54"/>
    <w:bookmarkEnd w:id="53"/>
    <w:p>
      <w:pPr>
        <w:ind w:left="564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Kyle T. Helfrich</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716"/>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S-16</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54" w:name="page55"/>
    <w:bookmarkEnd w:id="54"/>
    <w:p>
      <w:pPr>
        <w:ind w:left="452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Valentine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S-17</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5" w:name="page56"/>
    <w:bookmarkEnd w:id="55"/>
    <w:p>
      <w:pPr>
        <w:ind w:left="452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Emilee Scott</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S-18</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6" w:name="page57"/>
    <w:bookmarkEnd w:id="56"/>
    <w:p>
      <w:pPr>
        <w:ind w:left="45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Jeffrey Cobb</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S-19</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7" w:name="page58"/>
    <w:bookmarkEnd w:id="57"/>
    <w:p>
      <w:pPr>
        <w:ind w:left="4520" w:right="360"/>
        <w:spacing w:after="0" w:line="282" w:lineRule="auto"/>
        <w:rPr>
          <w:sz w:val="20"/>
          <w:szCs w:val="20"/>
          <w:color w:val="auto"/>
        </w:rPr>
      </w:pPr>
      <w:r>
        <w:rPr>
          <w:rFonts w:ascii="Arial" w:cs="Arial" w:eastAsia="Arial" w:hAnsi="Arial"/>
          <w:sz w:val="18"/>
          <w:szCs w:val="18"/>
          <w:b w:val="1"/>
          <w:bCs w:val="1"/>
          <w:color w:val="auto"/>
        </w:rPr>
        <w:t>THE TORONTO-DOMINION BANK, NEW YORK BRANCH</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Maria Macchiaroli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Maria Macchiaroli</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S-20</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8" w:name="page59"/>
    <w:bookmarkEnd w:id="58"/>
    <w:p>
      <w:pPr>
        <w:ind w:left="452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Lincoln LaCour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S-21</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9" w:name="page60"/>
    <w:bookmarkEnd w:id="59"/>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V. Farrell</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Paul V. Farrell</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S-22</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60" w:name="page61"/>
    <w:bookmarkEnd w:id="60"/>
    <w:p>
      <w:pPr>
        <w:ind w:left="4520"/>
        <w:spacing w:after="0"/>
        <w:rPr>
          <w:sz w:val="20"/>
          <w:szCs w:val="20"/>
          <w:color w:val="auto"/>
        </w:rPr>
      </w:pPr>
      <w:r>
        <w:rPr>
          <w:rFonts w:ascii="Arial" w:cs="Arial" w:eastAsia="Arial" w:hAnsi="Arial"/>
          <w:sz w:val="18"/>
          <w:szCs w:val="18"/>
          <w:b w:val="1"/>
          <w:bCs w:val="1"/>
          <w:color w:val="auto"/>
        </w:rPr>
        <w:t>ZIONS BANCORPORATION, N.A. DBA AMEGY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Sam Trail</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S-23</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1" w:name="page62"/>
    <w:bookmarkEnd w:id="61"/>
    <w:p>
      <w:pPr>
        <w:ind w:left="452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King</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S-24</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made to that certain Fourth Amended and Restated Credit Agreement, dated as of August 20, 2021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Plains Marketing, L.P., a Texas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Committed Loans</w:t>
      </w:r>
    </w:p>
    <w:p>
      <w:pPr>
        <w:spacing w:after="0" w:line="225" w:lineRule="exact"/>
        <w:rPr>
          <w:sz w:val="20"/>
          <w:szCs w:val="20"/>
          <w:color w:val="auto"/>
        </w:rPr>
      </w:pPr>
    </w:p>
    <w:p>
      <w:pPr>
        <w:ind w:left="660"/>
        <w:spacing w:after="0"/>
        <w:tabs>
          <w:tab w:leader="none" w:pos="5200" w:val="left"/>
        </w:tabs>
        <w:rPr>
          <w:sz w:val="20"/>
          <w:szCs w:val="20"/>
          <w:color w:val="auto"/>
        </w:rPr>
      </w:pPr>
      <w:r>
        <w:rPr>
          <w:rFonts w:ascii="Arial" w:cs="Arial" w:eastAsia="Arial" w:hAnsi="Arial"/>
          <w:sz w:val="18"/>
          <w:szCs w:val="18"/>
          <w:color w:val="auto"/>
        </w:rPr>
        <w:t>1.             On</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wp:posOffset>
            </wp:positionV>
            <wp:extent cx="2456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[$/C$]___________] [aggregate face amount of C$___________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 Loans] [Term SOFR/Canadian Term Rate Loans] [Borrowing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For Term SOFR Loans: with an Interest Period of [one] [three] [six]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Term Rate Loans: with an Interest Period of [one] [two] [three]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BA’s: a maturity date of ____________, 20__.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            If a conversion or continuation of Committed Loans, the existing Borrowing(s) of Committed Loans to be converted or continued: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Principal amount of [$/C$] ____________ of Base Rate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Committed Borrowing, if any, requested herein complies with the proviso to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Agreement.</w:t>
      </w: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11240"/>
          </w:cols>
          <w:pgMar w:left="320" w:top="90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Swing Line Lender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made to that certain Fourth Amended and Restated Credit Agreement, dated as of August 20, 2021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Plains Marketing, L.P., a Texas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a Swing Line Loan:</w:t>
      </w:r>
    </w:p>
    <w:p>
      <w:pPr>
        <w:spacing w:after="0" w:line="225"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18"/>
          <w:szCs w:val="18"/>
          <w:color w:val="auto"/>
        </w:rPr>
        <w:t>1.             On</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wp:posOffset>
            </wp:positionV>
            <wp:extent cx="2313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w:t>
      </w:r>
      <w:r>
        <w:rPr>
          <w:rFonts w:ascii="Arial" w:cs="Arial" w:eastAsia="Arial" w:hAnsi="Arial"/>
          <w:sz w:val="18"/>
          <w:szCs w:val="18"/>
          <w:u w:val="single" w:color="auto"/>
          <w:color w:val="auto"/>
        </w:rPr>
        <w:t>                      </w:t>
      </w:r>
      <w:r>
        <w:rPr>
          <w:rFonts w:ascii="Arial" w:cs="Arial" w:eastAsia="Arial" w:hAnsi="Arial"/>
          <w:sz w:val="18"/>
          <w:szCs w:val="18"/>
          <w:color w:val="auto"/>
        </w:rPr>
        <w:t xml:space="preserve">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Rate/Canadian Prime Rate/Term SOFR/Canadian Term Rate] Loans.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Swing Line Borrowing requested herein complies with the requirements of the provisos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of the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2022-08-25T17:00:32Z</dcterms:created>
  <dcterms:modified xsi:type="dcterms:W3CDTF">2022-08-25T17:00:32Z</dcterms:modified>
</cp:coreProperties>
</file>