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PAA GP Holdings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11/15/2016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STE. 1600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ALL AMERICAN PIPELINE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540" w:type="dxa"/>
            <w:vAlign w:val="bottom"/>
            <w:tcBorders>
              <w:bottom w:val="single" w:sz="8" w:color="2C2C2C"/>
            </w:tcBorders>
            <w:gridSpan w:val="9"/>
          </w:tcPr>
          <w:p>
            <w:pPr>
              <w:ind w:left="60"/>
              <w:spacing w:after="0"/>
              <w:rPr>
                <w:sz w:val="20"/>
                <w:szCs w:val="20"/>
                <w:color w:val="auto"/>
              </w:rPr>
            </w:pPr>
            <w:r>
              <w:rPr>
                <w:rFonts w:ascii="Arial" w:cs="Arial" w:eastAsia="Arial" w:hAnsi="Arial"/>
                <w:sz w:val="18"/>
                <w:szCs w:val="18"/>
                <w:color w:val="0000FF"/>
              </w:rPr>
              <w:t>Common Units (Limited Partner Interests)</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244,707,926</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0000FF"/>
              </w:rPr>
              <w:t>By Plains AAP, 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8"/>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PAA GP Holdings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gridSpan w:val="3"/>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333 CLAY STREET, STE. 1600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80" w:type="dxa"/>
            <w:vAlign w:val="bottom"/>
            <w:gridSpan w:val="3"/>
          </w:tcPr>
          <w:p>
            <w:pPr>
              <w:spacing w:after="0"/>
              <w:rPr>
                <w:sz w:val="20"/>
                <w:szCs w:val="20"/>
                <w:color w:val="auto"/>
              </w:rPr>
            </w:pPr>
            <w:r>
              <w:rPr>
                <w:rFonts w:ascii="Arial" w:cs="Arial" w:eastAsia="Arial" w:hAnsi="Arial"/>
                <w:sz w:val="18"/>
                <w:szCs w:val="18"/>
                <w:color w:val="0000FF"/>
              </w:rPr>
              <w:t>TX</w:t>
            </w:r>
          </w:p>
        </w:tc>
        <w:tc>
          <w:tcPr>
            <w:tcW w:w="740" w:type="dxa"/>
            <w:vAlign w:val="bottom"/>
          </w:tcPr>
          <w:p>
            <w:pPr>
              <w:ind w:left="180"/>
              <w:spacing w:after="0"/>
              <w:rPr>
                <w:sz w:val="20"/>
                <w:szCs w:val="20"/>
                <w:color w:val="auto"/>
              </w:rPr>
            </w:pPr>
            <w:r>
              <w:rPr>
                <w:rFonts w:ascii="Arial" w:cs="Arial" w:eastAsia="Arial" w:hAnsi="Arial"/>
                <w:sz w:val="18"/>
                <w:szCs w:val="18"/>
                <w:color w:val="0000FF"/>
              </w:rPr>
              <w:t>77002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gridSpan w:val="3"/>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line="224" w:lineRule="exact"/>
              <w:rPr>
                <w:rFonts w:ascii="Arial" w:cs="Arial" w:eastAsia="Arial" w:hAnsi="Arial"/>
                <w:sz w:val="22"/>
                <w:szCs w:val="22"/>
                <w:color w:val="0000EE"/>
                <w:w w:val="89"/>
              </w:rPr>
            </w:pPr>
            <w:hyperlink r:id="rId13">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gridSpan w:val="3"/>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333 CLAY STREET, SUITE 1600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80" w:type="dxa"/>
            <w:vAlign w:val="bottom"/>
            <w:gridSpan w:val="3"/>
          </w:tcPr>
          <w:p>
            <w:pPr>
              <w:spacing w:after="0"/>
              <w:rPr>
                <w:sz w:val="20"/>
                <w:szCs w:val="20"/>
                <w:color w:val="auto"/>
              </w:rPr>
            </w:pPr>
            <w:r>
              <w:rPr>
                <w:rFonts w:ascii="Arial" w:cs="Arial" w:eastAsia="Arial" w:hAnsi="Arial"/>
                <w:sz w:val="18"/>
                <w:szCs w:val="18"/>
                <w:color w:val="0000FF"/>
              </w:rPr>
              <w:t>TX</w:t>
            </w:r>
          </w:p>
        </w:tc>
        <w:tc>
          <w:tcPr>
            <w:tcW w:w="740" w:type="dxa"/>
            <w:vAlign w:val="bottom"/>
          </w:tcPr>
          <w:p>
            <w:pPr>
              <w:ind w:left="180"/>
              <w:spacing w:after="0"/>
              <w:rPr>
                <w:sz w:val="20"/>
                <w:szCs w:val="20"/>
                <w:color w:val="auto"/>
              </w:rPr>
            </w:pPr>
            <w:r>
              <w:rPr>
                <w:rFonts w:ascii="Arial" w:cs="Arial" w:eastAsia="Arial" w:hAnsi="Arial"/>
                <w:sz w:val="18"/>
                <w:szCs w:val="18"/>
                <w:color w:val="0000FF"/>
              </w:rPr>
              <w:t>77002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gridSpan w:val="3"/>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Plains All American GP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gridSpan w:val="3"/>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333 CLAY STREET, SUITE 1600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280" w:type="dxa"/>
            <w:vAlign w:val="bottom"/>
            <w:gridSpan w:val="3"/>
          </w:tcPr>
          <w:p>
            <w:pPr>
              <w:spacing w:after="0"/>
              <w:rPr>
                <w:sz w:val="20"/>
                <w:szCs w:val="20"/>
                <w:color w:val="auto"/>
              </w:rPr>
            </w:pPr>
            <w:r>
              <w:rPr>
                <w:rFonts w:ascii="Arial" w:cs="Arial" w:eastAsia="Arial" w:hAnsi="Arial"/>
                <w:sz w:val="18"/>
                <w:szCs w:val="18"/>
                <w:color w:val="0000FF"/>
              </w:rPr>
              <w:t>TX</w:t>
            </w:r>
          </w:p>
        </w:tc>
        <w:tc>
          <w:tcPr>
            <w:tcW w:w="740" w:type="dxa"/>
            <w:vAlign w:val="bottom"/>
          </w:tcPr>
          <w:p>
            <w:pPr>
              <w:ind w:left="180"/>
              <w:spacing w:after="0"/>
              <w:rPr>
                <w:sz w:val="20"/>
                <w:szCs w:val="20"/>
                <w:color w:val="auto"/>
              </w:rPr>
            </w:pPr>
            <w:r>
              <w:rPr>
                <w:rFonts w:ascii="Arial" w:cs="Arial" w:eastAsia="Arial" w:hAnsi="Arial"/>
                <w:sz w:val="18"/>
                <w:szCs w:val="18"/>
                <w:color w:val="0000FF"/>
              </w:rPr>
              <w:t>77002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gridSpan w:val="3"/>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GP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1"/>
              </w:rPr>
              <w:t>333 CLAY STREET</w:t>
            </w:r>
          </w:p>
        </w:tc>
        <w:tc>
          <w:tcPr>
            <w:tcW w:w="9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SUITE 1600</w:t>
            </w:r>
          </w:p>
        </w:tc>
        <w:tc>
          <w:tcPr>
            <w:tcW w:w="9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5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HOUSTON</w:t>
            </w:r>
          </w:p>
        </w:tc>
        <w:tc>
          <w:tcPr>
            <w:tcW w:w="940" w:type="dxa"/>
            <w:vAlign w:val="bottom"/>
          </w:tcPr>
          <w:p>
            <w:pPr>
              <w:spacing w:after="0"/>
              <w:rPr>
                <w:sz w:val="20"/>
                <w:szCs w:val="20"/>
                <w:color w:val="auto"/>
              </w:rPr>
            </w:pPr>
            <w:r>
              <w:rPr>
                <w:rFonts w:ascii="Arial" w:cs="Arial" w:eastAsia="Arial" w:hAnsi="Arial"/>
                <w:sz w:val="18"/>
                <w:szCs w:val="18"/>
                <w:color w:val="0000FF"/>
              </w:rPr>
              <w:t>TX</w:t>
            </w:r>
          </w:p>
        </w:tc>
        <w:tc>
          <w:tcPr>
            <w:tcW w:w="1940" w:type="dxa"/>
            <w:vAlign w:val="bottom"/>
          </w:tcPr>
          <w:p>
            <w:pPr>
              <w:ind w:left="5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3 is being filed in connection with the issuance of units to Plains AAP, L.P. ("AAP") as contemplated by the Simplification Agreement, dated as of July 11, 2016, among PAA GP Holdings LLC ("PAGP GP"), Plains GP Holdings, L.P. ("PAGP"), Plains All American GP LLC ("GP LLC"), AAP, PAA GP LLC, and the Issuer. Upon the closing of the transactions contemplated by the Simplification Agreement, the Issuer issued to AAP 244,707,926 common units ("Common Units") of the Issuer. PAGP GP is the general partner of PAGP, which is the managing member of GP LLC, which is the general partner of AAP. Each of the PAGP GP, PAGP and GP LLC may be deemed to indirectly beneficially own the Common Units directly held by AAP, but disclaim beneficial ownership of such Common Units except to the extent of their respective pecuniary interests therein.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Richard McGee,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43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Vice President of PAA GP</w:t>
      </w:r>
      <w:r>
        <w:rPr>
          <w:sz w:val="20"/>
          <w:szCs w:val="20"/>
          <w:color w:val="auto"/>
        </w:rPr>
        <w:tab/>
      </w:r>
      <w:r>
        <w:rPr>
          <w:rFonts w:ascii="Arial" w:cs="Arial" w:eastAsia="Arial" w:hAnsi="Arial"/>
          <w:sz w:val="15"/>
          <w:szCs w:val="15"/>
          <w:color w:val="0000FF"/>
        </w:rPr>
        <w:t>11/22/2016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47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11" Type="http://schemas.openxmlformats.org/officeDocument/2006/relationships/hyperlink" Target="http://www.sec.gov/cgi-bin/browse-edgar?action=getcompany&amp;CIK=0001581928" TargetMode="External"/><Relationship Id="rId12" Type="http://schemas.openxmlformats.org/officeDocument/2006/relationships/hyperlink" Target="http://www.sec.gov/cgi-bin/browse-edgar?action=getcompany&amp;CIK=0001070423" TargetMode="External"/><Relationship Id="rId13" Type="http://schemas.openxmlformats.org/officeDocument/2006/relationships/hyperlink" Target="http://www.sec.gov/cgi-bin/browse-edgar?action=getcompany&amp;CIK=0001490401" TargetMode="External"/><Relationship Id="rId14" Type="http://schemas.openxmlformats.org/officeDocument/2006/relationships/hyperlink" Target="http://www.sec.gov/cgi-bin/browse-edgar?action=getcompany&amp;CIK=0001490402" TargetMode="External"/><Relationship Id="rId15"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2020-01-19T10:01:43Z</dcterms:created>
  <dcterms:modified xsi:type="dcterms:W3CDTF">2020-01-19T10:01:43Z</dcterms:modified>
</cp:coreProperties>
</file>