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May 5, 2023</w:t>
      </w:r>
    </w:p>
    <w:p>
      <w:pPr>
        <w:spacing w:after="0" w:line="24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Plains All American Pipeline, L.P.</w:t>
      </w:r>
    </w:p>
    <w:p>
      <w:pPr>
        <w:spacing w:after="0" w:line="5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20"/>
          </w:cols>
          <w:pgMar w:left="320" w:top="1415" w:right="359" w:bottom="1440" w:gutter="0" w:footer="0" w:header="0"/>
        </w:sectPr>
      </w:pPr>
    </w:p>
    <w:p>
      <w:pPr>
        <w:spacing w:after="0" w:line="26"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1-14569</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31"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2" w:lineRule="exact"/>
        <w:rPr>
          <w:sz w:val="24"/>
          <w:szCs w:val="24"/>
          <w:color w:val="auto"/>
        </w:rPr>
      </w:pPr>
    </w:p>
    <w:p>
      <w:pPr>
        <w:sectPr>
          <w:pgSz w:w="11900" w:h="16838" w:orient="portrait"/>
          <w:cols w:equalWidth="0" w:num="3">
            <w:col w:w="3900" w:space="720"/>
            <w:col w:w="2520" w:space="720"/>
            <w:col w:w="3360"/>
          </w:cols>
          <w:pgMar w:left="320" w:top="1415" w:right="359" w:bottom="1440" w:gutter="0" w:footer="0" w:header="0"/>
          <w:type w:val="continuous"/>
        </w:sectPr>
      </w:pPr>
    </w:p>
    <w:p>
      <w:pPr>
        <w:ind w:left="1620"/>
        <w:spacing w:after="0" w:line="229" w:lineRule="auto"/>
        <w:rPr>
          <w:sz w:val="20"/>
          <w:szCs w:val="20"/>
          <w:color w:val="auto"/>
        </w:rPr>
      </w:pPr>
      <w:r>
        <w:rPr>
          <w:rFonts w:ascii="Times New Roman" w:cs="Times New Roman" w:eastAsia="Times New Roman" w:hAnsi="Times New Roman"/>
          <w:sz w:val="18"/>
          <w:szCs w:val="18"/>
          <w:color w:val="auto"/>
        </w:rPr>
        <w:t>incorporation)</w:t>
      </w:r>
    </w:p>
    <w:p>
      <w:pPr>
        <w:spacing w:after="0" w:line="31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4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20"/>
          </w:cols>
          <w:pgMar w:left="320" w:top="1415" w:right="359" w:bottom="1440" w:gutter="0" w:footer="0" w:header="0"/>
          <w:type w:val="continuous"/>
        </w:sectPr>
      </w:pP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52"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40" w:firstLine="8"/>
        <w:spacing w:after="0" w:line="553"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40" w:type="dxa"/>
        <w:tblCellMar>
          <w:top w:w="0" w:type="dxa"/>
          <w:left w:w="0" w:type="dxa"/>
          <w:bottom w:w="0" w:type="dxa"/>
          <w:right w:w="0" w:type="dxa"/>
        </w:tblCellMar>
      </w:tblPr>
      <w:tr>
        <w:trPr>
          <w:trHeight w:val="238"/>
        </w:trPr>
        <w:tc>
          <w:tcPr>
            <w:tcW w:w="3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Units</w:t>
            </w:r>
          </w:p>
        </w:tc>
        <w:tc>
          <w:tcPr>
            <w:tcW w:w="12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PAA</w:t>
            </w:r>
          </w:p>
        </w:tc>
        <w:tc>
          <w:tcPr>
            <w:tcW w:w="120" w:type="dxa"/>
            <w:vAlign w:val="bottom"/>
          </w:tcPr>
          <w:p>
            <w:pPr>
              <w:spacing w:after="0"/>
              <w:rPr>
                <w:sz w:val="19"/>
                <w:szCs w:val="19"/>
                <w:color w:val="auto"/>
              </w:rPr>
            </w:pPr>
          </w:p>
        </w:tc>
        <w:tc>
          <w:tcPr>
            <w:tcW w:w="4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314"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ind w:right="220"/>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995045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219075</wp:posOffset>
            </wp:positionV>
            <wp:extent cx="70891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159385</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20"/>
          </w:cols>
          <w:pgMar w:left="320" w:top="1415"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and Item 7.01. Results of Operations and Financial Condition; Regulation FD Disclosure.</w:t>
      </w:r>
    </w:p>
    <w:p>
      <w:pPr>
        <w:spacing w:after="0" w:line="256" w:lineRule="exact"/>
        <w:rPr>
          <w:sz w:val="20"/>
          <w:szCs w:val="20"/>
          <w:color w:val="auto"/>
        </w:rPr>
      </w:pPr>
    </w:p>
    <w:p>
      <w:pPr>
        <w:ind w:firstLine="180"/>
        <w:spacing w:after="0" w:line="258" w:lineRule="auto"/>
        <w:rPr>
          <w:sz w:val="20"/>
          <w:szCs w:val="20"/>
          <w:color w:val="auto"/>
        </w:rPr>
      </w:pPr>
      <w:r>
        <w:rPr>
          <w:rFonts w:ascii="Times New Roman" w:cs="Times New Roman" w:eastAsia="Times New Roman" w:hAnsi="Times New Roman"/>
          <w:sz w:val="18"/>
          <w:szCs w:val="18"/>
          <w:color w:val="auto"/>
        </w:rPr>
        <w:t>On May 5, 2023, the Registrant issued a press release reporting its first-quarter 2023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 Exhibits.</w:t>
      </w:r>
    </w:p>
    <w:p>
      <w:pPr>
        <w:spacing w:after="0" w:line="32"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040" w:type="dxa"/>
            <w:vAlign w:val="bottom"/>
            <w:vMerge w:val="restart"/>
          </w:tcPr>
          <w:p>
            <w:pPr>
              <w:ind w:left="9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14"/>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08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7420" w:type="dxa"/>
            <w:vAlign w:val="bottom"/>
            <w:tcBorders>
              <w:top w:val="single" w:sz="8" w:color="auto"/>
            </w:tcBorders>
            <w:gridSpan w:val="2"/>
          </w:tcPr>
          <w:p>
            <w:pPr>
              <w:spacing w:after="0" w:line="184" w:lineRule="exact"/>
              <w:rPr>
                <w:sz w:val="20"/>
                <w:szCs w:val="20"/>
                <w:color w:val="auto"/>
              </w:rPr>
            </w:pPr>
            <w:r>
              <w:rPr>
                <w:rFonts w:ascii="Times New Roman" w:cs="Times New Roman" w:eastAsia="Times New Roman" w:hAnsi="Times New Roman"/>
                <w:sz w:val="18"/>
                <w:szCs w:val="18"/>
                <w:color w:val="0000FF"/>
              </w:rPr>
              <w:t>Press Release dated May 5, 2023</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1860" w:hanging="792"/>
        <w:spacing w:after="0"/>
        <w:tabs>
          <w:tab w:leader="none" w:pos="1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0"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887" w:right="6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4" w:lineRule="exact"/>
        <w:rPr>
          <w:sz w:val="20"/>
          <w:szCs w:val="20"/>
          <w:color w:val="auto"/>
        </w:rPr>
      </w:pPr>
    </w:p>
    <w:p>
      <w:pPr>
        <w:ind w:right="700" w:firstLine="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82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PLAINS ALL AMERICAN PIPELINE, L.P.</w:t>
            </w:r>
          </w:p>
        </w:tc>
      </w:tr>
      <w:tr>
        <w:trPr>
          <w:trHeight w:val="500"/>
        </w:trPr>
        <w:tc>
          <w:tcPr>
            <w:tcW w:w="2940" w:type="dxa"/>
            <w:vAlign w:val="bottom"/>
          </w:tcPr>
          <w:p>
            <w:pPr>
              <w:spacing w:after="0"/>
              <w:rPr>
                <w:sz w:val="24"/>
                <w:szCs w:val="24"/>
                <w:color w:val="auto"/>
              </w:rPr>
            </w:pPr>
          </w:p>
        </w:tc>
        <w:tc>
          <w:tcPr>
            <w:tcW w:w="82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By:  PAA GP LLC, its general partner</w:t>
            </w:r>
          </w:p>
        </w:tc>
      </w:tr>
      <w:tr>
        <w:trPr>
          <w:trHeight w:val="499"/>
        </w:trPr>
        <w:tc>
          <w:tcPr>
            <w:tcW w:w="2940" w:type="dxa"/>
            <w:vAlign w:val="bottom"/>
          </w:tcPr>
          <w:p>
            <w:pPr>
              <w:spacing w:after="0"/>
              <w:rPr>
                <w:sz w:val="24"/>
                <w:szCs w:val="24"/>
                <w:color w:val="auto"/>
              </w:rPr>
            </w:pPr>
          </w:p>
        </w:tc>
        <w:tc>
          <w:tcPr>
            <w:tcW w:w="82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By:  Plains AAP, L.P., its sole member</w:t>
            </w:r>
          </w:p>
        </w:tc>
      </w:tr>
      <w:tr>
        <w:trPr>
          <w:trHeight w:val="499"/>
        </w:trPr>
        <w:tc>
          <w:tcPr>
            <w:tcW w:w="2940" w:type="dxa"/>
            <w:vAlign w:val="bottom"/>
          </w:tcPr>
          <w:p>
            <w:pPr>
              <w:spacing w:after="0"/>
              <w:rPr>
                <w:sz w:val="24"/>
                <w:szCs w:val="24"/>
                <w:color w:val="auto"/>
              </w:rPr>
            </w:pPr>
          </w:p>
        </w:tc>
        <w:tc>
          <w:tcPr>
            <w:tcW w:w="82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By:  Plains All American GP LLC, its general partner</w:t>
            </w:r>
          </w:p>
        </w:tc>
      </w:tr>
      <w:tr>
        <w:trPr>
          <w:trHeight w:val="499"/>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2023</w:t>
            </w:r>
          </w:p>
        </w:tc>
        <w:tc>
          <w:tcPr>
            <w:tcW w:w="82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By:  /s/ Sharon Spurlin</w:t>
            </w:r>
          </w:p>
        </w:tc>
      </w:tr>
      <w:tr>
        <w:trPr>
          <w:trHeight w:val="216"/>
        </w:trPr>
        <w:tc>
          <w:tcPr>
            <w:tcW w:w="29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5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Sharon Spurlin</w:t>
            </w:r>
          </w:p>
        </w:tc>
      </w:tr>
      <w:tr>
        <w:trPr>
          <w:trHeight w:val="236"/>
        </w:trPr>
        <w:tc>
          <w:tcPr>
            <w:tcW w:w="29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58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Senior Vice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981"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294005</wp:posOffset>
            </wp:positionV>
            <wp:extent cx="4946015" cy="7797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46015"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Plains All American Reports First-Quarter 2023 Results; Reaffirms 2023 Guidance</w:t>
      </w:r>
    </w:p>
    <w:p>
      <w:pPr>
        <w:spacing w:after="0" w:line="200" w:lineRule="exact"/>
        <w:rPr>
          <w:sz w:val="20"/>
          <w:szCs w:val="20"/>
          <w:color w:val="auto"/>
        </w:rPr>
      </w:pPr>
    </w:p>
    <w:p>
      <w:pPr>
        <w:spacing w:after="0" w:line="281" w:lineRule="exact"/>
        <w:rPr>
          <w:sz w:val="20"/>
          <w:szCs w:val="20"/>
          <w:color w:val="auto"/>
        </w:rPr>
      </w:pPr>
    </w:p>
    <w:p>
      <w:pPr>
        <w:ind w:right="400"/>
        <w:spacing w:after="0" w:line="250" w:lineRule="auto"/>
        <w:rPr>
          <w:sz w:val="20"/>
          <w:szCs w:val="20"/>
          <w:color w:val="auto"/>
        </w:rPr>
      </w:pPr>
      <w:r>
        <w:rPr>
          <w:rFonts w:ascii="Times New Roman" w:cs="Times New Roman" w:eastAsia="Times New Roman" w:hAnsi="Times New Roman"/>
          <w:sz w:val="18"/>
          <w:szCs w:val="18"/>
          <w:color w:val="auto"/>
        </w:rPr>
        <w:t>Houston, TX – May 5, 2023 – Plains All American Pipeline, L.P. (Nasdaq: PAA) and Plains GP Holdings (Nasdaq: PAGP) today reported first-quarter 2023 results and reaffirmed 2023 guidance as highlighted below:</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First-Quarter Results</w:t>
      </w:r>
    </w:p>
    <w:p>
      <w:pPr>
        <w:spacing w:after="0" w:line="256"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Net income attributable to PAA of $422 million and Net cash provided by operating activities of $743 million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strong Adjusted EBITDA attributable to PAA of $715 million</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Free Cash Flow of $823 million, including approximately $284 million of asset sales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total debt by approximately $450 million</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annualized common distribution by $0.20 to $1.07 per unit (~23% increase, paid in February)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Reaffirmed 2023 Guidance</w:t>
      </w:r>
    </w:p>
    <w:p>
      <w:pPr>
        <w:spacing w:after="0" w:line="256" w:lineRule="exact"/>
        <w:rPr>
          <w:sz w:val="20"/>
          <w:szCs w:val="20"/>
          <w:color w:val="auto"/>
        </w:rPr>
      </w:pPr>
    </w:p>
    <w:p>
      <w:pPr>
        <w:ind w:left="660" w:right="50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Reaffirming full-year 2023 Adjusted EBITDA guidance attributable to PAA of $2.45 - $2.55 billion, year-end 2023 leverage of +/- 3.5x and common unit distribution coverage of +/- 215%</w:t>
      </w:r>
    </w:p>
    <w:p>
      <w:pPr>
        <w:spacing w:after="0" w:line="188"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 to generate approximately $1.6 billion of Free Cash Flow in 2023, underpinning our previously announced capital allocation framework that includes meaningfully increasing returns of capital to equity holders and further absolute debt reduction</w:t>
      </w:r>
    </w:p>
    <w:p>
      <w:pPr>
        <w:spacing w:after="0" w:line="188"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 focused on disciplined capital investments, anticipate full-year 2023 Investment and Maintenance Capital of $325 million and $195 million, respectively, net to PAA</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“Plains remains focused on execution, and our company is off to a strong start to the year despite macro uncertainty. We remain confident in our ability to deliver on our 2023 plan with our contracting profile and significant hedging within our Crude Oil and NGL segments serving to mitigate risk. As such, today we are reaffirming our 2023 guidance,” stated Willie Chiang, Chairman &amp; CEO of Plains. “Our Free Cash Flow generation enables Plains to execute on our previously announced capital allocation framework focused on increasing returns to our equity holders while further enhancing our financial flexibility. Over the long-term, we remain well positioned as North America will continue playing a critical role in global energy supply.”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Financial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94"/>
        </w:trPr>
        <w:tc>
          <w:tcPr>
            <w:tcW w:w="8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GAAP Results</w:t>
            </w:r>
          </w:p>
        </w:tc>
        <w:tc>
          <w:tcPr>
            <w:tcW w:w="200" w:type="dxa"/>
            <w:vAlign w:val="bottom"/>
          </w:tcPr>
          <w:p>
            <w:pPr>
              <w:spacing w:after="0"/>
              <w:rPr>
                <w:sz w:val="17"/>
                <w:szCs w:val="17"/>
                <w:color w:val="auto"/>
              </w:rPr>
            </w:pPr>
          </w:p>
        </w:tc>
        <w:tc>
          <w:tcPr>
            <w:tcW w:w="7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8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0" w:type="dxa"/>
            <w:vAlign w:val="bottom"/>
          </w:tcPr>
          <w:p>
            <w:pPr>
              <w:spacing w:after="0"/>
              <w:rPr>
                <w:sz w:val="1"/>
                <w:szCs w:val="1"/>
                <w:color w:val="auto"/>
              </w:rPr>
            </w:pPr>
          </w:p>
        </w:tc>
      </w:tr>
      <w:tr>
        <w:trPr>
          <w:trHeight w:val="230"/>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net income per common unit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units outstanding</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per common unit declared for the period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0.2175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608"/>
        </w:trPr>
        <w:tc>
          <w:tcPr>
            <w:tcW w:w="8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96"/>
        </w:trPr>
        <w:tc>
          <w:tcPr>
            <w:tcW w:w="8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b w:val="1"/>
                <w:bCs w:val="1"/>
                <w:i w:val="1"/>
                <w:iCs w:val="1"/>
                <w:color w:val="auto"/>
              </w:rPr>
              <w:t xml:space="preserve">Non-GAAP Results </w:t>
            </w:r>
            <w:r>
              <w:rPr>
                <w:rFonts w:ascii="Times New Roman" w:cs="Times New Roman" w:eastAsia="Times New Roman" w:hAnsi="Times New Roman"/>
                <w:sz w:val="18"/>
                <w:szCs w:val="18"/>
                <w:b w:val="1"/>
                <w:bCs w:val="1"/>
                <w:i w:val="1"/>
                <w:iCs w:val="1"/>
                <w:color w:val="auto"/>
                <w:vertAlign w:val="superscript"/>
              </w:rPr>
              <w:t>(1)</w:t>
            </w:r>
          </w:p>
        </w:tc>
        <w:tc>
          <w:tcPr>
            <w:tcW w:w="200" w:type="dxa"/>
            <w:vAlign w:val="bottom"/>
          </w:tcPr>
          <w:p>
            <w:pPr>
              <w:spacing w:after="0"/>
              <w:rPr>
                <w:sz w:val="17"/>
                <w:szCs w:val="17"/>
                <w:color w:val="auto"/>
              </w:rPr>
            </w:pPr>
          </w:p>
        </w:tc>
        <w:tc>
          <w:tcPr>
            <w:tcW w:w="7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8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 attributable to PAA</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29"/>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adjusted net income per common unit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30"/>
        </w:trPr>
        <w:tc>
          <w:tcPr>
            <w:tcW w:w="82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EBITDA attributable to PAA </w:t>
            </w:r>
            <w:r>
              <w:rPr>
                <w:rFonts w:ascii="Times New Roman" w:cs="Times New Roman" w:eastAsia="Times New Roman" w:hAnsi="Times New Roman"/>
                <w:sz w:val="23"/>
                <w:szCs w:val="23"/>
                <w:color w:val="auto"/>
                <w:vertAlign w:val="superscript"/>
              </w:rPr>
              <w:t>(2)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Implied DCF per common unit and common unit equivalent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9"/>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 after Distributions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24599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that variance as a percentage is not meaningful.</w:t>
      </w:r>
    </w:p>
    <w:p>
      <w:pPr>
        <w:spacing w:after="0" w:line="63" w:lineRule="exact"/>
        <w:rPr>
          <w:sz w:val="20"/>
          <w:szCs w:val="20"/>
          <w:color w:val="auto"/>
        </w:rPr>
      </w:pPr>
    </w:p>
    <w:p>
      <w:pPr>
        <w:jc w:val="both"/>
        <w:ind w:left="340" w:right="240" w:hanging="332"/>
        <w:spacing w:after="0" w:line="251" w:lineRule="auto"/>
        <w:tabs>
          <w:tab w:leader="none" w:pos="328"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section of this release entitled “Non-GAAP Financial Measures and Selected Items Impacting Comparability” and the tables attached hereto for information regarding our Non-GAAP financial measures, including their reconciliation to the most directly comparable measures as reported in accordance with GAAP, and certain selected items that PAA believes impact comparability of financial results between reporting periods.</w:t>
      </w:r>
    </w:p>
    <w:p>
      <w:pPr>
        <w:spacing w:after="0" w:line="28" w:lineRule="exact"/>
        <w:rPr>
          <w:rFonts w:ascii="Times New Roman" w:cs="Times New Roman" w:eastAsia="Times New Roman" w:hAnsi="Times New Roman"/>
          <w:sz w:val="22"/>
          <w:szCs w:val="22"/>
          <w:color w:val="auto"/>
          <w:vertAlign w:val="superscript"/>
        </w:rPr>
      </w:pPr>
    </w:p>
    <w:p>
      <w:pPr>
        <w:ind w:left="340" w:right="400" w:hanging="332"/>
        <w:spacing w:after="0" w:line="229" w:lineRule="auto"/>
        <w:tabs>
          <w:tab w:leader="none" w:pos="328"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amounts attributable to noncontrolling interests in the Plains Oryx Permian Basin LLC joint venture, Cactus II Pipeline LLC (beginning November 2022) and Red River Pipeline LLC.</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64"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auto"/>
        </w:rPr>
        <w:t>Page 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Selected Financial Data by Segment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4"/>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Segment Adjusted EBITDA</w:t>
            </w:r>
          </w:p>
        </w:tc>
      </w:tr>
      <w:tr>
        <w:trPr>
          <w:trHeight w:val="211"/>
        </w:trPr>
        <w:tc>
          <w:tcPr>
            <w:tcW w:w="7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Crude Oil</w:t>
            </w:r>
          </w:p>
        </w:tc>
        <w:tc>
          <w:tcPr>
            <w:tcW w:w="380" w:type="dxa"/>
            <w:vAlign w:val="bottom"/>
          </w:tcPr>
          <w:p>
            <w:pPr>
              <w:spacing w:after="0"/>
              <w:rPr>
                <w:sz w:val="18"/>
                <w:szCs w:val="18"/>
                <w:color w:val="auto"/>
              </w:rPr>
            </w:pPr>
          </w:p>
        </w:tc>
        <w:tc>
          <w:tcPr>
            <w:tcW w:w="1260" w:type="dxa"/>
            <w:vAlign w:val="bottom"/>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NGL</w:t>
            </w:r>
          </w:p>
        </w:tc>
      </w:tr>
      <w:tr>
        <w:trPr>
          <w:trHeight w:val="250"/>
        </w:trPr>
        <w:tc>
          <w:tcPr>
            <w:tcW w:w="7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March 31, 2023</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192</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8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Three Months Ended March 31, 2022</w:t>
            </w: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34"/>
              <w:spacing w:after="0" w:line="203" w:lineRule="exact"/>
              <w:rPr>
                <w:sz w:val="20"/>
                <w:szCs w:val="20"/>
                <w:color w:val="auto"/>
              </w:rPr>
            </w:pPr>
            <w:r>
              <w:rPr>
                <w:rFonts w:ascii="Times New Roman" w:cs="Times New Roman" w:eastAsia="Times New Roman" w:hAnsi="Times New Roman"/>
                <w:sz w:val="18"/>
                <w:szCs w:val="18"/>
                <w:color w:val="auto"/>
              </w:rPr>
              <w:t>453</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2"/>
              <w:spacing w:after="0" w:line="203" w:lineRule="exact"/>
              <w:rPr>
                <w:sz w:val="20"/>
                <w:szCs w:val="20"/>
                <w:color w:val="auto"/>
              </w:rPr>
            </w:pPr>
            <w:r>
              <w:rPr>
                <w:rFonts w:ascii="Times New Roman" w:cs="Times New Roman" w:eastAsia="Times New Roman" w:hAnsi="Times New Roman"/>
                <w:sz w:val="18"/>
                <w:szCs w:val="18"/>
                <w:color w:val="auto"/>
              </w:rPr>
              <w:t>161</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Percentage change in Segment Adjusted EBITDA versus 2022 period</w:t>
            </w:r>
          </w:p>
        </w:tc>
        <w:tc>
          <w:tcPr>
            <w:tcW w:w="2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14 %</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19 %</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First-quarter 2023 Crude Oil Segment Adjusted EBITDA increased 14% versus comparable 2022 results primarily due to higher volumes across our pipeline systems, particularly our Permian and Capline assets, tariff escalations and Canadian market-based opportunities. These items were partially offset by the impact of increased operating expenses and minimum volume commitment deficiency payments received in the first quarter of 2022.</w:t>
      </w:r>
    </w:p>
    <w:p>
      <w:pPr>
        <w:spacing w:after="0" w:line="203"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First-quarter 2023 NGL Segment Adjusted EBITDA increased 19% versus comparable 2022 results primarily due to the favorable impact of higher sales volumes at higher realized margins. These items were partially offset by the impact of higher utility costs and asset sales.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w:t>
      </w:r>
    </w:p>
    <w:p>
      <w:pPr>
        <w:spacing w:after="0" w:line="256"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attached hereto.</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Conference Call</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PAA and PAGP will hold a joint conference call at 9:00 a.m. CT on Friday, May 5, 2023 to discuss the following items:</w:t>
      </w:r>
    </w:p>
    <w:p>
      <w:pPr>
        <w:spacing w:after="0" w:line="117" w:lineRule="exact"/>
        <w:rPr>
          <w:sz w:val="20"/>
          <w:szCs w:val="20"/>
          <w:color w:val="auto"/>
        </w:rPr>
      </w:pPr>
    </w:p>
    <w:p>
      <w:pPr>
        <w:ind w:left="1140" w:hanging="322"/>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PAA’s first-quarter 2023 performance;</w:t>
      </w:r>
    </w:p>
    <w:p>
      <w:pPr>
        <w:spacing w:after="0" w:line="6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 and liquidity; and</w:t>
      </w:r>
    </w:p>
    <w:p>
      <w:pPr>
        <w:spacing w:after="0" w:line="6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2023 Financial guidance.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Conference Call Webcast Instructions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access the internet webcast, please go to https://edge.media-server.com/mmc/p/fm5sgxph.</w:t>
      </w:r>
    </w:p>
    <w:p>
      <w:pPr>
        <w:spacing w:after="0" w:line="252"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Alternatively, the webcast can be accessed on our website (www.plains.com) under Investor Relations (Navigate to: Investor Relations / either “PAA” or “PAGP” / News &amp; Events / Quarterly Earnings). Following the live webcast, an audio replay in MP3 format will be available on our website within two hours after the end of the call and will be accessible for a period of 365 days. Slides will be posted prior to the call at the above referenced website.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 and Selected Items Impacting Comparability</w:t>
      </w:r>
    </w:p>
    <w:p>
      <w:pPr>
        <w:spacing w:after="0" w:line="175"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Free Cash Flow and Free Cash Flow after Distributions.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auto"/>
        </w:rPr>
        <w:t>Page 4</w:t>
      </w:r>
    </w:p>
    <w:p>
      <w:pPr>
        <w:spacing w:after="0" w:line="200" w:lineRule="exact"/>
        <w:rPr>
          <w:sz w:val="20"/>
          <w:szCs w:val="20"/>
          <w:color w:val="auto"/>
        </w:rPr>
      </w:pPr>
    </w:p>
    <w:p>
      <w:pPr>
        <w:spacing w:after="0" w:line="24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Adjusted EBITDA is defined as earnings before interest, taxes, depreciation and amortization (including our proportionate share of depreciation and amortization, including write-downs related to cancelled projects and impairments, of unconsolidated entities), gains and losses on asset sales and asset impairments, goodwill impairment losses and gains or losses on and impairments of investments in unconsolidated entities, adjusted for certain selected items impacting comparability. Our definition and calculation of certain non-GAAP financial measures may not be comparable to similarly-titled measures of other companies. Adjusted EBITDA, Adjusted EBITDA attributable to PAA, Implied DCF and certain other non-GAAP financial performance measures are reconciled to Net Income, and Free Cash Flow and Free Cash Flow after Distributions are reconciled to Net Cash Provided by Operating Activities (the most directly comparable measures as reported in accordance with GAAP) for the historical periods presented in the tables attached to this release, and should be viewed in addition to, and not in lieu of, our Condensed Consolidated Financial Statements and accompanying notes. In addition, we encourage you to visit our website at www.plains.com (in particular the section under “Financial Information” entitled “Non-GAAP Reconciliations” within the Investor Relations tab), which presents a reconciliation of our commonly used non-GAAP and supplemental financial measures. We do not reconcile non-GAAP financial measures on a forward-looking basis as it is impractical to do so without unreasonable effort.</w:t>
      </w:r>
    </w:p>
    <w:p>
      <w:pPr>
        <w:spacing w:after="0" w:line="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Non-GAAP Financial Performance Measures</w:t>
      </w:r>
    </w:p>
    <w:p>
      <w:pPr>
        <w:spacing w:after="0" w:line="148"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financial performance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core operating results and/or (v) other items that we believe should be excluded in understanding our core operating performance. These measures may be further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9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These types of variations may not be separately identified in this release, but will be discussed, as applicable, in management’s discussion and analysis of operating results in our Quarterly Report on Form 10-Q.</w:t>
      </w:r>
    </w:p>
    <w:p>
      <w:pPr>
        <w:spacing w:after="0" w:line="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Non-GAAP Financial Liquidity Measures</w:t>
      </w:r>
    </w:p>
    <w:p>
      <w:pPr>
        <w:spacing w:after="0" w:line="14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Management also uses the non-GAAP financial liquidity measures Free Cash Flow and Free Cash Flow after Distributions to assess the amount of cash that is available for distributions, debt repayments, common equity repurchases and other general partnership purposes. Free Cash Flow is defined as Net Cash Provided by Operating Activities, less Net Cash Provided by/(Used in) Investing Activities, which primarily includes acquisition, investment and maintenance capital expenditures, investments in unconsolidated entities and the impact from the purchase and sale of linefill, net of proceeds from the sales of assets and further impacted by distributions to and contributions from noncontrolling interests. Free Cash Flow is further reduced by cash distributions paid to our preferred and common unitholders to arrive at Free Cash Flow after Distributions.</w:t>
      </w: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00"/>
          </w:cols>
          <w:pgMar w:left="320" w:top="364"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auto"/>
        </w:rPr>
        <w:t>Page 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17" w:lineRule="exact"/>
        <w:rPr>
          <w:sz w:val="20"/>
          <w:szCs w:val="20"/>
          <w:color w:val="auto"/>
        </w:rPr>
      </w:pPr>
    </w:p>
    <w:p>
      <w:pPr>
        <w:jc w:val="center"/>
        <w:ind w:left="87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7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Borders>
              <w:bottom w:val="single" w:sz="8" w:color="CCEEFF"/>
            </w:tcBorders>
          </w:tcPr>
          <w:p>
            <w:pPr>
              <w:spacing w:after="0"/>
              <w:rPr>
                <w:sz w:val="18"/>
                <w:szCs w:val="18"/>
                <w:color w:val="auto"/>
              </w:rPr>
            </w:pPr>
          </w:p>
        </w:tc>
        <w:tc>
          <w:tcPr>
            <w:tcW w:w="4700" w:type="dxa"/>
            <w:vAlign w:val="bottom"/>
            <w:tcBorders>
              <w:bottom w:val="single" w:sz="8" w:color="CCEEFF"/>
            </w:tcBorders>
          </w:tcPr>
          <w:p>
            <w:pPr>
              <w:spacing w:after="0"/>
              <w:rPr>
                <w:sz w:val="18"/>
                <w:szCs w:val="18"/>
                <w:color w:val="auto"/>
              </w:rPr>
            </w:pPr>
          </w:p>
        </w:tc>
        <w:tc>
          <w:tcPr>
            <w:tcW w:w="2260" w:type="dxa"/>
            <w:vAlign w:val="bottom"/>
            <w:tcBorders>
              <w:bottom w:val="single" w:sz="8" w:color="CCEEFF"/>
            </w:tcBorders>
          </w:tcPr>
          <w:p>
            <w:pPr>
              <w:spacing w:after="0"/>
              <w:rPr>
                <w:sz w:val="18"/>
                <w:szCs w:val="18"/>
                <w:color w:val="auto"/>
              </w:rPr>
            </w:pPr>
          </w:p>
        </w:tc>
        <w:tc>
          <w:tcPr>
            <w:tcW w:w="18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2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operating costs</w:t>
            </w:r>
          </w:p>
        </w:tc>
        <w:tc>
          <w:tcPr>
            <w:tcW w:w="2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(Gains)/losses on asset sales and asset impairments, net</w:t>
            </w:r>
          </w:p>
        </w:tc>
        <w:tc>
          <w:tcPr>
            <w:tcW w:w="226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2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2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income/(expense), net</w:t>
            </w:r>
          </w:p>
        </w:tc>
        <w:tc>
          <w:tcPr>
            <w:tcW w:w="226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70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TAX</w:t>
            </w:r>
          </w:p>
        </w:tc>
        <w:tc>
          <w:tcPr>
            <w:tcW w:w="2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2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income tax (expense)/benefit</w:t>
            </w:r>
          </w:p>
        </w:tc>
        <w:tc>
          <w:tcPr>
            <w:tcW w:w="226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70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PAA</w:t>
            </w:r>
          </w:p>
        </w:tc>
        <w:tc>
          <w:tcPr>
            <w:tcW w:w="2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PER COMMON UNIT:</w:t>
            </w:r>
          </w:p>
        </w:tc>
        <w:tc>
          <w:tcPr>
            <w:tcW w:w="2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allocated to common unitholders — Basic and Diluted</w:t>
            </w:r>
          </w:p>
        </w:tc>
        <w:tc>
          <w:tcPr>
            <w:tcW w:w="20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and diluted weighted average common units outstanding</w:t>
            </w:r>
          </w:p>
        </w:tc>
        <w:tc>
          <w:tcPr>
            <w:tcW w:w="2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0" w:type="dxa"/>
            <w:vAlign w:val="bottom"/>
            <w:shd w:val="clear" w:color="auto" w:fill="CCEEFF"/>
          </w:tcPr>
          <w:p>
            <w:pPr>
              <w:spacing w:after="0"/>
              <w:rPr>
                <w:sz w:val="21"/>
                <w:szCs w:val="21"/>
                <w:color w:val="auto"/>
              </w:rPr>
            </w:pPr>
          </w:p>
        </w:tc>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and diluted net income per common unit</w:t>
            </w:r>
          </w:p>
        </w:tc>
        <w:tc>
          <w:tcPr>
            <w:tcW w:w="2260" w:type="dxa"/>
            <w:vAlign w:val="bottom"/>
            <w:shd w:val="clear" w:color="auto" w:fill="CCEEFF"/>
          </w:tcPr>
          <w:p>
            <w:pPr>
              <w:spacing w:after="0"/>
              <w:rPr>
                <w:sz w:val="21"/>
                <w:szCs w:val="21"/>
                <w:color w:val="auto"/>
              </w:rPr>
            </w:pPr>
          </w:p>
        </w:tc>
        <w:tc>
          <w:tcPr>
            <w:tcW w:w="20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bottom w:val="single" w:sz="8" w:color="CCEEFF"/>
            </w:tcBorders>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w w:val="99"/>
              </w:rPr>
              <w:t>- more -</w:t>
            </w:r>
          </w:p>
        </w:tc>
        <w:tc>
          <w:tcPr>
            <w:tcW w:w="1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1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0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c>
          <w:tcPr>
            <w:tcW w:w="2980" w:type="dxa"/>
            <w:vAlign w:val="bottom"/>
            <w:tcBorders>
              <w:bottom w:val="single" w:sz="8" w:color="auto"/>
            </w:tcBorders>
            <w:gridSpan w:val="3"/>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700" w:type="dxa"/>
            <w:vAlign w:val="bottom"/>
          </w:tcPr>
          <w:p>
            <w:pPr>
              <w:ind w:left="1640"/>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tc>
        <w:tc>
          <w:tcPr>
            <w:tcW w:w="226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Houston, Texas 77002</w:t>
            </w:r>
          </w:p>
        </w:tc>
        <w:tc>
          <w:tcPr>
            <w:tcW w:w="2980" w:type="dxa"/>
            <w:vAlign w:val="bottom"/>
            <w:gridSpan w:val="3"/>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713-646-4100 / 866-809-1291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auto"/>
        </w:rPr>
        <w:t>Page 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BALANCE SHEET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06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00" w:type="dxa"/>
            <w:vAlign w:val="bottom"/>
            <w:tcBorders>
              <w:bottom w:val="single" w:sz="8" w:color="CCEEFF"/>
            </w:tcBorders>
          </w:tcPr>
          <w:p>
            <w:pPr>
              <w:spacing w:after="0"/>
              <w:rPr>
                <w:sz w:val="17"/>
                <w:szCs w:val="17"/>
                <w:color w:val="auto"/>
              </w:rPr>
            </w:pPr>
          </w:p>
        </w:tc>
        <w:tc>
          <w:tcPr>
            <w:tcW w:w="1920" w:type="dxa"/>
            <w:vAlign w:val="bottom"/>
            <w:tcBorders>
              <w:bottom w:val="single" w:sz="8" w:color="CCEEFF"/>
            </w:tcBorders>
          </w:tcPr>
          <w:p>
            <w:pPr>
              <w:spacing w:after="0"/>
              <w:rPr>
                <w:sz w:val="17"/>
                <w:szCs w:val="17"/>
                <w:color w:val="auto"/>
              </w:rPr>
            </w:pPr>
          </w:p>
        </w:tc>
        <w:tc>
          <w:tcPr>
            <w:tcW w:w="2320" w:type="dxa"/>
            <w:vAlign w:val="bottom"/>
            <w:tcBorders>
              <w:bottom w:val="single" w:sz="8" w:color="CCEEFF"/>
            </w:tcBorders>
          </w:tcPr>
          <w:p>
            <w:pPr>
              <w:spacing w:after="0"/>
              <w:rPr>
                <w:sz w:val="17"/>
                <w:szCs w:val="17"/>
                <w:color w:val="auto"/>
              </w:rPr>
            </w:pPr>
          </w:p>
        </w:tc>
        <w:tc>
          <w:tcPr>
            <w:tcW w:w="16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3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assets (including Cash and cash equivalents of $526 and $401, respectively)</w:t>
            </w:r>
          </w:p>
        </w:tc>
        <w:tc>
          <w:tcPr>
            <w:tcW w:w="18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Linefill</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right-of-use assets, net</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inventory</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27,456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PARTNERS’ CAPITAL</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32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notes, net</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debt, net</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 and deferred credits</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0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232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Partners’ capital excluding noncontrolling interests</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partners’ capital</w:t>
            </w:r>
          </w:p>
        </w:tc>
        <w:tc>
          <w:tcPr>
            <w:tcW w:w="23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232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DEBT CAPITALIZATION RATIOS</w:t>
            </w:r>
          </w:p>
        </w:tc>
        <w:tc>
          <w:tcPr>
            <w:tcW w:w="2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740" w:type="dxa"/>
            <w:vAlign w:val="bottom"/>
            <w:gridSpan w:val="3"/>
            <w:vMerge w:val="continue"/>
          </w:tcPr>
          <w:p>
            <w:pPr>
              <w:spacing w:after="0"/>
              <w:rPr>
                <w:sz w:val="24"/>
                <w:szCs w:val="24"/>
                <w:color w:val="auto"/>
              </w:rPr>
            </w:pPr>
          </w:p>
        </w:tc>
        <w:tc>
          <w:tcPr>
            <w:tcW w:w="2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9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4"/>
                <w:szCs w:val="14"/>
                <w:color w:val="auto"/>
              </w:rPr>
            </w:pPr>
          </w:p>
        </w:tc>
        <w:tc>
          <w:tcPr>
            <w:tcW w:w="106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920" w:type="dxa"/>
            <w:vAlign w:val="bottom"/>
            <w:tcBorders>
              <w:bottom w:val="single" w:sz="8" w:color="CCEEFF"/>
            </w:tcBorders>
          </w:tcPr>
          <w:p>
            <w:pPr>
              <w:spacing w:after="0"/>
              <w:rPr>
                <w:sz w:val="16"/>
                <w:szCs w:val="16"/>
                <w:color w:val="auto"/>
              </w:rPr>
            </w:pPr>
          </w:p>
        </w:tc>
        <w:tc>
          <w:tcPr>
            <w:tcW w:w="2320" w:type="dxa"/>
            <w:vAlign w:val="bottom"/>
            <w:tcBorders>
              <w:bottom w:val="single" w:sz="8" w:color="CCEEFF"/>
            </w:tcBorders>
          </w:tcPr>
          <w:p>
            <w:pPr>
              <w:spacing w:after="0"/>
              <w:rPr>
                <w:sz w:val="16"/>
                <w:szCs w:val="16"/>
                <w:color w:val="auto"/>
              </w:rPr>
            </w:pPr>
          </w:p>
        </w:tc>
        <w:tc>
          <w:tcPr>
            <w:tcW w:w="16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debt</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3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7,287</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7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2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gridSpan w:val="2"/>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32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Partners’ capital excluding noncontrolling interests</w:t>
            </w:r>
          </w:p>
        </w:tc>
        <w:tc>
          <w:tcPr>
            <w:tcW w:w="23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10,057</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04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book capitalization excluding noncontrolling interests (“Total book capitalization”)</w:t>
            </w:r>
          </w:p>
        </w:tc>
        <w:tc>
          <w:tcPr>
            <w:tcW w:w="1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gridSpan w:val="2"/>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720" w:type="dxa"/>
            <w:vAlign w:val="bottom"/>
            <w:gridSpan w:val="2"/>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book capitalization, including short-term debt</w:t>
            </w:r>
          </w:p>
        </w:tc>
        <w:tc>
          <w:tcPr>
            <w:tcW w:w="2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18,239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18,503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debt-to-total book capitalization</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debt-to-total book capitalization, including short-term debt</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783"/>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 more -</w:t>
            </w: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20" w:type="dxa"/>
            <w:vAlign w:val="bottom"/>
            <w:tcBorders>
              <w:bottom w:val="single" w:sz="8" w:color="auto"/>
            </w:tcBorders>
            <w:gridSpan w:val="2"/>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2860" w:type="dxa"/>
            <w:vAlign w:val="bottom"/>
            <w:tcBorders>
              <w:bottom w:val="single" w:sz="8" w:color="auto"/>
            </w:tcBorders>
            <w:gridSpan w:val="3"/>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720" w:type="dxa"/>
            <w:vAlign w:val="bottom"/>
            <w:gridSpan w:val="2"/>
          </w:tcPr>
          <w:p>
            <w:pPr>
              <w:ind w:left="1640"/>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tc>
        <w:tc>
          <w:tcPr>
            <w:tcW w:w="232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Houston, Texas 77002</w:t>
            </w:r>
          </w:p>
        </w:tc>
        <w:tc>
          <w:tcPr>
            <w:tcW w:w="2860" w:type="dxa"/>
            <w:vAlign w:val="bottom"/>
            <w:gridSpan w:val="3"/>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713-646-4100 / 866-809-1291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364"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auto"/>
        </w:rPr>
        <w:t>Page 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COMPUTATION OF BASIC AND DILUTED NET INCOME PER COMMON UNIT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22"/>
          <w:szCs w:val="22"/>
          <w:b w:val="1"/>
          <w:bCs w:val="1"/>
          <w:color w:val="auto"/>
          <w:vertAlign w:val="superscript"/>
        </w:rPr>
        <w:t>(1)</w:t>
      </w: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ectPr>
          <w:pgSz w:w="11900" w:h="16838" w:orient="portrait"/>
          <w:cols w:equalWidth="0" w:num="1">
            <w:col w:w="11220"/>
          </w:cols>
          <w:pgMar w:left="320" w:top="364" w:right="35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Basic and Diluted Net Income per Common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-125095</wp:posOffset>
            </wp:positionV>
            <wp:extent cx="7115175"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Net income attributable to PAA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Distributions to Series A preferred unitholders</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Distributions to Series B preferred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Amounts allocated to participating securities</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Net income allocated to common unitholders</w:t>
      </w:r>
    </w:p>
    <w:p>
      <w:pPr>
        <w:spacing w:after="0" w:line="2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 xml:space="preserve">Basic and diluted weighted average common units outstanding </w:t>
      </w:r>
      <w:r>
        <w:rPr>
          <w:rFonts w:ascii="Times New Roman" w:cs="Times New Roman" w:eastAsia="Times New Roman" w:hAnsi="Times New Roman"/>
          <w:sz w:val="22"/>
          <w:szCs w:val="22"/>
          <w:color w:val="auto"/>
          <w:vertAlign w:val="superscript"/>
        </w:rPr>
        <w:t>(2)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-154940</wp:posOffset>
            </wp:positionV>
            <wp:extent cx="7115175"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153035</wp:posOffset>
            </wp:positionV>
            <wp:extent cx="7115175"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Basic and diluted net income per common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24599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22225</wp:posOffset>
            </wp:positionV>
            <wp:extent cx="15944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17" w:lineRule="exact"/>
        <w:rPr>
          <w:sz w:val="20"/>
          <w:szCs w:val="20"/>
          <w:color w:val="auto"/>
        </w:rPr>
      </w:pPr>
    </w:p>
    <w:p>
      <w:pPr>
        <w:ind w:left="460"/>
        <w:spacing w:after="0"/>
        <w:tabs>
          <w:tab w:leader="none" w:pos="174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29"/>
        </w:trPr>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4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453"/>
        </w:trPr>
        <w:tc>
          <w:tcPr>
            <w:tcW w:w="4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486"/>
        </w:trPr>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Pr>
          <w:p>
            <w:pPr>
              <w:spacing w:after="0"/>
              <w:rPr>
                <w:sz w:val="24"/>
                <w:szCs w:val="24"/>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r>
      <w:tr>
        <w:trPr>
          <w:trHeight w:val="21"/>
        </w:trPr>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000" w:space="720"/>
            <w:col w:w="2500"/>
          </w:cols>
          <w:pgMar w:left="320" w:top="364" w:right="359" w:bottom="1440" w:gutter="0" w:footer="0" w:header="0"/>
          <w:type w:val="continuous"/>
        </w:sectPr>
      </w:pPr>
    </w:p>
    <w:p>
      <w:pPr>
        <w:spacing w:after="0" w:line="79" w:lineRule="exact"/>
        <w:rPr>
          <w:sz w:val="20"/>
          <w:szCs w:val="20"/>
          <w:color w:val="auto"/>
        </w:rPr>
      </w:pPr>
    </w:p>
    <w:p>
      <w:pPr>
        <w:ind w:left="340" w:right="180" w:hanging="332"/>
        <w:spacing w:after="0" w:line="239" w:lineRule="auto"/>
        <w:tabs>
          <w:tab w:leader="none" w:pos="32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calculate net income allocated to common unitholders based on the distributions pertaining to the current period’s net income.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36" w:lineRule="exact"/>
        <w:rPr>
          <w:rFonts w:ascii="Times New Roman" w:cs="Times New Roman" w:eastAsia="Times New Roman" w:hAnsi="Times New Roman"/>
          <w:sz w:val="23"/>
          <w:szCs w:val="23"/>
          <w:color w:val="auto"/>
          <w:vertAlign w:val="superscript"/>
        </w:rPr>
      </w:pPr>
    </w:p>
    <w:p>
      <w:pPr>
        <w:ind w:left="340" w:right="40" w:hanging="332"/>
        <w:spacing w:after="0" w:line="229" w:lineRule="auto"/>
        <w:tabs>
          <w:tab w:leader="none" w:pos="32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possible conversion of our Series A preferred units was excluded from the calculation of diluted net income per common unit for the three months ended March 31, 2023 and 2022 as the effect was antidilutive.</w:t>
      </w:r>
    </w:p>
    <w:p>
      <w:pPr>
        <w:spacing w:after="0" w:line="36" w:lineRule="exact"/>
        <w:rPr>
          <w:rFonts w:ascii="Times New Roman" w:cs="Times New Roman" w:eastAsia="Times New Roman" w:hAnsi="Times New Roman"/>
          <w:sz w:val="23"/>
          <w:szCs w:val="23"/>
          <w:color w:val="auto"/>
          <w:vertAlign w:val="superscript"/>
        </w:rPr>
      </w:pPr>
    </w:p>
    <w:p>
      <w:pPr>
        <w:ind w:left="340" w:right="200" w:hanging="332"/>
        <w:spacing w:after="0" w:line="241" w:lineRule="auto"/>
        <w:tabs>
          <w:tab w:leader="none" w:pos="32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 For the three months ended March 31, 2023 and 2022, the effect of equity-indexed compensation plan awards did not change net income per common unit.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64" w:right="35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auto"/>
        </w:rPr>
        <w:t>Page 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CASH FLOW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7" w:lineRule="exact"/>
        <w:rPr>
          <w:sz w:val="20"/>
          <w:szCs w:val="20"/>
          <w:color w:val="auto"/>
        </w:rPr>
      </w:pPr>
    </w:p>
    <w:p>
      <w:pPr>
        <w:jc w:val="center"/>
        <w:ind w:left="86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6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0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2"/>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780" w:type="dxa"/>
            <w:vAlign w:val="bottom"/>
          </w:tcPr>
          <w:p>
            <w:pPr>
              <w:jc w:val="right"/>
              <w:ind w:right="60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r>
      <w:tr>
        <w:trPr>
          <w:trHeight w:val="219"/>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Reconciliation of net income to net cash provided by operating activities: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8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r>
      <w:tr>
        <w:trPr>
          <w:trHeight w:val="219"/>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(Gains)/losses on asset sales and asset impairments, net</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3"/>
        </w:trPr>
        <w:tc>
          <w:tcPr>
            <w:tcW w:w="8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earnings in unconsolidated entities</w:t>
            </w: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19"/>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Distributions on earnings from unconsolidated entities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13"/>
        </w:trPr>
        <w:tc>
          <w:tcPr>
            <w:tcW w:w="8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9"/>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Changes in assets and liabilities, net of acquisitions</w:t>
            </w:r>
          </w:p>
        </w:tc>
        <w:tc>
          <w:tcPr>
            <w:tcW w:w="7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207"/>
        </w:trPr>
        <w:tc>
          <w:tcPr>
            <w:tcW w:w="8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7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r>
      <w:tr>
        <w:trPr>
          <w:trHeight w:val="219"/>
        </w:trPr>
        <w:tc>
          <w:tcPr>
            <w:tcW w:w="87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4"/>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8"/>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cash provided by/(used in) investing activities</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16"/>
        </w:trPr>
        <w:tc>
          <w:tcPr>
            <w:tcW w:w="8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8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w:t>
            </w:r>
          </w:p>
        </w:tc>
      </w:tr>
      <w:tr>
        <w:trPr>
          <w:trHeight w:val="219"/>
        </w:trPr>
        <w:tc>
          <w:tcPr>
            <w:tcW w:w="87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8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Effect of translation adjustment</w:t>
            </w:r>
          </w:p>
        </w:tc>
        <w:tc>
          <w:tcPr>
            <w:tcW w:w="78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9"/>
        </w:trPr>
        <w:tc>
          <w:tcPr>
            <w:tcW w:w="87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increase/(decrease) in cash and cash equivalents and restricted cash</w:t>
            </w: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w:t>
            </w:r>
          </w:p>
        </w:tc>
      </w:tr>
      <w:tr>
        <w:trPr>
          <w:trHeight w:val="219"/>
        </w:trPr>
        <w:tc>
          <w:tcPr>
            <w:tcW w:w="87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beginning of period</w:t>
            </w:r>
          </w:p>
        </w:tc>
        <w:tc>
          <w:tcPr>
            <w:tcW w:w="7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w:t>
            </w:r>
          </w:p>
        </w:tc>
      </w:tr>
      <w:tr>
        <w:trPr>
          <w:trHeight w:val="237"/>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end of period</w:t>
            </w:r>
          </w:p>
        </w:tc>
        <w:tc>
          <w:tcPr>
            <w:tcW w:w="780" w:type="dxa"/>
            <w:vAlign w:val="bottom"/>
            <w:tcBorders>
              <w:bottom w:val="single" w:sz="8" w:color="auto"/>
            </w:tcBorders>
            <w:shd w:val="clear" w:color="auto" w:fill="CCEEFF"/>
          </w:tcPr>
          <w:p>
            <w:pPr>
              <w:jc w:val="right"/>
              <w:ind w:right="60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CAPITAL EXPENDITURES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6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2360" w:type="dxa"/>
            <w:vAlign w:val="bottom"/>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5"/>
        </w:trPr>
        <w:tc>
          <w:tcPr>
            <w:tcW w:w="38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60" w:type="dxa"/>
            <w:vAlign w:val="bottom"/>
          </w:tcPr>
          <w:p>
            <w:pPr>
              <w:spacing w:after="0"/>
              <w:rPr>
                <w:sz w:val="16"/>
                <w:szCs w:val="16"/>
                <w:color w:val="auto"/>
              </w:rPr>
            </w:pPr>
          </w:p>
        </w:tc>
        <w:tc>
          <w:tcPr>
            <w:tcW w:w="2360" w:type="dxa"/>
            <w:vAlign w:val="bottom"/>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March 31, 2022</w:t>
            </w:r>
          </w:p>
        </w:tc>
      </w:tr>
      <w:tr>
        <w:trPr>
          <w:trHeight w:val="195"/>
        </w:trPr>
        <w:tc>
          <w:tcPr>
            <w:tcW w:w="38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Net to PAA </w:t>
            </w:r>
            <w:r>
              <w:rPr>
                <w:rFonts w:ascii="Times New Roman" w:cs="Times New Roman" w:eastAsia="Times New Roman" w:hAnsi="Times New Roman"/>
                <w:sz w:val="9"/>
                <w:szCs w:val="9"/>
                <w:b w:val="1"/>
                <w:bCs w:val="1"/>
                <w:color w:val="auto"/>
              </w:rPr>
              <w:t>(1)</w:t>
            </w: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Net to PAA </w:t>
            </w:r>
            <w:r>
              <w:rPr>
                <w:rFonts w:ascii="Times New Roman" w:cs="Times New Roman" w:eastAsia="Times New Roman" w:hAnsi="Times New Roman"/>
                <w:sz w:val="9"/>
                <w:szCs w:val="9"/>
                <w:b w:val="1"/>
                <w:bCs w:val="1"/>
                <w:color w:val="auto"/>
              </w:rPr>
              <w:t>(1)</w:t>
            </w: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16"/>
        </w:trPr>
        <w:tc>
          <w:tcPr>
            <w:tcW w:w="61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capital expenditures:</w:t>
            </w: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30"/>
        </w:trPr>
        <w:tc>
          <w:tcPr>
            <w:tcW w:w="6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Crude Oil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0"/>
        </w:trPr>
        <w:tc>
          <w:tcPr>
            <w:tcW w:w="6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NGL</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Investment capital expenditures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0"/>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38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0"/>
        </w:trPr>
        <w:tc>
          <w:tcPr>
            <w:tcW w:w="38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2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r>
    </w:tbl>
    <w:p>
      <w:pPr>
        <w:spacing w:after="0" w:line="9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23"/>
          <w:szCs w:val="23"/>
          <w:color w:val="auto"/>
          <w:vertAlign w:val="superscript"/>
        </w:rPr>
        <w:t>(1)</w:t>
      </w:r>
      <w:r>
        <w:rPr>
          <w:sz w:val="20"/>
          <w:szCs w:val="20"/>
          <w:color w:val="auto"/>
        </w:rPr>
        <w:tab/>
      </w:r>
      <w:r>
        <w:rPr>
          <w:rFonts w:ascii="Times New Roman" w:cs="Times New Roman" w:eastAsia="Times New Roman" w:hAnsi="Times New Roman"/>
          <w:sz w:val="18"/>
          <w:szCs w:val="18"/>
          <w:color w:val="auto"/>
        </w:rPr>
        <w:t>Excludes expenditures attributable to noncontrolling interests.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auto"/>
        </w:rPr>
        <w:t>Page 9</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RECONCILIATIONS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and ratio data)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Computation of Basic and Diluted Adjusted Net Income Per Common Unit </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 xml:space="preserve"> :</w:t>
      </w:r>
    </w:p>
    <w:p>
      <w:pPr>
        <w:spacing w:after="0" w:line="226" w:lineRule="exact"/>
        <w:rPr>
          <w:sz w:val="20"/>
          <w:szCs w:val="20"/>
          <w:color w:val="auto"/>
        </w:rPr>
      </w:pPr>
    </w:p>
    <w:p>
      <w:pPr>
        <w:jc w:val="center"/>
        <w:ind w:left="87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7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80" w:type="dxa"/>
            <w:vAlign w:val="bottom"/>
            <w:tcBorders>
              <w:bottom w:val="single" w:sz="8" w:color="CCEEFF"/>
            </w:tcBorders>
          </w:tcPr>
          <w:p>
            <w:pPr>
              <w:spacing w:after="0"/>
              <w:rPr>
                <w:sz w:val="18"/>
                <w:szCs w:val="18"/>
                <w:color w:val="auto"/>
              </w:rPr>
            </w:pPr>
          </w:p>
        </w:tc>
        <w:tc>
          <w:tcPr>
            <w:tcW w:w="490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Adjusted Net Income per Common Unit</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760" w:type="dxa"/>
            <w:vAlign w:val="bottom"/>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29"/>
        </w:trPr>
        <w:tc>
          <w:tcPr>
            <w:tcW w:w="878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Selected items impacting comparability - Adjusted net income attributable to PAA </w:t>
            </w:r>
            <w:r>
              <w:rPr>
                <w:rFonts w:ascii="Times New Roman" w:cs="Times New Roman" w:eastAsia="Times New Roman" w:hAnsi="Times New Roman"/>
                <w:sz w:val="23"/>
                <w:szCs w:val="23"/>
                <w:color w:val="auto"/>
                <w:vertAlign w:val="superscript"/>
              </w:rPr>
              <w:t>(2)</w:t>
            </w: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3"/>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net income attributable to PAA</w:t>
            </w:r>
          </w:p>
        </w:tc>
        <w:tc>
          <w:tcPr>
            <w:tcW w:w="760" w:type="dxa"/>
            <w:vAlign w:val="bottom"/>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29"/>
        </w:trPr>
        <w:tc>
          <w:tcPr>
            <w:tcW w:w="8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 to Series A preferred unitholders</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8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Distributions to Series B preferred unitholders</w:t>
            </w: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8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allocated to participating securities</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87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 allocated to common unitholders</w:t>
            </w:r>
          </w:p>
        </w:tc>
        <w:tc>
          <w:tcPr>
            <w:tcW w:w="760" w:type="dxa"/>
            <w:vAlign w:val="bottom"/>
            <w:tcBorders>
              <w:bottom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8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87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Basic and diluted weighted average common units outstanding </w:t>
            </w:r>
            <w:r>
              <w:rPr>
                <w:rFonts w:ascii="Times New Roman" w:cs="Times New Roman" w:eastAsia="Times New Roman" w:hAnsi="Times New Roman"/>
                <w:sz w:val="23"/>
                <w:szCs w:val="23"/>
                <w:color w:val="auto"/>
                <w:vertAlign w:val="superscript"/>
              </w:rPr>
              <w:t>(3) (4)</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70"/>
        </w:trPr>
        <w:tc>
          <w:tcPr>
            <w:tcW w:w="388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54"/>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adjusted net income per common unit</w:t>
            </w:r>
          </w:p>
        </w:tc>
        <w:tc>
          <w:tcPr>
            <w:tcW w:w="760" w:type="dxa"/>
            <w:vAlign w:val="bottom"/>
            <w:tcBorders>
              <w:bottom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3880" w:type="dxa"/>
            <w:vAlign w:val="bottom"/>
            <w:tcBorders>
              <w:bottom w:val="single" w:sz="8" w:color="auto"/>
            </w:tcBorders>
          </w:tcPr>
          <w:p>
            <w:pPr>
              <w:spacing w:after="0"/>
              <w:rPr>
                <w:sz w:val="9"/>
                <w:szCs w:val="9"/>
                <w:color w:val="auto"/>
              </w:rPr>
            </w:pPr>
          </w:p>
        </w:tc>
        <w:tc>
          <w:tcPr>
            <w:tcW w:w="49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r>
    </w:tbl>
    <w:p>
      <w:pPr>
        <w:spacing w:after="0" w:line="135" w:lineRule="exact"/>
        <w:rPr>
          <w:sz w:val="20"/>
          <w:szCs w:val="20"/>
          <w:color w:val="auto"/>
        </w:rPr>
      </w:pPr>
    </w:p>
    <w:p>
      <w:pPr>
        <w:ind w:left="340" w:right="420" w:hanging="332"/>
        <w:spacing w:after="0" w:line="239" w:lineRule="auto"/>
        <w:tabs>
          <w:tab w:leader="none" w:pos="328"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We calculate adjusted net income allocated to common unitholders based on the distributions pertaining to the current period’s net income.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spacing w:after="0" w:line="15"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the “Selected Items Impacting Comparability” table for additional information.</w:t>
      </w:r>
    </w:p>
    <w:p>
      <w:pPr>
        <w:spacing w:after="0" w:line="50" w:lineRule="exact"/>
        <w:rPr>
          <w:rFonts w:ascii="Times New Roman" w:cs="Times New Roman" w:eastAsia="Times New Roman" w:hAnsi="Times New Roman"/>
          <w:sz w:val="21"/>
          <w:szCs w:val="21"/>
          <w:color w:val="auto"/>
          <w:vertAlign w:val="superscript"/>
        </w:rPr>
      </w:pPr>
    </w:p>
    <w:p>
      <w:pPr>
        <w:ind w:left="340" w:right="140" w:hanging="332"/>
        <w:spacing w:after="0" w:line="215" w:lineRule="auto"/>
        <w:tabs>
          <w:tab w:leader="none" w:pos="328"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possible conversion of our Series A preferred units was excluded from the calculation of diluted adjusted net income per common unit for the three months ended March 31, 2023 and 2022 as the effect was antidilutive.</w:t>
      </w:r>
    </w:p>
    <w:p>
      <w:pPr>
        <w:spacing w:after="0" w:line="46" w:lineRule="exact"/>
        <w:rPr>
          <w:rFonts w:ascii="Times New Roman" w:cs="Times New Roman" w:eastAsia="Times New Roman" w:hAnsi="Times New Roman"/>
          <w:sz w:val="21"/>
          <w:szCs w:val="21"/>
          <w:color w:val="auto"/>
          <w:vertAlign w:val="superscript"/>
        </w:rPr>
      </w:pPr>
    </w:p>
    <w:p>
      <w:pPr>
        <w:ind w:left="340" w:right="100" w:hanging="332"/>
        <w:spacing w:after="0"/>
        <w:tabs>
          <w:tab w:leader="none" w:pos="328"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 For the three months ended March 31, 2023 and 2022, the effect of equity-indexed compensation plan awards did not change adjusted net income per common unit.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Per Common Unit to Adjusted Net Income Per Common Unit Reconciliation:</w:t>
      </w:r>
    </w:p>
    <w:p>
      <w:pPr>
        <w:spacing w:after="0" w:line="282" w:lineRule="exact"/>
        <w:rPr>
          <w:sz w:val="20"/>
          <w:szCs w:val="20"/>
          <w:color w:val="auto"/>
        </w:rPr>
      </w:pPr>
    </w:p>
    <w:p>
      <w:pPr>
        <w:jc w:val="center"/>
        <w:ind w:left="87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7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80" w:type="dxa"/>
            <w:vAlign w:val="bottom"/>
            <w:tcBorders>
              <w:bottom w:val="single" w:sz="8" w:color="CCEEFF"/>
            </w:tcBorders>
          </w:tcPr>
          <w:p>
            <w:pPr>
              <w:spacing w:after="0"/>
              <w:rPr>
                <w:sz w:val="18"/>
                <w:szCs w:val="18"/>
                <w:color w:val="auto"/>
              </w:rPr>
            </w:pPr>
          </w:p>
        </w:tc>
        <w:tc>
          <w:tcPr>
            <w:tcW w:w="49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per common unit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5"/>
              </w:rPr>
              <w:t>0.52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r>
      <w:tr>
        <w:trPr>
          <w:trHeight w:val="230"/>
        </w:trPr>
        <w:tc>
          <w:tcPr>
            <w:tcW w:w="878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Selected items impacting comparability per common unit </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35"/>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48"/>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adjusted net income per common unit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5"/>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3880" w:type="dxa"/>
            <w:vAlign w:val="bottom"/>
            <w:tcBorders>
              <w:bottom w:val="single" w:sz="8" w:color="auto"/>
            </w:tcBorders>
          </w:tcPr>
          <w:p>
            <w:pPr>
              <w:spacing w:after="0"/>
              <w:rPr>
                <w:sz w:val="9"/>
                <w:szCs w:val="9"/>
                <w:color w:val="auto"/>
              </w:rPr>
            </w:pPr>
          </w:p>
        </w:tc>
        <w:tc>
          <w:tcPr>
            <w:tcW w:w="4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r>
    </w:tbl>
    <w:p>
      <w:pPr>
        <w:spacing w:after="0" w:line="135" w:lineRule="exact"/>
        <w:rPr>
          <w:sz w:val="20"/>
          <w:szCs w:val="20"/>
          <w:color w:val="auto"/>
        </w:rPr>
      </w:pPr>
    </w:p>
    <w:p>
      <w:pPr>
        <w:ind w:left="340" w:right="720" w:hanging="332"/>
        <w:spacing w:after="0" w:line="225" w:lineRule="auto"/>
        <w:tabs>
          <w:tab w:leader="none" w:pos="328"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the “Selected Items Impacting Comparability” and the “Computation of Basic and Diluted Adjusted Net Income Per Common Unit” tables for additional information.</w:t>
      </w:r>
    </w:p>
    <w:p>
      <w:pPr>
        <w:spacing w:after="0" w:line="163" w:lineRule="exact"/>
        <w:rPr>
          <w:rFonts w:ascii="Times New Roman" w:cs="Times New Roman" w:eastAsia="Times New Roman" w:hAnsi="Times New Roman"/>
          <w:sz w:val="21"/>
          <w:szCs w:val="21"/>
          <w:color w:val="auto"/>
          <w:vertAlign w:val="superscript"/>
        </w:rPr>
      </w:pPr>
    </w:p>
    <w:p>
      <w:pPr>
        <w:ind w:left="5440" w:hanging="106"/>
        <w:spacing w:after="0"/>
        <w:tabs>
          <w:tab w:leader="none" w:pos="54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auto"/>
        </w:rPr>
        <w:t>Page 10</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to Adjusted EBITDA attributable to PAA and Implied DCF Reconciliation:</w:t>
      </w:r>
    </w:p>
    <w:p>
      <w:pPr>
        <w:spacing w:after="0" w:line="282" w:lineRule="exact"/>
        <w:rPr>
          <w:sz w:val="20"/>
          <w:szCs w:val="20"/>
          <w:color w:val="auto"/>
        </w:rPr>
      </w:pPr>
    </w:p>
    <w:p>
      <w:pPr>
        <w:jc w:val="center"/>
        <w:ind w:left="87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7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3840" w:type="dxa"/>
            <w:vAlign w:val="bottom"/>
            <w:tcBorders>
              <w:bottom w:val="single" w:sz="8" w:color="CCEEFF"/>
            </w:tcBorders>
          </w:tcPr>
          <w:p>
            <w:pPr>
              <w:spacing w:after="0"/>
              <w:rPr>
                <w:sz w:val="18"/>
                <w:szCs w:val="18"/>
                <w:color w:val="auto"/>
              </w:rPr>
            </w:pPr>
          </w:p>
        </w:tc>
        <w:tc>
          <w:tcPr>
            <w:tcW w:w="48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40" w:type="dxa"/>
            <w:vAlign w:val="bottom"/>
          </w:tcPr>
          <w:p>
            <w:pPr>
              <w:spacing w:after="0"/>
              <w:rPr>
                <w:sz w:val="19"/>
                <w:szCs w:val="19"/>
                <w:color w:val="auto"/>
              </w:rPr>
            </w:pPr>
          </w:p>
        </w:tc>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30"/>
        </w:trPr>
        <w:tc>
          <w:tcPr>
            <w:tcW w:w="40" w:type="dxa"/>
            <w:vAlign w:val="bottom"/>
          </w:tcPr>
          <w:p>
            <w:pPr>
              <w:spacing w:after="0"/>
              <w:rPr>
                <w:sz w:val="19"/>
                <w:szCs w:val="19"/>
                <w:color w:val="auto"/>
              </w:rPr>
            </w:pPr>
          </w:p>
        </w:tc>
        <w:tc>
          <w:tcPr>
            <w:tcW w:w="87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Interest expense, net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9"/>
        </w:trPr>
        <w:tc>
          <w:tcPr>
            <w:tcW w:w="40" w:type="dxa"/>
            <w:vAlign w:val="bottom"/>
          </w:tcPr>
          <w:p>
            <w:pPr>
              <w:spacing w:after="0"/>
              <w:rPr>
                <w:sz w:val="19"/>
                <w:szCs w:val="19"/>
                <w:color w:val="auto"/>
              </w:rPr>
            </w:pPr>
          </w:p>
        </w:tc>
        <w:tc>
          <w:tcPr>
            <w:tcW w:w="8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tax expense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40" w:type="dxa"/>
            <w:vAlign w:val="bottom"/>
          </w:tcPr>
          <w:p>
            <w:pPr>
              <w:spacing w:after="0"/>
              <w:rPr>
                <w:sz w:val="19"/>
                <w:szCs w:val="19"/>
                <w:color w:val="auto"/>
              </w:rPr>
            </w:pPr>
          </w:p>
        </w:tc>
        <w:tc>
          <w:tcPr>
            <w:tcW w:w="87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30"/>
        </w:trPr>
        <w:tc>
          <w:tcPr>
            <w:tcW w:w="40" w:type="dxa"/>
            <w:vAlign w:val="bottom"/>
          </w:tcPr>
          <w:p>
            <w:pPr>
              <w:spacing w:after="0"/>
              <w:rPr>
                <w:sz w:val="19"/>
                <w:szCs w:val="19"/>
                <w:color w:val="auto"/>
              </w:rPr>
            </w:pPr>
          </w:p>
        </w:tc>
        <w:tc>
          <w:tcPr>
            <w:tcW w:w="8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(Gains)/losses on asset sales and asset impairments, net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40" w:type="dxa"/>
            <w:vAlign w:val="bottom"/>
          </w:tcPr>
          <w:p>
            <w:pPr>
              <w:spacing w:after="0"/>
              <w:rPr>
                <w:sz w:val="19"/>
                <w:szCs w:val="19"/>
                <w:color w:val="auto"/>
              </w:rPr>
            </w:pPr>
          </w:p>
        </w:tc>
        <w:tc>
          <w:tcPr>
            <w:tcW w:w="8720" w:type="dxa"/>
            <w:vAlign w:val="bottom"/>
            <w:gridSpan w:val="2"/>
          </w:tcPr>
          <w:p>
            <w:pPr>
              <w:ind w:left="120"/>
              <w:spacing w:after="0" w:line="229" w:lineRule="exact"/>
              <w:rPr>
                <w:sz w:val="20"/>
                <w:szCs w:val="20"/>
                <w:color w:val="auto"/>
              </w:rPr>
            </w:pPr>
            <w:r>
              <w:rPr>
                <w:rFonts w:ascii="Times New Roman" w:cs="Times New Roman" w:eastAsia="Times New Roman" w:hAnsi="Times New Roman"/>
                <w:sz w:val="17"/>
                <w:szCs w:val="17"/>
                <w:color w:val="auto"/>
              </w:rPr>
              <w:t xml:space="preserve">Depreciation and amortization of unconsolidated entities </w:t>
            </w:r>
            <w:r>
              <w:rPr>
                <w:rFonts w:ascii="Times New Roman" w:cs="Times New Roman" w:eastAsia="Times New Roman" w:hAnsi="Times New Roman"/>
                <w:sz w:val="22"/>
                <w:szCs w:val="22"/>
                <w:color w:val="auto"/>
                <w:vertAlign w:val="superscript"/>
              </w:rPr>
              <w:t>(1)</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40" w:type="dxa"/>
            <w:vAlign w:val="bottom"/>
          </w:tcPr>
          <w:p>
            <w:pPr>
              <w:spacing w:after="0"/>
              <w:rPr>
                <w:sz w:val="19"/>
                <w:szCs w:val="19"/>
                <w:color w:val="auto"/>
              </w:rPr>
            </w:pPr>
          </w:p>
        </w:tc>
        <w:tc>
          <w:tcPr>
            <w:tcW w:w="8720" w:type="dxa"/>
            <w:vAlign w:val="bottom"/>
            <w:gridSpan w:val="2"/>
            <w:shd w:val="clear" w:color="auto" w:fill="CCEEFF"/>
          </w:tcPr>
          <w:p>
            <w:pPr>
              <w:ind w:left="120"/>
              <w:spacing w:after="0" w:line="229" w:lineRule="exact"/>
              <w:rPr>
                <w:sz w:val="20"/>
                <w:szCs w:val="20"/>
                <w:color w:val="auto"/>
              </w:rPr>
            </w:pPr>
            <w:r>
              <w:rPr>
                <w:rFonts w:ascii="Times New Roman" w:cs="Times New Roman" w:eastAsia="Times New Roman" w:hAnsi="Times New Roman"/>
                <w:sz w:val="17"/>
                <w:szCs w:val="17"/>
                <w:color w:val="auto"/>
              </w:rPr>
              <w:t xml:space="preserve">Selected items impacting comparability - Adjusted EBITDA </w:t>
            </w:r>
            <w:r>
              <w:rPr>
                <w:rFonts w:ascii="Times New Roman" w:cs="Times New Roman" w:eastAsia="Times New Roman" w:hAnsi="Times New Roman"/>
                <w:sz w:val="22"/>
                <w:szCs w:val="22"/>
                <w:color w:val="auto"/>
                <w:vertAlign w:val="superscript"/>
              </w:rPr>
              <w:t>(2)</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3"/>
        </w:trPr>
        <w:tc>
          <w:tcPr>
            <w:tcW w:w="40" w:type="dxa"/>
            <w:vAlign w:val="bottom"/>
          </w:tcPr>
          <w:p>
            <w:pPr>
              <w:spacing w:after="0"/>
              <w:rPr>
                <w:sz w:val="19"/>
                <w:szCs w:val="19"/>
                <w:color w:val="auto"/>
              </w:rPr>
            </w:pPr>
          </w:p>
        </w:tc>
        <w:tc>
          <w:tcPr>
            <w:tcW w:w="8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Adjusted EBITDA</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r>
      <w:tr>
        <w:trPr>
          <w:trHeight w:val="229"/>
        </w:trPr>
        <w:tc>
          <w:tcPr>
            <w:tcW w:w="40" w:type="dxa"/>
            <w:vAlign w:val="bottom"/>
          </w:tcPr>
          <w:p>
            <w:pPr>
              <w:spacing w:after="0"/>
              <w:rPr>
                <w:sz w:val="19"/>
                <w:szCs w:val="19"/>
                <w:color w:val="auto"/>
              </w:rPr>
            </w:pPr>
          </w:p>
        </w:tc>
        <w:tc>
          <w:tcPr>
            <w:tcW w:w="8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Adjusted EBITDA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3"/>
        </w:trPr>
        <w:tc>
          <w:tcPr>
            <w:tcW w:w="40" w:type="dxa"/>
            <w:vAlign w:val="bottom"/>
          </w:tcPr>
          <w:p>
            <w:pPr>
              <w:spacing w:after="0"/>
              <w:rPr>
                <w:sz w:val="19"/>
                <w:szCs w:val="19"/>
                <w:color w:val="auto"/>
              </w:rPr>
            </w:pPr>
          </w:p>
        </w:tc>
        <w:tc>
          <w:tcPr>
            <w:tcW w:w="87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Adjusted EBITDA attributable to PAA</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0"/>
        </w:trPr>
        <w:tc>
          <w:tcPr>
            <w:tcW w:w="40" w:type="dxa"/>
            <w:vAlign w:val="bottom"/>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3840" w:type="dxa"/>
            <w:vAlign w:val="bottom"/>
            <w:shd w:val="clear" w:color="auto" w:fill="CCEEFF"/>
          </w:tcPr>
          <w:p>
            <w:pPr>
              <w:spacing w:after="0"/>
              <w:rPr>
                <w:sz w:val="15"/>
                <w:szCs w:val="15"/>
                <w:color w:val="auto"/>
              </w:rPr>
            </w:pPr>
          </w:p>
        </w:tc>
        <w:tc>
          <w:tcPr>
            <w:tcW w:w="4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29"/>
        </w:trPr>
        <w:tc>
          <w:tcPr>
            <w:tcW w:w="40" w:type="dxa"/>
            <w:vAlign w:val="bottom"/>
          </w:tcPr>
          <w:p>
            <w:pPr>
              <w:spacing w:after="0"/>
              <w:rPr>
                <w:sz w:val="19"/>
                <w:szCs w:val="19"/>
                <w:color w:val="auto"/>
              </w:rPr>
            </w:pPr>
          </w:p>
        </w:tc>
        <w:tc>
          <w:tcPr>
            <w:tcW w:w="8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Adjusted EBITDA</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r>
      <w:tr>
        <w:trPr>
          <w:trHeight w:val="229"/>
        </w:trPr>
        <w:tc>
          <w:tcPr>
            <w:tcW w:w="40" w:type="dxa"/>
            <w:vAlign w:val="bottom"/>
          </w:tcPr>
          <w:p>
            <w:pPr>
              <w:spacing w:after="0"/>
              <w:rPr>
                <w:sz w:val="19"/>
                <w:szCs w:val="19"/>
                <w:color w:val="auto"/>
              </w:rPr>
            </w:pPr>
          </w:p>
        </w:tc>
        <w:tc>
          <w:tcPr>
            <w:tcW w:w="8720" w:type="dxa"/>
            <w:vAlign w:val="bottom"/>
            <w:gridSpan w:val="2"/>
            <w:shd w:val="clear" w:color="auto" w:fill="CCEEFF"/>
          </w:tcPr>
          <w:p>
            <w:pPr>
              <w:ind w:left="120"/>
              <w:spacing w:after="0" w:line="229" w:lineRule="exact"/>
              <w:rPr>
                <w:sz w:val="20"/>
                <w:szCs w:val="20"/>
                <w:color w:val="auto"/>
              </w:rPr>
            </w:pPr>
            <w:r>
              <w:rPr>
                <w:rFonts w:ascii="Times New Roman" w:cs="Times New Roman" w:eastAsia="Times New Roman" w:hAnsi="Times New Roman"/>
                <w:sz w:val="17"/>
                <w:szCs w:val="17"/>
                <w:color w:val="auto"/>
              </w:rPr>
              <w:t xml:space="preserve">Interest expense, net of certain non-cash items </w:t>
            </w:r>
            <w:r>
              <w:rPr>
                <w:rFonts w:ascii="Times New Roman" w:cs="Times New Roman" w:eastAsia="Times New Roman" w:hAnsi="Times New Roman"/>
                <w:sz w:val="22"/>
                <w:szCs w:val="22"/>
                <w:color w:val="auto"/>
                <w:vertAlign w:val="superscript"/>
              </w:rPr>
              <w:t>(3)</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0"/>
        </w:trPr>
        <w:tc>
          <w:tcPr>
            <w:tcW w:w="40" w:type="dxa"/>
            <w:vAlign w:val="bottom"/>
          </w:tcPr>
          <w:p>
            <w:pPr>
              <w:spacing w:after="0"/>
              <w:rPr>
                <w:sz w:val="19"/>
                <w:szCs w:val="19"/>
                <w:color w:val="auto"/>
              </w:rPr>
            </w:pPr>
          </w:p>
        </w:tc>
        <w:tc>
          <w:tcPr>
            <w:tcW w:w="87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Maintenance capital</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40" w:type="dxa"/>
            <w:vAlign w:val="bottom"/>
          </w:tcPr>
          <w:p>
            <w:pPr>
              <w:spacing w:after="0"/>
              <w:rPr>
                <w:sz w:val="19"/>
                <w:szCs w:val="19"/>
                <w:color w:val="auto"/>
              </w:rPr>
            </w:pPr>
          </w:p>
        </w:tc>
        <w:tc>
          <w:tcPr>
            <w:tcW w:w="8720" w:type="dxa"/>
            <w:vAlign w:val="bottom"/>
            <w:gridSpan w:val="2"/>
            <w:shd w:val="clear" w:color="auto" w:fill="CCEEFF"/>
          </w:tcPr>
          <w:p>
            <w:pPr>
              <w:ind w:left="120"/>
              <w:spacing w:after="0" w:line="229" w:lineRule="exact"/>
              <w:rPr>
                <w:sz w:val="20"/>
                <w:szCs w:val="20"/>
                <w:color w:val="auto"/>
              </w:rPr>
            </w:pPr>
            <w:r>
              <w:rPr>
                <w:rFonts w:ascii="Times New Roman" w:cs="Times New Roman" w:eastAsia="Times New Roman" w:hAnsi="Times New Roman"/>
                <w:sz w:val="17"/>
                <w:szCs w:val="17"/>
                <w:color w:val="auto"/>
              </w:rPr>
              <w:t xml:space="preserve">Investment capital of noncontrolling interests </w:t>
            </w:r>
            <w:r>
              <w:rPr>
                <w:rFonts w:ascii="Times New Roman" w:cs="Times New Roman" w:eastAsia="Times New Roman" w:hAnsi="Times New Roman"/>
                <w:sz w:val="22"/>
                <w:szCs w:val="22"/>
                <w:color w:val="auto"/>
                <w:vertAlign w:val="superscript"/>
              </w:rPr>
              <w:t>(4)</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40" w:type="dxa"/>
            <w:vAlign w:val="bottom"/>
          </w:tcPr>
          <w:p>
            <w:pPr>
              <w:spacing w:after="0"/>
              <w:rPr>
                <w:sz w:val="19"/>
                <w:szCs w:val="19"/>
                <w:color w:val="auto"/>
              </w:rPr>
            </w:pPr>
          </w:p>
        </w:tc>
        <w:tc>
          <w:tcPr>
            <w:tcW w:w="87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Current income tax expense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40" w:type="dxa"/>
            <w:vAlign w:val="bottom"/>
          </w:tcPr>
          <w:p>
            <w:pPr>
              <w:spacing w:after="0"/>
              <w:rPr>
                <w:sz w:val="19"/>
                <w:szCs w:val="19"/>
                <w:color w:val="auto"/>
              </w:rPr>
            </w:pPr>
          </w:p>
        </w:tc>
        <w:tc>
          <w:tcPr>
            <w:tcW w:w="8720" w:type="dxa"/>
            <w:vAlign w:val="bottom"/>
            <w:gridSpan w:val="2"/>
            <w:shd w:val="clear" w:color="auto" w:fill="CCEEFF"/>
          </w:tcPr>
          <w:p>
            <w:pPr>
              <w:ind w:left="120"/>
              <w:spacing w:after="0" w:line="229" w:lineRule="exact"/>
              <w:rPr>
                <w:sz w:val="20"/>
                <w:szCs w:val="20"/>
                <w:color w:val="auto"/>
              </w:rPr>
            </w:pPr>
            <w:r>
              <w:rPr>
                <w:rFonts w:ascii="Times New Roman" w:cs="Times New Roman" w:eastAsia="Times New Roman" w:hAnsi="Times New Roman"/>
                <w:sz w:val="17"/>
                <w:szCs w:val="17"/>
                <w:color w:val="auto"/>
              </w:rPr>
              <w:t xml:space="preserve">Distributions from unconsolidated entities in excess of/(less than) adjusted equity earnings </w:t>
            </w:r>
            <w:r>
              <w:rPr>
                <w:rFonts w:ascii="Times New Roman" w:cs="Times New Roman" w:eastAsia="Times New Roman" w:hAnsi="Times New Roman"/>
                <w:sz w:val="22"/>
                <w:szCs w:val="22"/>
                <w:color w:val="auto"/>
                <w:vertAlign w:val="superscript"/>
              </w:rPr>
              <w:t>(5)</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40" w:type="dxa"/>
            <w:vAlign w:val="bottom"/>
          </w:tcPr>
          <w:p>
            <w:pPr>
              <w:spacing w:after="0"/>
              <w:rPr>
                <w:sz w:val="19"/>
                <w:szCs w:val="19"/>
                <w:color w:val="auto"/>
              </w:rPr>
            </w:pPr>
          </w:p>
        </w:tc>
        <w:tc>
          <w:tcPr>
            <w:tcW w:w="8720" w:type="dxa"/>
            <w:vAlign w:val="bottom"/>
            <w:tcBorders>
              <w:bottom w:val="single" w:sz="8" w:color="CCEEFF"/>
            </w:tcBorders>
            <w:gridSpan w:val="2"/>
          </w:tcPr>
          <w:p>
            <w:pPr>
              <w:ind w:left="120"/>
              <w:spacing w:after="0" w:line="229" w:lineRule="exact"/>
              <w:rPr>
                <w:sz w:val="20"/>
                <w:szCs w:val="20"/>
                <w:color w:val="auto"/>
              </w:rPr>
            </w:pPr>
            <w:r>
              <w:rPr>
                <w:rFonts w:ascii="Times New Roman" w:cs="Times New Roman" w:eastAsia="Times New Roman" w:hAnsi="Times New Roman"/>
                <w:sz w:val="17"/>
                <w:szCs w:val="17"/>
                <w:color w:val="auto"/>
              </w:rPr>
              <w:t xml:space="preserve">Distributions to noncontrolling interests </w:t>
            </w:r>
            <w:r>
              <w:rPr>
                <w:rFonts w:ascii="Times New Roman" w:cs="Times New Roman" w:eastAsia="Times New Roman" w:hAnsi="Times New Roman"/>
                <w:sz w:val="22"/>
                <w:szCs w:val="22"/>
                <w:color w:val="auto"/>
                <w:vertAlign w:val="superscript"/>
              </w:rPr>
              <w:t>(6)</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40" w:type="dxa"/>
            <w:vAlign w:val="bottom"/>
          </w:tcPr>
          <w:p>
            <w:pPr>
              <w:spacing w:after="0"/>
              <w:rPr>
                <w:sz w:val="19"/>
                <w:szCs w:val="19"/>
                <w:color w:val="auto"/>
              </w:rPr>
            </w:pPr>
          </w:p>
        </w:tc>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Implied DCF</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29"/>
        </w:trPr>
        <w:tc>
          <w:tcPr>
            <w:tcW w:w="40" w:type="dxa"/>
            <w:vAlign w:val="bottom"/>
          </w:tcPr>
          <w:p>
            <w:pPr>
              <w:spacing w:after="0"/>
              <w:rPr>
                <w:sz w:val="19"/>
                <w:szCs w:val="19"/>
                <w:color w:val="auto"/>
              </w:rPr>
            </w:pPr>
          </w:p>
        </w:tc>
        <w:tc>
          <w:tcPr>
            <w:tcW w:w="8720" w:type="dxa"/>
            <w:vAlign w:val="bottom"/>
            <w:tcBorders>
              <w:bottom w:val="single" w:sz="8" w:color="CCEEFF"/>
            </w:tcBorders>
            <w:gridSpan w:val="2"/>
          </w:tcPr>
          <w:p>
            <w:pPr>
              <w:ind w:left="160"/>
              <w:spacing w:after="0" w:line="229" w:lineRule="exact"/>
              <w:rPr>
                <w:sz w:val="20"/>
                <w:szCs w:val="20"/>
                <w:color w:val="auto"/>
              </w:rPr>
            </w:pPr>
            <w:r>
              <w:rPr>
                <w:rFonts w:ascii="Times New Roman" w:cs="Times New Roman" w:eastAsia="Times New Roman" w:hAnsi="Times New Roman"/>
                <w:sz w:val="17"/>
                <w:szCs w:val="17"/>
                <w:color w:val="auto"/>
              </w:rPr>
              <w:t xml:space="preserve">Preferred unit distributions paid </w:t>
            </w:r>
            <w:r>
              <w:rPr>
                <w:rFonts w:ascii="Times New Roman" w:cs="Times New Roman" w:eastAsia="Times New Roman" w:hAnsi="Times New Roman"/>
                <w:sz w:val="22"/>
                <w:szCs w:val="22"/>
                <w:color w:val="auto"/>
                <w:vertAlign w:val="superscript"/>
              </w:rPr>
              <w:t>(6)</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48"/>
        </w:trPr>
        <w:tc>
          <w:tcPr>
            <w:tcW w:w="40" w:type="dxa"/>
            <w:vAlign w:val="bottom"/>
          </w:tcPr>
          <w:p>
            <w:pPr>
              <w:spacing w:after="0"/>
              <w:rPr>
                <w:sz w:val="21"/>
                <w:szCs w:val="21"/>
                <w:color w:val="auto"/>
              </w:rPr>
            </w:pPr>
          </w:p>
        </w:tc>
        <w:tc>
          <w:tcPr>
            <w:tcW w:w="8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Implied DCF Available to Common Unitholders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0"/>
        </w:trPr>
        <w:tc>
          <w:tcPr>
            <w:tcW w:w="40" w:type="dxa"/>
            <w:vAlign w:val="bottom"/>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9"/>
        </w:trPr>
        <w:tc>
          <w:tcPr>
            <w:tcW w:w="40" w:type="dxa"/>
            <w:vAlign w:val="bottom"/>
          </w:tcPr>
          <w:p>
            <w:pPr>
              <w:spacing w:after="0"/>
              <w:rPr>
                <w:sz w:val="19"/>
                <w:szCs w:val="19"/>
                <w:color w:val="auto"/>
              </w:rPr>
            </w:pPr>
          </w:p>
        </w:tc>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Common Units Outstanding</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30"/>
        </w:trPr>
        <w:tc>
          <w:tcPr>
            <w:tcW w:w="40" w:type="dxa"/>
            <w:vAlign w:val="bottom"/>
          </w:tcPr>
          <w:p>
            <w:pPr>
              <w:spacing w:after="0"/>
              <w:rPr>
                <w:sz w:val="19"/>
                <w:szCs w:val="19"/>
                <w:color w:val="auto"/>
              </w:rPr>
            </w:pPr>
          </w:p>
        </w:tc>
        <w:tc>
          <w:tcPr>
            <w:tcW w:w="8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Weighted Average Common Units and Common Unit Equivalents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r>
      <w:tr>
        <w:trPr>
          <w:trHeight w:val="216"/>
        </w:trPr>
        <w:tc>
          <w:tcPr>
            <w:tcW w:w="4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8720" w:type="dxa"/>
            <w:vAlign w:val="bottom"/>
            <w:gridSpan w:val="2"/>
          </w:tcPr>
          <w:p>
            <w:pPr>
              <w:spacing w:after="0" w:line="229" w:lineRule="exact"/>
              <w:rPr>
                <w:sz w:val="20"/>
                <w:szCs w:val="20"/>
                <w:color w:val="auto"/>
              </w:rPr>
            </w:pPr>
            <w:r>
              <w:rPr>
                <w:rFonts w:ascii="Times New Roman" w:cs="Times New Roman" w:eastAsia="Times New Roman" w:hAnsi="Times New Roman"/>
                <w:sz w:val="17"/>
                <w:szCs w:val="17"/>
                <w:color w:val="auto"/>
              </w:rPr>
              <w:t xml:space="preserve">Implied DCF per Common Unit </w:t>
            </w:r>
            <w:r>
              <w:rPr>
                <w:rFonts w:ascii="Times New Roman" w:cs="Times New Roman" w:eastAsia="Times New Roman" w:hAnsi="Times New Roman"/>
                <w:sz w:val="22"/>
                <w:szCs w:val="22"/>
                <w:color w:val="auto"/>
                <w:vertAlign w:val="superscript"/>
              </w:rPr>
              <w:t>(7)</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r>
      <w:tr>
        <w:trPr>
          <w:trHeight w:val="230"/>
        </w:trPr>
        <w:tc>
          <w:tcPr>
            <w:tcW w:w="40" w:type="dxa"/>
            <w:vAlign w:val="bottom"/>
          </w:tcPr>
          <w:p>
            <w:pPr>
              <w:spacing w:after="0"/>
              <w:rPr>
                <w:sz w:val="19"/>
                <w:szCs w:val="19"/>
                <w:color w:val="auto"/>
              </w:rPr>
            </w:pPr>
          </w:p>
        </w:tc>
        <w:tc>
          <w:tcPr>
            <w:tcW w:w="8720" w:type="dxa"/>
            <w:vAlign w:val="bottom"/>
            <w:gridSpan w:val="2"/>
            <w:shd w:val="clear" w:color="auto" w:fill="CCEEFF"/>
          </w:tcPr>
          <w:p>
            <w:pPr>
              <w:spacing w:after="0" w:line="229" w:lineRule="exact"/>
              <w:rPr>
                <w:sz w:val="20"/>
                <w:szCs w:val="20"/>
                <w:color w:val="auto"/>
              </w:rPr>
            </w:pPr>
            <w:r>
              <w:rPr>
                <w:rFonts w:ascii="Times New Roman" w:cs="Times New Roman" w:eastAsia="Times New Roman" w:hAnsi="Times New Roman"/>
                <w:sz w:val="17"/>
                <w:szCs w:val="17"/>
                <w:color w:val="auto"/>
              </w:rPr>
              <w:t xml:space="preserve">Implied DCF per Common Unit and Common Unit Equivalent </w:t>
            </w:r>
            <w:r>
              <w:rPr>
                <w:rFonts w:ascii="Times New Roman" w:cs="Times New Roman" w:eastAsia="Times New Roman" w:hAnsi="Times New Roman"/>
                <w:sz w:val="22"/>
                <w:szCs w:val="22"/>
                <w:color w:val="auto"/>
                <w:vertAlign w:val="superscript"/>
              </w:rPr>
              <w:t>(8)</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r>
      <w:tr>
        <w:trPr>
          <w:trHeight w:val="216"/>
        </w:trPr>
        <w:tc>
          <w:tcPr>
            <w:tcW w:w="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Distribution Paid per Common Unit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0.1800</w:t>
            </w:r>
          </w:p>
        </w:tc>
      </w:tr>
      <w:tr>
        <w:trPr>
          <w:trHeight w:val="230"/>
        </w:trPr>
        <w:tc>
          <w:tcPr>
            <w:tcW w:w="40" w:type="dxa"/>
            <w:vAlign w:val="bottom"/>
          </w:tcPr>
          <w:p>
            <w:pPr>
              <w:spacing w:after="0"/>
              <w:rPr>
                <w:sz w:val="19"/>
                <w:szCs w:val="19"/>
                <w:color w:val="auto"/>
              </w:rPr>
            </w:pPr>
          </w:p>
        </w:tc>
        <w:tc>
          <w:tcPr>
            <w:tcW w:w="8720" w:type="dxa"/>
            <w:vAlign w:val="bottom"/>
            <w:gridSpan w:val="2"/>
          </w:tcPr>
          <w:p>
            <w:pPr>
              <w:spacing w:after="0" w:line="229" w:lineRule="exact"/>
              <w:rPr>
                <w:sz w:val="20"/>
                <w:szCs w:val="20"/>
                <w:color w:val="auto"/>
              </w:rPr>
            </w:pPr>
            <w:r>
              <w:rPr>
                <w:rFonts w:ascii="Times New Roman" w:cs="Times New Roman" w:eastAsia="Times New Roman" w:hAnsi="Times New Roman"/>
                <w:sz w:val="17"/>
                <w:szCs w:val="17"/>
                <w:color w:val="auto"/>
              </w:rPr>
              <w:t xml:space="preserve">Common Unit Cash Distributions </w:t>
            </w:r>
            <w:r>
              <w:rPr>
                <w:rFonts w:ascii="Times New Roman" w:cs="Times New Roman" w:eastAsia="Times New Roman" w:hAnsi="Times New Roman"/>
                <w:sz w:val="22"/>
                <w:szCs w:val="22"/>
                <w:color w:val="auto"/>
                <w:vertAlign w:val="superscript"/>
              </w:rPr>
              <w:t>(6)</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30"/>
        </w:trPr>
        <w:tc>
          <w:tcPr>
            <w:tcW w:w="40" w:type="dxa"/>
            <w:vAlign w:val="bottom"/>
          </w:tcPr>
          <w:p>
            <w:pPr>
              <w:spacing w:after="0"/>
              <w:rPr>
                <w:sz w:val="19"/>
                <w:szCs w:val="19"/>
                <w:color w:val="auto"/>
              </w:rPr>
            </w:pPr>
          </w:p>
        </w:tc>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 Unit Distribution Coverage Ratio</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2.37x</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3.16x</w:t>
            </w:r>
          </w:p>
        </w:tc>
      </w:tr>
      <w:tr>
        <w:trPr>
          <w:trHeight w:val="216"/>
        </w:trPr>
        <w:tc>
          <w:tcPr>
            <w:tcW w:w="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Implied DCF Excess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162"/>
        </w:trPr>
        <w:tc>
          <w:tcPr>
            <w:tcW w:w="4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tcPr>
          <w:p>
            <w:pPr>
              <w:spacing w:after="0"/>
              <w:rPr>
                <w:sz w:val="14"/>
                <w:szCs w:val="14"/>
                <w:color w:val="auto"/>
              </w:rPr>
            </w:pPr>
          </w:p>
        </w:tc>
        <w:tc>
          <w:tcPr>
            <w:tcW w:w="4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82"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Adjustment to exclude our proportionate share of depreciation and amortization expense (including write-downs related to cancelled projects and impairments) of unconsolidated entities.</w:t>
      </w:r>
    </w:p>
    <w:p>
      <w:pPr>
        <w:spacing w:after="0" w:line="30" w:lineRule="exact"/>
        <w:rPr>
          <w:rFonts w:ascii="Times New Roman" w:cs="Times New Roman" w:eastAsia="Times New Roman" w:hAnsi="Times New Roman"/>
          <w:sz w:val="19"/>
          <w:szCs w:val="19"/>
          <w:color w:val="auto"/>
          <w:vertAlign w:val="superscript"/>
        </w:rPr>
      </w:pPr>
    </w:p>
    <w:p>
      <w:pPr>
        <w:ind w:left="320" w:hanging="312"/>
        <w:spacing w:after="0" w:line="189" w:lineRule="auto"/>
        <w:tabs>
          <w:tab w:leader="none" w:pos="32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See the “Selected Items Impacting Comparability” table for additional information.</w:t>
      </w:r>
    </w:p>
    <w:p>
      <w:pPr>
        <w:spacing w:after="0" w:line="43" w:lineRule="exact"/>
        <w:rPr>
          <w:rFonts w:ascii="Times New Roman" w:cs="Times New Roman" w:eastAsia="Times New Roman" w:hAnsi="Times New Roman"/>
          <w:sz w:val="19"/>
          <w:szCs w:val="19"/>
          <w:color w:val="auto"/>
          <w:vertAlign w:val="superscript"/>
        </w:rPr>
      </w:pPr>
    </w:p>
    <w:p>
      <w:pPr>
        <w:ind w:left="320" w:hanging="312"/>
        <w:spacing w:after="0" w:line="189" w:lineRule="auto"/>
        <w:tabs>
          <w:tab w:leader="none" w:pos="32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Excludes certain non-cash items impacting interest expense such as amortization of debt issuance costs and terminated interest rate swaps.</w:t>
      </w:r>
    </w:p>
    <w:p>
      <w:pPr>
        <w:spacing w:after="0" w:line="30" w:lineRule="exact"/>
        <w:rPr>
          <w:rFonts w:ascii="Times New Roman" w:cs="Times New Roman" w:eastAsia="Times New Roman" w:hAnsi="Times New Roman"/>
          <w:sz w:val="19"/>
          <w:szCs w:val="19"/>
          <w:color w:val="auto"/>
          <w:vertAlign w:val="superscript"/>
        </w:rPr>
      </w:pPr>
    </w:p>
    <w:p>
      <w:pPr>
        <w:ind w:left="320" w:hanging="312"/>
        <w:spacing w:after="0" w:line="189" w:lineRule="auto"/>
        <w:tabs>
          <w:tab w:leader="none" w:pos="32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Investment capital expenditures attributable to noncontrolling interests that reduce Implied DCF available to PAA common unitholders.</w:t>
      </w:r>
    </w:p>
    <w:p>
      <w:pPr>
        <w:spacing w:after="0" w:line="30" w:lineRule="exact"/>
        <w:rPr>
          <w:rFonts w:ascii="Times New Roman" w:cs="Times New Roman" w:eastAsia="Times New Roman" w:hAnsi="Times New Roman"/>
          <w:sz w:val="19"/>
          <w:szCs w:val="19"/>
          <w:color w:val="auto"/>
          <w:vertAlign w:val="superscript"/>
        </w:rPr>
      </w:pPr>
    </w:p>
    <w:p>
      <w:pPr>
        <w:ind w:left="340" w:right="100" w:hanging="332"/>
        <w:spacing w:after="0" w:line="277" w:lineRule="auto"/>
        <w:tabs>
          <w:tab w:leader="none" w:pos="327"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Comprised of cash distributions received from unconsolidated entities less equity earnings in unconsolidated entities (adjusted for our proportionate share of depreciation and amortization, including write-downs related to cancelled projects and impairments, and selected items impacting comparability of unconsolidated entities).</w:t>
      </w:r>
    </w:p>
    <w:p>
      <w:pPr>
        <w:ind w:left="320" w:hanging="312"/>
        <w:spacing w:after="0" w:line="237" w:lineRule="auto"/>
        <w:tabs>
          <w:tab w:leader="none" w:pos="32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Cash distributions paid during the period presented.</w:t>
      </w:r>
    </w:p>
    <w:p>
      <w:pPr>
        <w:spacing w:after="0" w:line="30" w:lineRule="exact"/>
        <w:rPr>
          <w:rFonts w:ascii="Times New Roman" w:cs="Times New Roman" w:eastAsia="Times New Roman" w:hAnsi="Times New Roman"/>
          <w:sz w:val="19"/>
          <w:szCs w:val="19"/>
          <w:color w:val="auto"/>
          <w:vertAlign w:val="superscript"/>
        </w:rPr>
      </w:pPr>
    </w:p>
    <w:p>
      <w:pPr>
        <w:ind w:left="320" w:hanging="312"/>
        <w:spacing w:after="0" w:line="189" w:lineRule="auto"/>
        <w:tabs>
          <w:tab w:leader="none" w:pos="32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Implied DCF Available to Common Unitholders for the period divided by the weighted average common units outstanding for the period.</w:t>
      </w:r>
    </w:p>
    <w:p>
      <w:pPr>
        <w:spacing w:after="0" w:line="43" w:lineRule="exact"/>
        <w:rPr>
          <w:rFonts w:ascii="Times New Roman" w:cs="Times New Roman" w:eastAsia="Times New Roman" w:hAnsi="Times New Roman"/>
          <w:sz w:val="19"/>
          <w:szCs w:val="19"/>
          <w:color w:val="auto"/>
          <w:vertAlign w:val="superscript"/>
        </w:rPr>
      </w:pPr>
    </w:p>
    <w:p>
      <w:pPr>
        <w:ind w:left="340" w:right="20" w:hanging="332"/>
        <w:spacing w:after="0" w:line="226" w:lineRule="auto"/>
        <w:tabs>
          <w:tab w:leader="none" w:pos="327"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Implied DCF Available to Common Unitholders for the period, adjusted for Series A preferred unit cash distributions paid, divided by the weighted average common units and common unit equivalents outstanding for the period. Our Series A preferred units are convertible into common units, generally on a one-for-one basis and subject to customary anti-dilution adjustments, in whole or in part, subject to certain minimum conversion amounts.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64"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auto"/>
        </w:rPr>
        <w:t>Page 11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Per Common Unit to Implied DCF Per Common Unit and Common Unit Equivalent Reconciliation:</w:t>
      </w:r>
    </w:p>
    <w:p>
      <w:pPr>
        <w:spacing w:after="0" w:line="282"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4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860" w:type="dxa"/>
            <w:vAlign w:val="bottom"/>
            <w:tcBorders>
              <w:bottom w:val="single" w:sz="8" w:color="CCEEFF"/>
            </w:tcBorders>
          </w:tcPr>
          <w:p>
            <w:pPr>
              <w:spacing w:after="0"/>
              <w:rPr>
                <w:sz w:val="18"/>
                <w:szCs w:val="18"/>
                <w:color w:val="auto"/>
              </w:rPr>
            </w:pPr>
          </w:p>
        </w:tc>
        <w:tc>
          <w:tcPr>
            <w:tcW w:w="476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20" w:type="dxa"/>
            <w:vAlign w:val="bottom"/>
          </w:tcPr>
          <w:p>
            <w:pPr>
              <w:spacing w:after="0"/>
              <w:rPr>
                <w:sz w:val="19"/>
                <w:szCs w:val="19"/>
                <w:color w:val="auto"/>
              </w:rPr>
            </w:pPr>
          </w:p>
        </w:tc>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per common unit</w:t>
            </w:r>
          </w:p>
        </w:tc>
        <w:tc>
          <w:tcPr>
            <w:tcW w:w="74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r>
      <w:tr>
        <w:trPr>
          <w:trHeight w:val="230"/>
        </w:trPr>
        <w:tc>
          <w:tcPr>
            <w:tcW w:w="20" w:type="dxa"/>
            <w:vAlign w:val="bottom"/>
          </w:tcPr>
          <w:p>
            <w:pPr>
              <w:spacing w:after="0"/>
              <w:rPr>
                <w:sz w:val="19"/>
                <w:szCs w:val="19"/>
                <w:color w:val="auto"/>
              </w:rPr>
            </w:pPr>
          </w:p>
        </w:tc>
        <w:tc>
          <w:tcPr>
            <w:tcW w:w="862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Reconciling items per common unit </w:t>
            </w:r>
            <w:r>
              <w:rPr>
                <w:rFonts w:ascii="Times New Roman" w:cs="Times New Roman" w:eastAsia="Times New Roman" w:hAnsi="Times New Roman"/>
                <w:sz w:val="23"/>
                <w:szCs w:val="23"/>
                <w:color w:val="auto"/>
                <w:vertAlign w:val="superscript"/>
              </w:rPr>
              <w:t>(1) (2)</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0.38</w:t>
            </w:r>
          </w:p>
        </w:tc>
      </w:tr>
      <w:tr>
        <w:trPr>
          <w:trHeight w:val="248"/>
        </w:trPr>
        <w:tc>
          <w:tcPr>
            <w:tcW w:w="20" w:type="dxa"/>
            <w:vAlign w:val="bottom"/>
          </w:tcPr>
          <w:p>
            <w:pPr>
              <w:spacing w:after="0"/>
              <w:rPr>
                <w:sz w:val="21"/>
                <w:szCs w:val="21"/>
                <w:color w:val="auto"/>
              </w:rPr>
            </w:pPr>
          </w:p>
        </w:tc>
        <w:tc>
          <w:tcPr>
            <w:tcW w:w="8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Implied DCF per common unit</w:t>
            </w:r>
          </w:p>
        </w:tc>
        <w:tc>
          <w:tcPr>
            <w:tcW w:w="740" w:type="dxa"/>
            <w:vAlign w:val="bottom"/>
            <w:tcBorders>
              <w:bottom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per common unit</w:t>
            </w:r>
          </w:p>
        </w:tc>
        <w:tc>
          <w:tcPr>
            <w:tcW w:w="74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r>
      <w:tr>
        <w:trPr>
          <w:trHeight w:val="229"/>
        </w:trPr>
        <w:tc>
          <w:tcPr>
            <w:tcW w:w="20" w:type="dxa"/>
            <w:vAlign w:val="bottom"/>
          </w:tcPr>
          <w:p>
            <w:pPr>
              <w:spacing w:after="0"/>
              <w:rPr>
                <w:sz w:val="19"/>
                <w:szCs w:val="19"/>
                <w:color w:val="auto"/>
              </w:rPr>
            </w:pPr>
          </w:p>
        </w:tc>
        <w:tc>
          <w:tcPr>
            <w:tcW w:w="862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Reconciling items per common unit and common unit equivalent </w:t>
            </w:r>
            <w:r>
              <w:rPr>
                <w:rFonts w:ascii="Times New Roman" w:cs="Times New Roman" w:eastAsia="Times New Roman" w:hAnsi="Times New Roman"/>
                <w:sz w:val="23"/>
                <w:szCs w:val="23"/>
                <w:color w:val="auto"/>
                <w:vertAlign w:val="superscript"/>
              </w:rPr>
              <w:t>(1) (3)</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w:t>
            </w:r>
          </w:p>
        </w:tc>
      </w:tr>
      <w:tr>
        <w:trPr>
          <w:trHeight w:val="248"/>
        </w:trPr>
        <w:tc>
          <w:tcPr>
            <w:tcW w:w="20" w:type="dxa"/>
            <w:vAlign w:val="bottom"/>
          </w:tcPr>
          <w:p>
            <w:pPr>
              <w:spacing w:after="0"/>
              <w:rPr>
                <w:sz w:val="21"/>
                <w:szCs w:val="21"/>
                <w:color w:val="auto"/>
              </w:rPr>
            </w:pPr>
          </w:p>
        </w:tc>
        <w:tc>
          <w:tcPr>
            <w:tcW w:w="8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Implied DCF per common unit and common unit equivalent</w:t>
            </w:r>
          </w:p>
        </w:tc>
        <w:tc>
          <w:tcPr>
            <w:tcW w:w="740" w:type="dxa"/>
            <w:vAlign w:val="bottom"/>
            <w:tcBorders>
              <w:bottom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r>
    </w:tbl>
    <w:p>
      <w:pPr>
        <w:spacing w:after="0" w:line="130" w:lineRule="exact"/>
        <w:rPr>
          <w:sz w:val="20"/>
          <w:szCs w:val="20"/>
          <w:color w:val="auto"/>
        </w:rPr>
      </w:pPr>
    </w:p>
    <w:p>
      <w:pPr>
        <w:ind w:left="340" w:right="580" w:hanging="332"/>
        <w:spacing w:after="0" w:line="229" w:lineRule="auto"/>
        <w:tabs>
          <w:tab w:leader="none" w:pos="32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adjustments to Net Income to calculate Implied DCF Available to Common Unitholders. See the “Net Income to Adjusted EBITDA attributable to PAA and Implied DCF Reconciliation” table for additional information.</w:t>
      </w:r>
    </w:p>
    <w:p>
      <w:pPr>
        <w:spacing w:after="0" w:line="6"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weighted average common units outstanding for the period of 698 million and 705 million, respectively.</w:t>
      </w:r>
    </w:p>
    <w:p>
      <w:pPr>
        <w:spacing w:after="0" w:line="55" w:lineRule="exact"/>
        <w:rPr>
          <w:rFonts w:ascii="Times New Roman" w:cs="Times New Roman" w:eastAsia="Times New Roman" w:hAnsi="Times New Roman"/>
          <w:sz w:val="23"/>
          <w:szCs w:val="23"/>
          <w:color w:val="auto"/>
          <w:vertAlign w:val="superscript"/>
        </w:rPr>
      </w:pPr>
    </w:p>
    <w:p>
      <w:pPr>
        <w:ind w:left="340" w:right="220" w:hanging="332"/>
        <w:spacing w:after="0" w:line="219" w:lineRule="auto"/>
        <w:tabs>
          <w:tab w:leader="none" w:pos="32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weighted average common units outstanding for the period, as well as weighted average Series A preferred units outstanding of 71 million for each of the periods presented.</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Free Cash Flow and Free Cash Flow after Distributions Reconciliation </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p>
      <w:pPr>
        <w:spacing w:after="0" w:line="234" w:lineRule="exact"/>
        <w:rPr>
          <w:sz w:val="20"/>
          <w:szCs w:val="20"/>
          <w:color w:val="auto"/>
        </w:rPr>
      </w:pPr>
    </w:p>
    <w:p>
      <w:pPr>
        <w:jc w:val="center"/>
        <w:ind w:left="87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7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3860" w:type="dxa"/>
            <w:vAlign w:val="bottom"/>
            <w:tcBorders>
              <w:bottom w:val="single" w:sz="8" w:color="CCEEFF"/>
            </w:tcBorders>
          </w:tcPr>
          <w:p>
            <w:pPr>
              <w:spacing w:after="0"/>
              <w:rPr>
                <w:sz w:val="17"/>
                <w:szCs w:val="17"/>
                <w:color w:val="auto"/>
              </w:rPr>
            </w:pPr>
          </w:p>
        </w:tc>
        <w:tc>
          <w:tcPr>
            <w:tcW w:w="488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20" w:type="dxa"/>
            <w:vAlign w:val="bottom"/>
          </w:tcPr>
          <w:p>
            <w:pPr>
              <w:spacing w:after="0"/>
              <w:rPr>
                <w:sz w:val="19"/>
                <w:szCs w:val="19"/>
                <w:color w:val="auto"/>
              </w:rPr>
            </w:pPr>
          </w:p>
        </w:tc>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76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30"/>
        </w:trPr>
        <w:tc>
          <w:tcPr>
            <w:tcW w:w="20" w:type="dxa"/>
            <w:vAlign w:val="bottom"/>
          </w:tcPr>
          <w:p>
            <w:pPr>
              <w:spacing w:after="0"/>
              <w:rPr>
                <w:sz w:val="19"/>
                <w:szCs w:val="19"/>
                <w:color w:val="auto"/>
              </w:rPr>
            </w:pPr>
          </w:p>
        </w:tc>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cash provided by operating activities to Free Cash Flow:</w:t>
            </w: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cash provided by/(used in) investing activities</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20" w:type="dxa"/>
            <w:vAlign w:val="bottom"/>
          </w:tcPr>
          <w:p>
            <w:pPr>
              <w:spacing w:after="0"/>
              <w:rPr>
                <w:sz w:val="19"/>
                <w:szCs w:val="19"/>
                <w:color w:val="auto"/>
              </w:rPr>
            </w:pPr>
          </w:p>
        </w:tc>
        <w:tc>
          <w:tcPr>
            <w:tcW w:w="8740" w:type="dxa"/>
            <w:vAlign w:val="bottom"/>
            <w:tcBorders>
              <w:bottom w:val="single" w:sz="8" w:color="CCEEFF"/>
            </w:tcBorders>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Cash distributions paid to noncontrolling interests </w:t>
            </w:r>
            <w:r>
              <w:rPr>
                <w:rFonts w:ascii="Times New Roman" w:cs="Times New Roman" w:eastAsia="Times New Roman" w:hAnsi="Times New Roman"/>
                <w:sz w:val="23"/>
                <w:szCs w:val="23"/>
                <w:color w:val="auto"/>
                <w:vertAlign w:val="superscript"/>
              </w:rPr>
              <w:t>(2)</w:t>
            </w: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20" w:type="dxa"/>
            <w:vAlign w:val="bottom"/>
          </w:tcPr>
          <w:p>
            <w:pPr>
              <w:spacing w:after="0"/>
              <w:rPr>
                <w:sz w:val="19"/>
                <w:szCs w:val="19"/>
                <w:color w:val="auto"/>
              </w:rPr>
            </w:pPr>
          </w:p>
        </w:tc>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76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30"/>
        </w:trPr>
        <w:tc>
          <w:tcPr>
            <w:tcW w:w="20" w:type="dxa"/>
            <w:vAlign w:val="bottom"/>
          </w:tcPr>
          <w:p>
            <w:pPr>
              <w:spacing w:after="0"/>
              <w:rPr>
                <w:sz w:val="19"/>
                <w:szCs w:val="19"/>
                <w:color w:val="auto"/>
              </w:rPr>
            </w:pPr>
          </w:p>
        </w:tc>
        <w:tc>
          <w:tcPr>
            <w:tcW w:w="8740" w:type="dxa"/>
            <w:vAlign w:val="bottom"/>
            <w:tcBorders>
              <w:bottom w:val="single" w:sz="8" w:color="CCEEFF"/>
            </w:tcBorders>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Cash distributions </w:t>
            </w:r>
            <w:r>
              <w:rPr>
                <w:rFonts w:ascii="Times New Roman" w:cs="Times New Roman" w:eastAsia="Times New Roman" w:hAnsi="Times New Roman"/>
                <w:sz w:val="23"/>
                <w:szCs w:val="23"/>
                <w:color w:val="auto"/>
                <w:vertAlign w:val="superscript"/>
              </w:rPr>
              <w:t>(3)</w:t>
            </w: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(242)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48"/>
        </w:trPr>
        <w:tc>
          <w:tcPr>
            <w:tcW w:w="20" w:type="dxa"/>
            <w:vAlign w:val="bottom"/>
          </w:tcPr>
          <w:p>
            <w:pPr>
              <w:spacing w:after="0"/>
              <w:rPr>
                <w:sz w:val="21"/>
                <w:szCs w:val="21"/>
                <w:color w:val="auto"/>
              </w:rPr>
            </w:pPr>
          </w:p>
        </w:tc>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 after Distributions</w:t>
            </w:r>
          </w:p>
        </w:tc>
        <w:tc>
          <w:tcPr>
            <w:tcW w:w="760" w:type="dxa"/>
            <w:vAlign w:val="bottom"/>
            <w:tcBorders>
              <w:bottom w:val="single" w:sz="8" w:color="auto"/>
            </w:tcBorders>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20" w:type="dxa"/>
            <w:vAlign w:val="bottom"/>
            <w:tcBorders>
              <w:bottom w:val="single" w:sz="8" w:color="auto"/>
            </w:tcBorders>
          </w:tcPr>
          <w:p>
            <w:pPr>
              <w:spacing w:after="0"/>
              <w:rPr>
                <w:sz w:val="17"/>
                <w:szCs w:val="17"/>
                <w:color w:val="auto"/>
              </w:rPr>
            </w:pPr>
          </w:p>
        </w:tc>
        <w:tc>
          <w:tcPr>
            <w:tcW w:w="3860" w:type="dxa"/>
            <w:vAlign w:val="bottom"/>
            <w:tcBorders>
              <w:bottom w:val="single" w:sz="8" w:color="auto"/>
            </w:tcBorders>
          </w:tcPr>
          <w:p>
            <w:pPr>
              <w:spacing w:after="0"/>
              <w:rPr>
                <w:sz w:val="17"/>
                <w:szCs w:val="17"/>
                <w:color w:val="auto"/>
              </w:rPr>
            </w:pPr>
          </w:p>
        </w:tc>
        <w:tc>
          <w:tcPr>
            <w:tcW w:w="4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bl>
    <w:p>
      <w:pPr>
        <w:spacing w:after="0" w:line="117" w:lineRule="exact"/>
        <w:rPr>
          <w:sz w:val="20"/>
          <w:szCs w:val="20"/>
          <w:color w:val="auto"/>
        </w:rPr>
      </w:pPr>
    </w:p>
    <w:p>
      <w:pPr>
        <w:ind w:left="340" w:right="280" w:hanging="332"/>
        <w:spacing w:after="0" w:line="229" w:lineRule="auto"/>
        <w:tabs>
          <w:tab w:leader="none" w:pos="328"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Management uses the Non-GAAP financial liquidity measures Free Cash Flow and Free Cash Flow after Distributions to assess the amount of cash that is available for distributions, debt repayments, common equity repurchases and other general partnership purposes.</w:t>
      </w:r>
    </w:p>
    <w:p>
      <w:pPr>
        <w:spacing w:after="0" w:line="6"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Cash distributions paid during the period presented.</w:t>
      </w:r>
    </w:p>
    <w:p>
      <w:pPr>
        <w:spacing w:after="0" w:line="55"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Cash distributions paid to preferred and common unitholders during the period.</w:t>
      </w:r>
    </w:p>
    <w:p>
      <w:pPr>
        <w:spacing w:after="0" w:line="171" w:lineRule="exact"/>
        <w:rPr>
          <w:rFonts w:ascii="Times New Roman" w:cs="Times New Roman" w:eastAsia="Times New Roman" w:hAnsi="Times New Roman"/>
          <w:sz w:val="23"/>
          <w:szCs w:val="23"/>
          <w:color w:val="auto"/>
          <w:vertAlign w:val="superscript"/>
        </w:rPr>
      </w:pPr>
    </w:p>
    <w:p>
      <w:pPr>
        <w:ind w:left="5440" w:hanging="106"/>
        <w:spacing w:after="0"/>
        <w:tabs>
          <w:tab w:leader="none" w:pos="54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64"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auto"/>
        </w:rPr>
        <w:t>Page 12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ITEMS IMPACTING COMPARABILITY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7" w:lineRule="exact"/>
        <w:rPr>
          <w:sz w:val="20"/>
          <w:szCs w:val="20"/>
          <w:color w:val="auto"/>
        </w:rPr>
      </w:pPr>
    </w:p>
    <w:p>
      <w:pPr>
        <w:jc w:val="center"/>
        <w:ind w:left="87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7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860" w:type="dxa"/>
            <w:vAlign w:val="bottom"/>
            <w:tcBorders>
              <w:bottom w:val="single" w:sz="8" w:color="CCEEFF"/>
            </w:tcBorders>
          </w:tcPr>
          <w:p>
            <w:pPr>
              <w:spacing w:after="0"/>
              <w:rPr>
                <w:sz w:val="18"/>
                <w:szCs w:val="18"/>
                <w:color w:val="auto"/>
              </w:rPr>
            </w:pPr>
          </w:p>
        </w:tc>
        <w:tc>
          <w:tcPr>
            <w:tcW w:w="488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b w:val="1"/>
                <w:bCs w:val="1"/>
                <w:color w:val="auto"/>
              </w:rPr>
              <w:t xml:space="preserve">Selected Items Impacting Comparability: </w:t>
            </w:r>
            <w:r>
              <w:rPr>
                <w:rFonts w:ascii="Times New Roman" w:cs="Times New Roman" w:eastAsia="Times New Roman" w:hAnsi="Times New Roman"/>
                <w:sz w:val="22"/>
                <w:szCs w:val="22"/>
                <w:b w:val="1"/>
                <w:bCs w:val="1"/>
                <w:color w:val="auto"/>
                <w:vertAlign w:val="superscript"/>
              </w:rPr>
              <w:t>(1)</w:t>
            </w: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740" w:type="dxa"/>
            <w:vAlign w:val="bottom"/>
            <w:gridSpan w:val="2"/>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Derivative activities and inventory valuation adjustments </w:t>
            </w:r>
            <w:r>
              <w:rPr>
                <w:rFonts w:ascii="Times New Roman" w:cs="Times New Roman" w:eastAsia="Times New Roman" w:hAnsi="Times New Roman"/>
                <w:sz w:val="22"/>
                <w:szCs w:val="22"/>
                <w:color w:val="auto"/>
                <w:vertAlign w:val="superscript"/>
              </w:rPr>
              <w:t>(2)</w:t>
            </w:r>
          </w:p>
        </w:tc>
        <w:tc>
          <w:tcPr>
            <w:tcW w:w="800" w:type="dxa"/>
            <w:vAlign w:val="bottom"/>
          </w:tcPr>
          <w:p>
            <w:pPr>
              <w:jc w:val="right"/>
              <w:ind w:right="598"/>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w:t>
            </w:r>
          </w:p>
        </w:tc>
      </w:tr>
      <w:tr>
        <w:trPr>
          <w:trHeight w:val="229"/>
        </w:trPr>
        <w:tc>
          <w:tcPr>
            <w:tcW w:w="20" w:type="dxa"/>
            <w:vAlign w:val="bottom"/>
          </w:tcPr>
          <w:p>
            <w:pPr>
              <w:spacing w:after="0"/>
              <w:rPr>
                <w:sz w:val="19"/>
                <w:szCs w:val="19"/>
                <w:color w:val="auto"/>
              </w:rPr>
            </w:pPr>
          </w:p>
        </w:tc>
        <w:tc>
          <w:tcPr>
            <w:tcW w:w="874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Long-term inventory costing adjustments </w:t>
            </w:r>
            <w:r>
              <w:rPr>
                <w:rFonts w:ascii="Times New Roman" w:cs="Times New Roman" w:eastAsia="Times New Roman" w:hAnsi="Times New Roman"/>
                <w:sz w:val="22"/>
                <w:szCs w:val="22"/>
                <w:color w:val="auto"/>
                <w:vertAlign w:val="superscript"/>
              </w:rPr>
              <w:t>(3)</w:t>
            </w: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r>
      <w:tr>
        <w:trPr>
          <w:trHeight w:val="230"/>
        </w:trPr>
        <w:tc>
          <w:tcPr>
            <w:tcW w:w="20" w:type="dxa"/>
            <w:vAlign w:val="bottom"/>
          </w:tcPr>
          <w:p>
            <w:pPr>
              <w:spacing w:after="0"/>
              <w:rPr>
                <w:sz w:val="19"/>
                <w:szCs w:val="19"/>
                <w:color w:val="auto"/>
              </w:rPr>
            </w:pPr>
          </w:p>
        </w:tc>
        <w:tc>
          <w:tcPr>
            <w:tcW w:w="8740" w:type="dxa"/>
            <w:vAlign w:val="bottom"/>
            <w:gridSpan w:val="2"/>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Deficiencies under minimum volume commitments, net </w:t>
            </w:r>
            <w:r>
              <w:rPr>
                <w:rFonts w:ascii="Times New Roman" w:cs="Times New Roman" w:eastAsia="Times New Roman" w:hAnsi="Times New Roman"/>
                <w:sz w:val="22"/>
                <w:szCs w:val="22"/>
                <w:color w:val="auto"/>
                <w:vertAlign w:val="superscript"/>
              </w:rPr>
              <w:t>(4)</w:t>
            </w:r>
          </w:p>
        </w:tc>
        <w:tc>
          <w:tcPr>
            <w:tcW w:w="8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29"/>
        </w:trPr>
        <w:tc>
          <w:tcPr>
            <w:tcW w:w="20" w:type="dxa"/>
            <w:vAlign w:val="bottom"/>
          </w:tcPr>
          <w:p>
            <w:pPr>
              <w:spacing w:after="0"/>
              <w:rPr>
                <w:sz w:val="19"/>
                <w:szCs w:val="19"/>
                <w:color w:val="auto"/>
              </w:rPr>
            </w:pPr>
          </w:p>
        </w:tc>
        <w:tc>
          <w:tcPr>
            <w:tcW w:w="874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Equity-indexed compensation expense </w:t>
            </w:r>
            <w:r>
              <w:rPr>
                <w:rFonts w:ascii="Times New Roman" w:cs="Times New Roman" w:eastAsia="Times New Roman" w:hAnsi="Times New Roman"/>
                <w:sz w:val="22"/>
                <w:szCs w:val="22"/>
                <w:color w:val="auto"/>
                <w:vertAlign w:val="superscript"/>
              </w:rPr>
              <w:t>(5)</w:t>
            </w: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30"/>
        </w:trPr>
        <w:tc>
          <w:tcPr>
            <w:tcW w:w="20" w:type="dxa"/>
            <w:vAlign w:val="bottom"/>
          </w:tcPr>
          <w:p>
            <w:pPr>
              <w:spacing w:after="0"/>
              <w:rPr>
                <w:sz w:val="19"/>
                <w:szCs w:val="19"/>
                <w:color w:val="auto"/>
              </w:rPr>
            </w:pPr>
          </w:p>
        </w:tc>
        <w:tc>
          <w:tcPr>
            <w:tcW w:w="8740" w:type="dxa"/>
            <w:vAlign w:val="bottom"/>
            <w:gridSpan w:val="2"/>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Foreign currency revaluation </w:t>
            </w:r>
            <w:r>
              <w:rPr>
                <w:rFonts w:ascii="Times New Roman" w:cs="Times New Roman" w:eastAsia="Times New Roman" w:hAnsi="Times New Roman"/>
                <w:sz w:val="22"/>
                <w:szCs w:val="22"/>
                <w:color w:val="auto"/>
                <w:vertAlign w:val="superscript"/>
              </w:rPr>
              <w:t>(6)</w:t>
            </w:r>
          </w:p>
        </w:tc>
        <w:tc>
          <w:tcPr>
            <w:tcW w:w="8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29"/>
        </w:trPr>
        <w:tc>
          <w:tcPr>
            <w:tcW w:w="20" w:type="dxa"/>
            <w:vAlign w:val="bottom"/>
          </w:tcPr>
          <w:p>
            <w:pPr>
              <w:spacing w:after="0"/>
              <w:rPr>
                <w:sz w:val="19"/>
                <w:szCs w:val="19"/>
                <w:color w:val="auto"/>
              </w:rPr>
            </w:pPr>
          </w:p>
        </w:tc>
        <w:tc>
          <w:tcPr>
            <w:tcW w:w="874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Line 901 incident </w:t>
            </w:r>
            <w:r>
              <w:rPr>
                <w:rFonts w:ascii="Times New Roman" w:cs="Times New Roman" w:eastAsia="Times New Roman" w:hAnsi="Times New Roman"/>
                <w:sz w:val="22"/>
                <w:szCs w:val="22"/>
                <w:color w:val="auto"/>
                <w:vertAlign w:val="superscript"/>
              </w:rPr>
              <w:t>(7)</w:t>
            </w:r>
          </w:p>
        </w:tc>
        <w:tc>
          <w:tcPr>
            <w:tcW w:w="8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r>
      <w:tr>
        <w:trPr>
          <w:trHeight w:val="219"/>
        </w:trPr>
        <w:tc>
          <w:tcPr>
            <w:tcW w:w="20" w:type="dxa"/>
            <w:vAlign w:val="bottom"/>
          </w:tcPr>
          <w:p>
            <w:pPr>
              <w:spacing w:after="0"/>
              <w:rPr>
                <w:sz w:val="19"/>
                <w:szCs w:val="19"/>
                <w:color w:val="auto"/>
              </w:rPr>
            </w:pPr>
          </w:p>
        </w:tc>
        <w:tc>
          <w:tcPr>
            <w:tcW w:w="87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Selected items impacting comparability - Adjusted EBITDA</w:t>
            </w:r>
          </w:p>
        </w:tc>
        <w:tc>
          <w:tcPr>
            <w:tcW w:w="800" w:type="dxa"/>
            <w:vAlign w:val="bottom"/>
            <w:tcBorders>
              <w:top w:val="single" w:sz="8" w:color="auto"/>
            </w:tcBorders>
          </w:tcPr>
          <w:p>
            <w:pPr>
              <w:jc w:val="right"/>
              <w:ind w:right="598"/>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w:t>
            </w:r>
          </w:p>
        </w:tc>
      </w:tr>
      <w:tr>
        <w:trPr>
          <w:trHeight w:val="233"/>
        </w:trPr>
        <w:tc>
          <w:tcPr>
            <w:tcW w:w="20" w:type="dxa"/>
            <w:vAlign w:val="bottom"/>
          </w:tcPr>
          <w:p>
            <w:pPr>
              <w:spacing w:after="0"/>
              <w:rPr>
                <w:sz w:val="20"/>
                <w:szCs w:val="20"/>
                <w:color w:val="auto"/>
              </w:rPr>
            </w:pPr>
          </w:p>
        </w:tc>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Gains/(losses) on asset sales and asset impairments, net</w:t>
            </w:r>
          </w:p>
        </w:tc>
        <w:tc>
          <w:tcPr>
            <w:tcW w:w="80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6"/>
        </w:trPr>
        <w:tc>
          <w:tcPr>
            <w:tcW w:w="20" w:type="dxa"/>
            <w:vAlign w:val="bottom"/>
          </w:tcPr>
          <w:p>
            <w:pPr>
              <w:spacing w:after="0"/>
              <w:rPr>
                <w:sz w:val="19"/>
                <w:szCs w:val="19"/>
                <w:color w:val="auto"/>
              </w:rPr>
            </w:pPr>
          </w:p>
        </w:tc>
        <w:tc>
          <w:tcPr>
            <w:tcW w:w="8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Tax effect on selected items impacting comparability</w:t>
            </w:r>
          </w:p>
        </w:tc>
        <w:tc>
          <w:tcPr>
            <w:tcW w:w="8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30"/>
        </w:trPr>
        <w:tc>
          <w:tcPr>
            <w:tcW w:w="20" w:type="dxa"/>
            <w:vAlign w:val="bottom"/>
          </w:tcPr>
          <w:p>
            <w:pPr>
              <w:spacing w:after="0"/>
              <w:rPr>
                <w:sz w:val="19"/>
                <w:szCs w:val="19"/>
                <w:color w:val="auto"/>
              </w:rPr>
            </w:pPr>
          </w:p>
        </w:tc>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Aggregate selected items impacting noncontrolling interests</w:t>
            </w:r>
          </w:p>
        </w:tc>
        <w:tc>
          <w:tcPr>
            <w:tcW w:w="8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7"/>
        </w:trPr>
        <w:tc>
          <w:tcPr>
            <w:tcW w:w="20" w:type="dxa"/>
            <w:vAlign w:val="bottom"/>
          </w:tcPr>
          <w:p>
            <w:pPr>
              <w:spacing w:after="0"/>
              <w:rPr>
                <w:sz w:val="19"/>
                <w:szCs w:val="19"/>
                <w:color w:val="auto"/>
              </w:rPr>
            </w:pPr>
          </w:p>
        </w:tc>
        <w:tc>
          <w:tcPr>
            <w:tcW w:w="87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Selected items impacting comparability - Adjusted net income attributable to PAA</w:t>
            </w:r>
          </w:p>
        </w:tc>
        <w:tc>
          <w:tcPr>
            <w:tcW w:w="80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55"/>
        </w:trPr>
        <w:tc>
          <w:tcPr>
            <w:tcW w:w="20" w:type="dxa"/>
            <w:vAlign w:val="bottom"/>
            <w:tcBorders>
              <w:bottom w:val="single" w:sz="8" w:color="auto"/>
            </w:tcBorders>
          </w:tcPr>
          <w:p>
            <w:pPr>
              <w:spacing w:after="0"/>
              <w:rPr>
                <w:sz w:val="13"/>
                <w:szCs w:val="13"/>
                <w:color w:val="auto"/>
              </w:rPr>
            </w:pPr>
          </w:p>
        </w:tc>
        <w:tc>
          <w:tcPr>
            <w:tcW w:w="3860" w:type="dxa"/>
            <w:vAlign w:val="bottom"/>
            <w:tcBorders>
              <w:bottom w:val="single" w:sz="8" w:color="auto"/>
            </w:tcBorders>
          </w:tcPr>
          <w:p>
            <w:pPr>
              <w:spacing w:after="0"/>
              <w:rPr>
                <w:sz w:val="13"/>
                <w:szCs w:val="13"/>
                <w:color w:val="auto"/>
              </w:rPr>
            </w:pPr>
          </w:p>
        </w:tc>
        <w:tc>
          <w:tcPr>
            <w:tcW w:w="4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r>
    </w:tbl>
    <w:p>
      <w:pPr>
        <w:spacing w:after="0" w:line="126" w:lineRule="exact"/>
        <w:rPr>
          <w:sz w:val="20"/>
          <w:szCs w:val="20"/>
          <w:color w:val="auto"/>
        </w:rPr>
      </w:pPr>
    </w:p>
    <w:p>
      <w:pPr>
        <w:ind w:left="340" w:hanging="332"/>
        <w:spacing w:after="0" w:line="239" w:lineRule="auto"/>
        <w:tabs>
          <w:tab w:leader="none" w:pos="327"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Certain of our non-GAAP financial measures may not be impacted by each of the selected items impacting comparability. See the “Net Income to Adjusted EBITDA attributable to PAA and Implied DCF Reconciliation” and “Computation of Basic and Diluted Adjusted Net Income Per Common Unit” table for additional details on how these selected items impacting comparability affect such measures.</w:t>
      </w:r>
    </w:p>
    <w:p>
      <w:pPr>
        <w:spacing w:after="0" w:line="15" w:lineRule="exact"/>
        <w:rPr>
          <w:rFonts w:ascii="Times New Roman" w:cs="Times New Roman" w:eastAsia="Times New Roman" w:hAnsi="Times New Roman"/>
          <w:sz w:val="19"/>
          <w:szCs w:val="19"/>
          <w:color w:val="auto"/>
          <w:vertAlign w:val="superscript"/>
        </w:rPr>
      </w:pPr>
    </w:p>
    <w:p>
      <w:pPr>
        <w:ind w:left="340" w:right="20" w:hanging="332"/>
        <w:spacing w:after="0" w:line="250" w:lineRule="auto"/>
        <w:tabs>
          <w:tab w:leader="none" w:pos="327"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adjusted results such that the earnings from the derivative instruments and the underlying transactions impact adjusted results in the same period. In addition, we exclude gains and losses on derivatives that are related to (i) investing activities, such as the purchase of linefill, and (ii) purchases of long-term inventory. We also exclude the impact of corresponding inventory valuation adjustments, as applicable. In addition, we exclude gains and losses from the mark-to-market of the embedded derivative associated with the Preferred Distribution Rate Reset Option of our Series A preferred units.</w:t>
      </w:r>
    </w:p>
    <w:p>
      <w:pPr>
        <w:spacing w:after="0" w:line="8" w:lineRule="exact"/>
        <w:rPr>
          <w:rFonts w:ascii="Times New Roman" w:cs="Times New Roman" w:eastAsia="Times New Roman" w:hAnsi="Times New Roman"/>
          <w:sz w:val="19"/>
          <w:szCs w:val="19"/>
          <w:color w:val="auto"/>
          <w:vertAlign w:val="superscript"/>
        </w:rPr>
      </w:pPr>
    </w:p>
    <w:p>
      <w:pPr>
        <w:ind w:left="340" w:hanging="332"/>
        <w:spacing w:after="0" w:line="270" w:lineRule="auto"/>
        <w:tabs>
          <w:tab w:leader="none" w:pos="327" w:val="left"/>
        </w:tabs>
        <w:numPr>
          <w:ilvl w:val="0"/>
          <w:numId w:val="1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4" w:lineRule="exact"/>
        <w:rPr>
          <w:rFonts w:ascii="Times New Roman" w:cs="Times New Roman" w:eastAsia="Times New Roman" w:hAnsi="Times New Roman"/>
          <w:sz w:val="9"/>
          <w:szCs w:val="9"/>
          <w:color w:val="auto"/>
        </w:rPr>
      </w:pPr>
    </w:p>
    <w:p>
      <w:pPr>
        <w:ind w:left="340" w:right="40" w:hanging="332"/>
        <w:spacing w:after="0" w:line="250" w:lineRule="auto"/>
        <w:tabs>
          <w:tab w:leader="none" w:pos="327"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and certain of our equity method investments,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or our equity method investees,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or our equity method investees,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23" w:lineRule="exact"/>
        <w:rPr>
          <w:rFonts w:ascii="Times New Roman" w:cs="Times New Roman" w:eastAsia="Times New Roman" w:hAnsi="Times New Roman"/>
          <w:sz w:val="19"/>
          <w:szCs w:val="19"/>
          <w:color w:val="auto"/>
          <w:vertAlign w:val="superscript"/>
        </w:rPr>
      </w:pPr>
    </w:p>
    <w:p>
      <w:pPr>
        <w:ind w:left="340" w:right="20" w:hanging="332"/>
        <w:spacing w:after="0" w:line="239" w:lineRule="auto"/>
        <w:tabs>
          <w:tab w:leader="none" w:pos="327"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The portion of compensation expense associated with awards that will be settled in cash is not considered a selected item impacting comparability.</w:t>
      </w:r>
    </w:p>
    <w:p>
      <w:pPr>
        <w:spacing w:after="0" w:line="30" w:lineRule="exact"/>
        <w:rPr>
          <w:rFonts w:ascii="Times New Roman" w:cs="Times New Roman" w:eastAsia="Times New Roman" w:hAnsi="Times New Roman"/>
          <w:sz w:val="19"/>
          <w:szCs w:val="19"/>
          <w:color w:val="auto"/>
          <w:vertAlign w:val="superscript"/>
        </w:rPr>
      </w:pPr>
    </w:p>
    <w:p>
      <w:pPr>
        <w:ind w:left="340" w:right="60" w:hanging="332"/>
        <w:spacing w:after="0" w:line="233" w:lineRule="auto"/>
        <w:tabs>
          <w:tab w:leader="none" w:pos="327"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During the periods presented, there were fluctuations in the value of the Canadian dollar to the U.S. dollar,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thus classified as a selected item impacting comparability.</w:t>
      </w:r>
    </w:p>
    <w:p>
      <w:pPr>
        <w:spacing w:after="0" w:line="1" w:lineRule="exact"/>
        <w:rPr>
          <w:rFonts w:ascii="Times New Roman" w:cs="Times New Roman" w:eastAsia="Times New Roman" w:hAnsi="Times New Roman"/>
          <w:sz w:val="19"/>
          <w:szCs w:val="19"/>
          <w:color w:val="auto"/>
          <w:vertAlign w:val="superscript"/>
        </w:rPr>
      </w:pPr>
    </w:p>
    <w:p>
      <w:pPr>
        <w:ind w:left="320" w:hanging="312"/>
        <w:spacing w:after="0" w:line="237" w:lineRule="auto"/>
        <w:tabs>
          <w:tab w:leader="none" w:pos="32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costs recognized during the period related to the Line 901 incident that occurred in May 2015, net of amounts we believe are probable of recovery from insurance.</w:t>
      </w:r>
    </w:p>
    <w:p>
      <w:pPr>
        <w:spacing w:after="0" w:line="167" w:lineRule="exact"/>
        <w:rPr>
          <w:rFonts w:ascii="Times New Roman" w:cs="Times New Roman" w:eastAsia="Times New Roman" w:hAnsi="Times New Roman"/>
          <w:sz w:val="19"/>
          <w:szCs w:val="19"/>
          <w:color w:val="auto"/>
          <w:vertAlign w:val="superscript"/>
        </w:rPr>
      </w:pPr>
    </w:p>
    <w:p>
      <w:pPr>
        <w:ind w:left="5440" w:hanging="106"/>
        <w:spacing w:after="0"/>
        <w:tabs>
          <w:tab w:leader="none" w:pos="54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64"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auto"/>
        </w:rPr>
        <w:t>Page 13</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FINANCIAL DATA BY SEGMENT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8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2260" w:type="dxa"/>
            <w:vAlign w:val="bottom"/>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6"/>
        </w:trPr>
        <w:tc>
          <w:tcPr>
            <w:tcW w:w="38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7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740" w:type="dxa"/>
            <w:vAlign w:val="bottom"/>
            <w:tcBorders>
              <w:bottom w:val="single" w:sz="8" w:color="auto"/>
            </w:tcBorders>
          </w:tcPr>
          <w:p>
            <w:pPr>
              <w:spacing w:after="0"/>
              <w:rPr>
                <w:sz w:val="17"/>
                <w:szCs w:val="17"/>
                <w:color w:val="auto"/>
              </w:rPr>
            </w:pPr>
          </w:p>
        </w:tc>
      </w:tr>
      <w:tr>
        <w:trPr>
          <w:trHeight w:val="202"/>
        </w:trPr>
        <w:tc>
          <w:tcPr>
            <w:tcW w:w="38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Crude Oil</w:t>
            </w:r>
          </w:p>
        </w:tc>
        <w:tc>
          <w:tcPr>
            <w:tcW w:w="420" w:type="dxa"/>
            <w:vAlign w:val="bottom"/>
          </w:tcPr>
          <w:p>
            <w:pPr>
              <w:spacing w:after="0"/>
              <w:rPr>
                <w:sz w:val="17"/>
                <w:szCs w:val="17"/>
                <w:color w:val="auto"/>
              </w:rPr>
            </w:pPr>
          </w:p>
        </w:tc>
        <w:tc>
          <w:tcPr>
            <w:tcW w:w="740" w:type="dxa"/>
            <w:vAlign w:val="bottom"/>
          </w:tcPr>
          <w:p>
            <w:pPr>
              <w:jc w:val="right"/>
              <w:ind w:right="331"/>
              <w:spacing w:after="0"/>
              <w:rPr>
                <w:sz w:val="20"/>
                <w:szCs w:val="20"/>
                <w:color w:val="auto"/>
              </w:rPr>
            </w:pPr>
            <w:r>
              <w:rPr>
                <w:rFonts w:ascii="Times New Roman" w:cs="Times New Roman" w:eastAsia="Times New Roman" w:hAnsi="Times New Roman"/>
                <w:sz w:val="15"/>
                <w:szCs w:val="15"/>
                <w:b w:val="1"/>
                <w:bCs w:val="1"/>
                <w:color w:val="auto"/>
                <w:w w:val="92"/>
              </w:rPr>
              <w:t>NGL</w:t>
            </w:r>
          </w:p>
        </w:tc>
        <w:tc>
          <w:tcPr>
            <w:tcW w:w="22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Crude Oil</w:t>
            </w:r>
          </w:p>
        </w:tc>
        <w:tc>
          <w:tcPr>
            <w:tcW w:w="420" w:type="dxa"/>
            <w:vAlign w:val="bottom"/>
          </w:tcPr>
          <w:p>
            <w:pPr>
              <w:spacing w:after="0"/>
              <w:rPr>
                <w:sz w:val="17"/>
                <w:szCs w:val="17"/>
                <w:color w:val="auto"/>
              </w:rPr>
            </w:pPr>
          </w:p>
        </w:tc>
        <w:tc>
          <w:tcPr>
            <w:tcW w:w="740" w:type="dxa"/>
            <w:vAlign w:val="bottom"/>
          </w:tcPr>
          <w:p>
            <w:pPr>
              <w:jc w:val="right"/>
              <w:ind w:right="331"/>
              <w:spacing w:after="0"/>
              <w:rPr>
                <w:sz w:val="20"/>
                <w:szCs w:val="20"/>
                <w:color w:val="auto"/>
              </w:rPr>
            </w:pPr>
            <w:r>
              <w:rPr>
                <w:rFonts w:ascii="Times New Roman" w:cs="Times New Roman" w:eastAsia="Times New Roman" w:hAnsi="Times New Roman"/>
                <w:sz w:val="15"/>
                <w:szCs w:val="15"/>
                <w:b w:val="1"/>
                <w:bCs w:val="1"/>
                <w:color w:val="auto"/>
                <w:w w:val="92"/>
              </w:rPr>
              <w:t>NGL</w:t>
            </w:r>
          </w:p>
        </w:tc>
      </w:tr>
      <w:tr>
        <w:trPr>
          <w:trHeight w:val="223"/>
        </w:trPr>
        <w:tc>
          <w:tcPr>
            <w:tcW w:w="6140" w:type="dxa"/>
            <w:vAlign w:val="bottom"/>
            <w:tcBorders>
              <w:top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11,758</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13,079</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r>
      <w:tr>
        <w:trPr>
          <w:trHeight w:val="229"/>
        </w:trPr>
        <w:tc>
          <w:tcPr>
            <w:tcW w:w="61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230"/>
        </w:trPr>
        <w:tc>
          <w:tcPr>
            <w:tcW w:w="61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Field operating costs </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9"/>
        </w:trPr>
        <w:tc>
          <w:tcPr>
            <w:tcW w:w="61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Segment general and administrative expenses </w:t>
            </w:r>
            <w:r>
              <w:rPr>
                <w:rFonts w:ascii="Times New Roman" w:cs="Times New Roman" w:eastAsia="Times New Roman" w:hAnsi="Times New Roman"/>
                <w:sz w:val="23"/>
                <w:szCs w:val="23"/>
                <w:color w:val="auto"/>
                <w:vertAlign w:val="superscript"/>
              </w:rPr>
              <w:t>(2) (3)</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88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30"/>
        </w:trPr>
        <w:tc>
          <w:tcPr>
            <w:tcW w:w="61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(4)</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9"/>
        </w:trPr>
        <w:tc>
          <w:tcPr>
            <w:tcW w:w="6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of unconsolidated entities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activities and inventory valuation adjustments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6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6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Deficiencies under minimum volume commitments, net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revaluation</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Line 901 incident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4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Adjusted EBITDA attributable to noncontrolling interests </w:t>
            </w:r>
            <w:r>
              <w:rPr>
                <w:rFonts w:ascii="Times New Roman" w:cs="Times New Roman" w:eastAsia="Times New Roman" w:hAnsi="Times New Roman"/>
                <w:sz w:val="23"/>
                <w:szCs w:val="23"/>
                <w:color w:val="auto"/>
                <w:vertAlign w:val="superscript"/>
              </w:rPr>
              <w:t>(5)</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37"/>
        </w:trPr>
        <w:tc>
          <w:tcPr>
            <w:tcW w:w="388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70"/>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3"/>
                <w:szCs w:val="23"/>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3"/>
                <w:szCs w:val="23"/>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156"/>
        </w:trPr>
        <w:tc>
          <w:tcPr>
            <w:tcW w:w="3880" w:type="dxa"/>
            <w:vAlign w:val="bottom"/>
            <w:tcBorders>
              <w:bottom w:val="single" w:sz="8" w:color="auto"/>
            </w:tcBorders>
          </w:tcPr>
          <w:p>
            <w:pPr>
              <w:spacing w:after="0"/>
              <w:rPr>
                <w:sz w:val="13"/>
                <w:szCs w:val="13"/>
                <w:color w:val="auto"/>
              </w:rPr>
            </w:pPr>
          </w:p>
        </w:tc>
        <w:tc>
          <w:tcPr>
            <w:tcW w:w="2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r>
    </w:tbl>
    <w:p>
      <w:pPr>
        <w:spacing w:after="0" w:line="127"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Includes intersegment amounts.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Field operating costs and Segment general and administrative expenses include equity-indexed compensation expense.</w:t>
      </w:r>
    </w:p>
    <w:p>
      <w:pPr>
        <w:spacing w:after="0" w:line="75" w:lineRule="exact"/>
        <w:rPr>
          <w:sz w:val="20"/>
          <w:szCs w:val="20"/>
          <w:color w:val="auto"/>
        </w:rPr>
      </w:pPr>
    </w:p>
    <w:p>
      <w:pPr>
        <w:sectPr>
          <w:pgSz w:w="11900" w:h="16838" w:orient="portrait"/>
          <w:cols w:equalWidth="0" w:num="2">
            <w:col w:w="140" w:space="180"/>
            <w:col w:w="10920"/>
          </w:cols>
          <w:pgMar w:left="320" w:top="364" w:right="339" w:bottom="1440" w:gutter="0" w:footer="0" w:header="0"/>
          <w:type w:val="continuous"/>
        </w:sectPr>
      </w:pPr>
    </w:p>
    <w:p>
      <w:pPr>
        <w:ind w:left="340" w:right="100" w:hanging="332"/>
        <w:spacing w:after="0" w:line="229" w:lineRule="auto"/>
        <w:tabs>
          <w:tab w:leader="none" w:pos="32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36" w:lineRule="exact"/>
        <w:rPr>
          <w:rFonts w:ascii="Times New Roman" w:cs="Times New Roman" w:eastAsia="Times New Roman" w:hAnsi="Times New Roman"/>
          <w:sz w:val="23"/>
          <w:szCs w:val="23"/>
          <w:color w:val="auto"/>
          <w:vertAlign w:val="superscript"/>
        </w:rPr>
      </w:pPr>
    </w:p>
    <w:p>
      <w:pPr>
        <w:ind w:left="340" w:right="140" w:hanging="332"/>
        <w:spacing w:after="0" w:line="235" w:lineRule="auto"/>
        <w:tabs>
          <w:tab w:leader="none" w:pos="32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37" w:lineRule="exact"/>
        <w:rPr>
          <w:rFonts w:ascii="Times New Roman" w:cs="Times New Roman" w:eastAsia="Times New Roman" w:hAnsi="Times New Roman"/>
          <w:sz w:val="23"/>
          <w:szCs w:val="23"/>
          <w:color w:val="auto"/>
          <w:vertAlign w:val="superscript"/>
        </w:rPr>
      </w:pPr>
    </w:p>
    <w:p>
      <w:pPr>
        <w:ind w:left="340" w:right="620" w:hanging="332"/>
        <w:spacing w:after="0" w:line="229" w:lineRule="auto"/>
        <w:tabs>
          <w:tab w:leader="none" w:pos="32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amounts attributable to noncontrolling interests in the Permian JV, Cactus II Pipeline LLC (beginning November 2022) and Red River Pipeline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auto"/>
        </w:rPr>
        <w:t>Page 14</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DATA BY SEGMENT</w:t>
      </w:r>
    </w:p>
    <w:p>
      <w:pPr>
        <w:spacing w:after="0" w:line="282" w:lineRule="exact"/>
        <w:rPr>
          <w:sz w:val="20"/>
          <w:szCs w:val="20"/>
          <w:color w:val="auto"/>
        </w:rPr>
      </w:pPr>
    </w:p>
    <w:p>
      <w:pPr>
        <w:jc w:val="center"/>
        <w:ind w:left="87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7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860" w:type="dxa"/>
            <w:vAlign w:val="bottom"/>
            <w:tcBorders>
              <w:bottom w:val="single" w:sz="8" w:color="CCEEFF"/>
            </w:tcBorders>
          </w:tcPr>
          <w:p>
            <w:pPr>
              <w:spacing w:after="0"/>
              <w:rPr>
                <w:sz w:val="18"/>
                <w:szCs w:val="18"/>
                <w:color w:val="auto"/>
              </w:rPr>
            </w:pPr>
          </w:p>
        </w:tc>
        <w:tc>
          <w:tcPr>
            <w:tcW w:w="488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Crude Oil Segment Volumes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74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Crude oil pipeline tariff volumes (by region) </w:t>
            </w:r>
            <w:r>
              <w:rPr>
                <w:rFonts w:ascii="Times New Roman" w:cs="Times New Roman" w:eastAsia="Times New Roman" w:hAnsi="Times New Roman"/>
                <w:sz w:val="23"/>
                <w:szCs w:val="23"/>
                <w:color w:val="auto"/>
                <w:vertAlign w:val="superscript"/>
              </w:rPr>
              <w:t>(1)</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740" w:type="dxa"/>
            <w:vAlign w:val="bottom"/>
            <w:gridSpan w:val="2"/>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Permian Basin </w:t>
            </w:r>
            <w:r>
              <w:rPr>
                <w:rFonts w:ascii="Times New Roman" w:cs="Times New Roman" w:eastAsia="Times New Roman" w:hAnsi="Times New Roman"/>
                <w:sz w:val="23"/>
                <w:szCs w:val="23"/>
                <w:color w:val="auto"/>
                <w:vertAlign w:val="superscript"/>
              </w:rPr>
              <w:t>(2)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w:t>
            </w:r>
          </w:p>
        </w:tc>
      </w:tr>
      <w:tr>
        <w:trPr>
          <w:trHeight w:val="230"/>
        </w:trPr>
        <w:tc>
          <w:tcPr>
            <w:tcW w:w="20" w:type="dxa"/>
            <w:vAlign w:val="bottom"/>
          </w:tcPr>
          <w:p>
            <w:pPr>
              <w:spacing w:after="0"/>
              <w:rPr>
                <w:sz w:val="19"/>
                <w:szCs w:val="19"/>
                <w:color w:val="auto"/>
              </w:rPr>
            </w:pPr>
          </w:p>
        </w:tc>
        <w:tc>
          <w:tcPr>
            <w:tcW w:w="8740" w:type="dxa"/>
            <w:vAlign w:val="bottom"/>
            <w:gridSpan w:val="2"/>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South Texas / Eagle Ford </w:t>
            </w:r>
            <w:r>
              <w:rPr>
                <w:rFonts w:ascii="Times New Roman" w:cs="Times New Roman" w:eastAsia="Times New Roman" w:hAnsi="Times New Roman"/>
                <w:sz w:val="23"/>
                <w:szCs w:val="23"/>
                <w:color w:val="auto"/>
                <w:vertAlign w:val="superscript"/>
              </w:rPr>
              <w:t>(2)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29"/>
        </w:trPr>
        <w:tc>
          <w:tcPr>
            <w:tcW w:w="20" w:type="dxa"/>
            <w:vAlign w:val="bottom"/>
          </w:tcPr>
          <w:p>
            <w:pPr>
              <w:spacing w:after="0"/>
              <w:rPr>
                <w:sz w:val="19"/>
                <w:szCs w:val="19"/>
                <w:color w:val="auto"/>
              </w:rPr>
            </w:pPr>
          </w:p>
        </w:tc>
        <w:tc>
          <w:tcPr>
            <w:tcW w:w="8740" w:type="dxa"/>
            <w:vAlign w:val="bottom"/>
            <w:gridSpan w:val="2"/>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Mid-Continent </w:t>
            </w:r>
            <w:r>
              <w:rPr>
                <w:rFonts w:ascii="Times New Roman" w:cs="Times New Roman" w:eastAsia="Times New Roman" w:hAnsi="Times New Roman"/>
                <w:sz w:val="23"/>
                <w:szCs w:val="23"/>
                <w:color w:val="auto"/>
                <w:vertAlign w:val="superscript"/>
              </w:rPr>
              <w:t>(2)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30"/>
        </w:trPr>
        <w:tc>
          <w:tcPr>
            <w:tcW w:w="20" w:type="dxa"/>
            <w:vAlign w:val="bottom"/>
          </w:tcPr>
          <w:p>
            <w:pPr>
              <w:spacing w:after="0"/>
              <w:rPr>
                <w:sz w:val="19"/>
                <w:szCs w:val="19"/>
                <w:color w:val="auto"/>
              </w:rPr>
            </w:pPr>
          </w:p>
        </w:tc>
        <w:tc>
          <w:tcPr>
            <w:tcW w:w="8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Gulf Coast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29"/>
        </w:trPr>
        <w:tc>
          <w:tcPr>
            <w:tcW w:w="20" w:type="dxa"/>
            <w:vAlign w:val="bottom"/>
          </w:tcPr>
          <w:p>
            <w:pPr>
              <w:spacing w:after="0"/>
              <w:rPr>
                <w:sz w:val="19"/>
                <w:szCs w:val="19"/>
                <w:color w:val="auto"/>
              </w:rPr>
            </w:pPr>
          </w:p>
        </w:tc>
        <w:tc>
          <w:tcPr>
            <w:tcW w:w="8740" w:type="dxa"/>
            <w:vAlign w:val="bottom"/>
            <w:gridSpan w:val="2"/>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Rocky Mountain </w:t>
            </w:r>
            <w:r>
              <w:rPr>
                <w:rFonts w:ascii="Times New Roman" w:cs="Times New Roman" w:eastAsia="Times New Roman" w:hAnsi="Times New Roman"/>
                <w:sz w:val="23"/>
                <w:szCs w:val="23"/>
                <w:color w:val="auto"/>
                <w:vertAlign w:val="superscript"/>
              </w:rPr>
              <w:t>(2)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29"/>
        </w:trPr>
        <w:tc>
          <w:tcPr>
            <w:tcW w:w="20" w:type="dxa"/>
            <w:vAlign w:val="bottom"/>
          </w:tcPr>
          <w:p>
            <w:pPr>
              <w:spacing w:after="0"/>
              <w:rPr>
                <w:sz w:val="19"/>
                <w:szCs w:val="19"/>
                <w:color w:val="auto"/>
              </w:rPr>
            </w:pPr>
          </w:p>
        </w:tc>
        <w:tc>
          <w:tcPr>
            <w:tcW w:w="8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Western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30"/>
        </w:trPr>
        <w:tc>
          <w:tcPr>
            <w:tcW w:w="20" w:type="dxa"/>
            <w:vAlign w:val="bottom"/>
          </w:tcPr>
          <w:p>
            <w:pPr>
              <w:spacing w:after="0"/>
              <w:rPr>
                <w:sz w:val="19"/>
                <w:szCs w:val="19"/>
                <w:color w:val="auto"/>
              </w:rPr>
            </w:pPr>
          </w:p>
        </w:tc>
        <w:tc>
          <w:tcPr>
            <w:tcW w:w="8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Canada</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23"/>
        </w:trPr>
        <w:tc>
          <w:tcPr>
            <w:tcW w:w="20" w:type="dxa"/>
            <w:vAlign w:val="bottom"/>
          </w:tcPr>
          <w:p>
            <w:pPr>
              <w:spacing w:after="0"/>
              <w:rPr>
                <w:sz w:val="19"/>
                <w:szCs w:val="19"/>
                <w:color w:val="auto"/>
              </w:rPr>
            </w:pPr>
          </w:p>
        </w:tc>
        <w:tc>
          <w:tcPr>
            <w:tcW w:w="8740" w:type="dxa"/>
            <w:vAlign w:val="bottom"/>
            <w:gridSpan w:val="2"/>
          </w:tcPr>
          <w:p>
            <w:pPr>
              <w:ind w:left="120"/>
              <w:spacing w:after="0" w:line="223" w:lineRule="exact"/>
              <w:rPr>
                <w:sz w:val="20"/>
                <w:szCs w:val="20"/>
                <w:color w:val="auto"/>
              </w:rPr>
            </w:pPr>
            <w:r>
              <w:rPr>
                <w:rFonts w:ascii="Times New Roman" w:cs="Times New Roman" w:eastAsia="Times New Roman" w:hAnsi="Times New Roman"/>
                <w:sz w:val="18"/>
                <w:szCs w:val="18"/>
                <w:color w:val="auto"/>
              </w:rPr>
              <w:t xml:space="preserve">Total crude oil pipeline tariff volumes </w:t>
            </w:r>
            <w:r>
              <w:rPr>
                <w:rFonts w:ascii="Times New Roman" w:cs="Times New Roman" w:eastAsia="Times New Roman" w:hAnsi="Times New Roman"/>
                <w:sz w:val="23"/>
                <w:szCs w:val="23"/>
                <w:color w:val="auto"/>
                <w:vertAlign w:val="superscript"/>
              </w:rPr>
              <w:t>(1) (2)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8,280</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7,159</w:t>
            </w:r>
          </w:p>
        </w:tc>
      </w:tr>
      <w:tr>
        <w:trPr>
          <w:trHeight w:val="257"/>
        </w:trPr>
        <w:tc>
          <w:tcPr>
            <w:tcW w:w="20" w:type="dxa"/>
            <w:vAlign w:val="bottom"/>
          </w:tcPr>
          <w:p>
            <w:pPr>
              <w:spacing w:after="0"/>
              <w:rPr>
                <w:sz w:val="22"/>
                <w:szCs w:val="22"/>
                <w:color w:val="auto"/>
              </w:rPr>
            </w:pPr>
          </w:p>
        </w:tc>
        <w:tc>
          <w:tcPr>
            <w:tcW w:w="3860" w:type="dxa"/>
            <w:vAlign w:val="bottom"/>
            <w:shd w:val="clear" w:color="auto" w:fill="CCEEFF"/>
          </w:tcPr>
          <w:p>
            <w:pPr>
              <w:spacing w:after="0"/>
              <w:rPr>
                <w:sz w:val="22"/>
                <w:szCs w:val="22"/>
                <w:color w:val="auto"/>
              </w:rPr>
            </w:pPr>
          </w:p>
        </w:tc>
        <w:tc>
          <w:tcPr>
            <w:tcW w:w="48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74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Commercial crude oil storage capacity </w:t>
            </w:r>
            <w:r>
              <w:rPr>
                <w:rFonts w:ascii="Times New Roman" w:cs="Times New Roman" w:eastAsia="Times New Roman" w:hAnsi="Times New Roman"/>
                <w:sz w:val="23"/>
                <w:szCs w:val="23"/>
                <w:color w:val="auto"/>
                <w:vertAlign w:val="superscript"/>
              </w:rPr>
              <w:t>(2) (3)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57"/>
        </w:trPr>
        <w:tc>
          <w:tcPr>
            <w:tcW w:w="20" w:type="dxa"/>
            <w:vAlign w:val="bottom"/>
          </w:tcPr>
          <w:p>
            <w:pPr>
              <w:spacing w:after="0"/>
              <w:rPr>
                <w:sz w:val="22"/>
                <w:szCs w:val="22"/>
                <w:color w:val="auto"/>
              </w:rPr>
            </w:pPr>
          </w:p>
        </w:tc>
        <w:tc>
          <w:tcPr>
            <w:tcW w:w="3860" w:type="dxa"/>
            <w:vAlign w:val="bottom"/>
            <w:shd w:val="clear" w:color="auto" w:fill="CCEEFF"/>
          </w:tcPr>
          <w:p>
            <w:pPr>
              <w:spacing w:after="0"/>
              <w:rPr>
                <w:sz w:val="22"/>
                <w:szCs w:val="22"/>
                <w:color w:val="auto"/>
              </w:rPr>
            </w:pPr>
          </w:p>
        </w:tc>
        <w:tc>
          <w:tcPr>
            <w:tcW w:w="48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874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Crude oil lease gathering purchases </w:t>
            </w:r>
            <w:r>
              <w:rPr>
                <w:rFonts w:ascii="Times New Roman" w:cs="Times New Roman" w:eastAsia="Times New Roman" w:hAnsi="Times New Roman"/>
                <w:sz w:val="23"/>
                <w:szCs w:val="23"/>
                <w:color w:val="auto"/>
                <w:vertAlign w:val="superscript"/>
              </w:rPr>
              <w:t>(1)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w:t>
            </w:r>
          </w:p>
        </w:tc>
      </w:tr>
      <w:tr>
        <w:trPr>
          <w:trHeight w:val="256"/>
        </w:trPr>
        <w:tc>
          <w:tcPr>
            <w:tcW w:w="20" w:type="dxa"/>
            <w:vAlign w:val="bottom"/>
          </w:tcPr>
          <w:p>
            <w:pPr>
              <w:spacing w:after="0"/>
              <w:rPr>
                <w:sz w:val="22"/>
                <w:szCs w:val="22"/>
                <w:color w:val="auto"/>
              </w:rPr>
            </w:pPr>
          </w:p>
        </w:tc>
        <w:tc>
          <w:tcPr>
            <w:tcW w:w="3860" w:type="dxa"/>
            <w:vAlign w:val="bottom"/>
            <w:shd w:val="clear" w:color="auto" w:fill="CCEEFF"/>
          </w:tcPr>
          <w:p>
            <w:pPr>
              <w:spacing w:after="0"/>
              <w:rPr>
                <w:sz w:val="22"/>
                <w:szCs w:val="22"/>
                <w:color w:val="auto"/>
              </w:rPr>
            </w:pPr>
          </w:p>
        </w:tc>
        <w:tc>
          <w:tcPr>
            <w:tcW w:w="48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87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NGL Segment Volumes </w:t>
            </w:r>
            <w:r>
              <w:rPr>
                <w:rFonts w:ascii="Times New Roman" w:cs="Times New Roman" w:eastAsia="Times New Roman" w:hAnsi="Times New Roman"/>
                <w:sz w:val="23"/>
                <w:szCs w:val="23"/>
                <w:color w:val="auto"/>
                <w:vertAlign w:val="superscript"/>
              </w:rPr>
              <w:t>(1)</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NGL fractionation</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30"/>
        </w:trPr>
        <w:tc>
          <w:tcPr>
            <w:tcW w:w="20" w:type="dxa"/>
            <w:vAlign w:val="bottom"/>
          </w:tcPr>
          <w:p>
            <w:pPr>
              <w:spacing w:after="0"/>
              <w:rPr>
                <w:sz w:val="19"/>
                <w:szCs w:val="19"/>
                <w:color w:val="auto"/>
              </w:rPr>
            </w:pPr>
          </w:p>
        </w:tc>
        <w:tc>
          <w:tcPr>
            <w:tcW w:w="8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NGL pipeline tariff volumes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30"/>
        </w:trPr>
        <w:tc>
          <w:tcPr>
            <w:tcW w:w="20" w:type="dxa"/>
            <w:vAlign w:val="bottom"/>
          </w:tcPr>
          <w:p>
            <w:pPr>
              <w:spacing w:after="0"/>
              <w:rPr>
                <w:sz w:val="19"/>
                <w:szCs w:val="19"/>
                <w:color w:val="auto"/>
              </w:rPr>
            </w:pPr>
          </w:p>
        </w:tc>
        <w:tc>
          <w:tcPr>
            <w:tcW w:w="874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Propane and butane sales </w:t>
            </w:r>
            <w:r>
              <w:rPr>
                <w:rFonts w:ascii="Times New Roman" w:cs="Times New Roman" w:eastAsia="Times New Roman" w:hAnsi="Times New Roman"/>
                <w:sz w:val="23"/>
                <w:szCs w:val="23"/>
                <w:color w:val="auto"/>
                <w:vertAlign w:val="superscript"/>
              </w:rPr>
              <w:t>(4)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162"/>
        </w:trPr>
        <w:tc>
          <w:tcPr>
            <w:tcW w:w="2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tcPr>
          <w:p>
            <w:pPr>
              <w:spacing w:after="0"/>
              <w:rPr>
                <w:sz w:val="14"/>
                <w:szCs w:val="14"/>
                <w:color w:val="auto"/>
              </w:rPr>
            </w:pPr>
          </w:p>
        </w:tc>
        <w:tc>
          <w:tcPr>
            <w:tcW w:w="4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pacing w:after="0" w:line="130" w:lineRule="exact"/>
        <w:rPr>
          <w:sz w:val="20"/>
          <w:szCs w:val="20"/>
          <w:color w:val="auto"/>
        </w:rPr>
      </w:pPr>
    </w:p>
    <w:p>
      <w:pPr>
        <w:ind w:left="340" w:hanging="332"/>
        <w:spacing w:after="0" w:line="235" w:lineRule="auto"/>
        <w:tabs>
          <w:tab w:leader="none" w:pos="328"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Average volumes in thousands of barrels per day calculated as the total volumes (attributable to our interest for assets owned by unconsolidated entities or through undivided joint interests) for the period divided by the number of days in the period. Volumes associated with assets acquired during the period represent total volumes for the number of days we actually owned the assets divided by the number of days in the period.</w:t>
      </w:r>
    </w:p>
    <w:p>
      <w:pPr>
        <w:sectPr>
          <w:pgSz w:w="11900" w:h="16838" w:orient="portrait"/>
          <w:cols w:equalWidth="0" w:num="1">
            <w:col w:w="11220"/>
          </w:cols>
          <w:pgMar w:left="320" w:top="364" w:right="359" w:bottom="1440" w:gutter="0" w:footer="0" w:header="0"/>
        </w:sectPr>
      </w:pP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volumes (attributable to our interest) from assets owned by unconsolidated entities.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Average monthly capacity in millions of barrels calculated as total volumes for the period divided by the number of months in the period.</w:t>
      </w:r>
    </w:p>
    <w:p>
      <w:pPr>
        <w:spacing w:after="0" w:line="75" w:lineRule="exact"/>
        <w:rPr>
          <w:sz w:val="20"/>
          <w:szCs w:val="20"/>
          <w:color w:val="auto"/>
        </w:rPr>
      </w:pPr>
    </w:p>
    <w:p>
      <w:pPr>
        <w:sectPr>
          <w:pgSz w:w="11900" w:h="16838" w:orient="portrait"/>
          <w:cols w:equalWidth="0" w:num="2">
            <w:col w:w="140" w:space="180"/>
            <w:col w:w="10900"/>
          </w:cols>
          <w:pgMar w:left="320" w:top="364" w:right="359" w:bottom="1440" w:gutter="0" w:footer="0" w:header="0"/>
          <w:type w:val="continuous"/>
        </w:sectPr>
      </w:pPr>
    </w:p>
    <w:p>
      <w:pPr>
        <w:ind w:left="340" w:right="40" w:hanging="332"/>
        <w:spacing w:after="0" w:line="239" w:lineRule="auto"/>
        <w:tabs>
          <w:tab w:leader="none" w:pos="328"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fourth quarter of 2022, we modified our reported sales volumes to include only propane and butane sales. Prior to the fourth quarter of 2022, our reported sales volumes included other NGL products, primarily ethane, that represented a significant portion of our total NGL sales volumes but did not contribute significantly to Segment Adjusted EBITDA. Sales volumes for earlier periods presented herein have been recast to include only propane and butane.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64" w:right="35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auto"/>
        </w:rPr>
        <w:t>Page 15</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SEGMENT RECONCILIATIONS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Adjusted EBITDA to Adjusted EBITDA attributable to PAA Reconciliation:</w:t>
      </w:r>
    </w:p>
    <w:p>
      <w:pPr>
        <w:spacing w:after="0" w:line="282"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80" w:type="dxa"/>
            <w:vAlign w:val="bottom"/>
            <w:tcBorders>
              <w:bottom w:val="single" w:sz="8" w:color="CCEEFF"/>
            </w:tcBorders>
          </w:tcPr>
          <w:p>
            <w:pPr>
              <w:spacing w:after="0"/>
              <w:rPr>
                <w:sz w:val="18"/>
                <w:szCs w:val="18"/>
                <w:color w:val="auto"/>
              </w:rPr>
            </w:pPr>
          </w:p>
        </w:tc>
        <w:tc>
          <w:tcPr>
            <w:tcW w:w="476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Crude Oil Segment Adjusted EBITDA</w:t>
            </w:r>
          </w:p>
        </w:tc>
        <w:tc>
          <w:tcPr>
            <w:tcW w:w="780" w:type="dxa"/>
            <w:vAlign w:val="bottom"/>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30"/>
        </w:trPr>
        <w:tc>
          <w:tcPr>
            <w:tcW w:w="8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NGL Segment Adjusted EBITDA</w:t>
            </w: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23"/>
        </w:trPr>
        <w:tc>
          <w:tcPr>
            <w:tcW w:w="8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Adjusted EBITDA</w:t>
            </w:r>
          </w:p>
        </w:tc>
        <w:tc>
          <w:tcPr>
            <w:tcW w:w="780" w:type="dxa"/>
            <w:vAlign w:val="bottom"/>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30"/>
        </w:trPr>
        <w:tc>
          <w:tcPr>
            <w:tcW w:w="864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other income/(expense), net </w:t>
            </w:r>
            <w:r>
              <w:rPr>
                <w:rFonts w:ascii="Times New Roman" w:cs="Times New Roman" w:eastAsia="Times New Roman" w:hAnsi="Times New Roman"/>
                <w:sz w:val="23"/>
                <w:szCs w:val="23"/>
                <w:color w:val="auto"/>
                <w:vertAlign w:val="superscript"/>
              </w:rPr>
              <w:t>(1)</w:t>
            </w: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640" w:type="dxa"/>
            <w:vAlign w:val="bottom"/>
            <w:tcBorders>
              <w:bottom w:val="single" w:sz="8" w:color="CCEEFF"/>
            </w:tcBorders>
            <w:gridSpan w:val="2"/>
            <w:shd w:val="clear" w:color="auto" w:fill="CCEEFF"/>
          </w:tcPr>
          <w:p>
            <w:pPr>
              <w:ind w:left="140"/>
              <w:spacing w:after="0" w:line="223" w:lineRule="exact"/>
              <w:rPr>
                <w:sz w:val="20"/>
                <w:szCs w:val="20"/>
                <w:color w:val="auto"/>
              </w:rPr>
            </w:pPr>
            <w:r>
              <w:rPr>
                <w:rFonts w:ascii="Times New Roman" w:cs="Times New Roman" w:eastAsia="Times New Roman" w:hAnsi="Times New Roman"/>
                <w:sz w:val="18"/>
                <w:szCs w:val="18"/>
                <w:color w:val="auto"/>
              </w:rPr>
              <w:t xml:space="preserve">Adjusted EBITDA attributable to PAA </w:t>
            </w:r>
            <w:r>
              <w:rPr>
                <w:rFonts w:ascii="Times New Roman" w:cs="Times New Roman" w:eastAsia="Times New Roman" w:hAnsi="Times New Roman"/>
                <w:sz w:val="23"/>
                <w:szCs w:val="23"/>
                <w:color w:val="auto"/>
                <w:vertAlign w:val="superscript"/>
              </w:rPr>
              <w:t>(2)</w:t>
            </w:r>
          </w:p>
        </w:tc>
        <w:tc>
          <w:tcPr>
            <w:tcW w:w="780" w:type="dxa"/>
            <w:vAlign w:val="bottom"/>
            <w:tcBorders>
              <w:bottom w:val="single" w:sz="8" w:color="auto"/>
            </w:tcBorders>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3880" w:type="dxa"/>
            <w:vAlign w:val="bottom"/>
            <w:tcBorders>
              <w:bottom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bl>
    <w:p>
      <w:pPr>
        <w:spacing w:after="0" w:line="130" w:lineRule="exact"/>
        <w:rPr>
          <w:sz w:val="20"/>
          <w:szCs w:val="20"/>
          <w:color w:val="auto"/>
        </w:rPr>
      </w:pPr>
    </w:p>
    <w:p>
      <w:pPr>
        <w:ind w:left="340" w:right="40" w:hanging="332"/>
        <w:spacing w:after="0" w:line="239" w:lineRule="auto"/>
        <w:tabs>
          <w:tab w:leader="none" w:pos="328"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“Other income/(expense), net” as reported on our Condensed Consolidated Statements of Operations, excluding other income/(expense), net attributable to noncontrolling interests, adjusted for selected items impacting comparability of $(58) million and $37 million for the three months ended March 31, 2023 and 2022, respectively. See the “Selected Items Impacting Comparability” table for additional information. Other income/(expense), net attributable to noncontrolling interests was less than $1 million for each of the periods presented.</w:t>
      </w:r>
    </w:p>
    <w:p>
      <w:pPr>
        <w:spacing w:after="0" w:line="6"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the “Net Income to Adjusted EBITDA attributable to PAA and Implied DCF Reconciliation” table for reconciliation to Net Income.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080"/>
          </w:cols>
          <w:pgMar w:left="320" w:top="364" w:right="4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auto"/>
        </w:rPr>
        <w:t>Page 16</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CONSOLIDATING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18"/>
                <w:szCs w:val="18"/>
                <w:b w:val="1"/>
                <w:bCs w:val="1"/>
                <w:color w:val="auto"/>
                <w:vertAlign w:val="superscript"/>
              </w:rPr>
              <w:t>(1)</w:t>
            </w:r>
          </w:p>
        </w:tc>
        <w:tc>
          <w:tcPr>
            <w:tcW w:w="260" w:type="dxa"/>
            <w:vAlign w:val="bottom"/>
          </w:tcPr>
          <w:p>
            <w:pPr>
              <w:spacing w:after="0"/>
              <w:rPr>
                <w:sz w:val="18"/>
                <w:szCs w:val="18"/>
                <w:color w:val="auto"/>
              </w:rPr>
            </w:pPr>
          </w:p>
        </w:tc>
        <w:tc>
          <w:tcPr>
            <w:tcW w:w="92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PAGP</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PAA</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8"/>
                <w:szCs w:val="18"/>
                <w:b w:val="1"/>
                <w:bCs w:val="1"/>
                <w:color w:val="auto"/>
                <w:w w:val="98"/>
                <w:vertAlign w:val="superscript"/>
              </w:rPr>
              <w:t>(1)</w:t>
            </w:r>
          </w:p>
        </w:tc>
        <w:tc>
          <w:tcPr>
            <w:tcW w:w="240" w:type="dxa"/>
            <w:vAlign w:val="bottom"/>
          </w:tcPr>
          <w:p>
            <w:pPr>
              <w:spacing w:after="0"/>
              <w:rPr>
                <w:sz w:val="18"/>
                <w:szCs w:val="18"/>
                <w:color w:val="auto"/>
              </w:rPr>
            </w:pPr>
          </w:p>
        </w:tc>
        <w:tc>
          <w:tcPr>
            <w:tcW w:w="9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PAGP</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12,341</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12,341</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13,694</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11,323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11,323</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12,785</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176"/>
        </w:trPr>
        <w:tc>
          <w:tcPr>
            <w:tcW w:w="3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(Gains)/losses on asset sales and asset</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impairments, net</w:t>
            </w:r>
          </w:p>
        </w:tc>
        <w:tc>
          <w:tcPr>
            <w:tcW w:w="28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11,868</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11,870</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13,403</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income/(expense), net</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6"/>
        </w:trPr>
        <w:tc>
          <w:tcPr>
            <w:tcW w:w="3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TAX</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 (expense)/benefit</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3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175"/>
        </w:trPr>
        <w:tc>
          <w:tcPr>
            <w:tcW w:w="33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Net income attributable to noncontrolling</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interests</w:t>
            </w: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4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156"/>
        </w:trPr>
        <w:tc>
          <w:tcPr>
            <w:tcW w:w="33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INCOME ATTRIBUTABLE TO</w:t>
            </w: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422</w:t>
            </w:r>
          </w:p>
        </w:tc>
        <w:tc>
          <w:tcPr>
            <w:tcW w:w="60" w:type="dxa"/>
            <w:vAlign w:val="bottom"/>
          </w:tcPr>
          <w:p>
            <w:pPr>
              <w:spacing w:after="0"/>
              <w:rPr>
                <w:sz w:val="13"/>
                <w:szCs w:val="13"/>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Borders>
              <w:right w:val="single" w:sz="8" w:color="auto"/>
            </w:tcBorders>
          </w:tcPr>
          <w:p>
            <w:pPr>
              <w:spacing w:after="0"/>
              <w:rPr>
                <w:sz w:val="13"/>
                <w:szCs w:val="13"/>
                <w:color w:val="auto"/>
              </w:rPr>
            </w:pPr>
          </w:p>
        </w:tc>
        <w:tc>
          <w:tcPr>
            <w:tcW w:w="36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PAGP</w:t>
            </w:r>
          </w:p>
        </w:tc>
        <w:tc>
          <w:tcPr>
            <w:tcW w:w="28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Basic and diluted weighted average Class A shares outstanding</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per Class A share</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129"/>
        </w:trPr>
        <w:tc>
          <w:tcPr>
            <w:tcW w:w="33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auto"/>
        </w:rPr>
        <w:t>Page 17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CONSOLIDATING BALANCE SHEET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2"/>
        </w:trPr>
        <w:tc>
          <w:tcPr>
            <w:tcW w:w="3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7"/>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8"/>
                <w:szCs w:val="18"/>
                <w:b w:val="1"/>
                <w:bCs w:val="1"/>
                <w:color w:val="auto"/>
                <w:w w:val="98"/>
                <w:vertAlign w:val="superscript"/>
              </w:rPr>
              <w:t>(1)</w:t>
            </w:r>
          </w:p>
        </w:tc>
        <w:tc>
          <w:tcPr>
            <w:tcW w:w="260" w:type="dxa"/>
            <w:vAlign w:val="bottom"/>
          </w:tcPr>
          <w:p>
            <w:pPr>
              <w:spacing w:after="0"/>
              <w:rPr>
                <w:sz w:val="18"/>
                <w:szCs w:val="18"/>
                <w:color w:val="auto"/>
              </w:rPr>
            </w:pPr>
          </w:p>
        </w:tc>
        <w:tc>
          <w:tcPr>
            <w:tcW w:w="116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PAGP</w:t>
            </w:r>
          </w:p>
        </w:tc>
        <w:tc>
          <w:tcPr>
            <w:tcW w:w="28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8"/>
                <w:szCs w:val="18"/>
                <w:b w:val="1"/>
                <w:bCs w:val="1"/>
                <w:color w:val="auto"/>
                <w:w w:val="98"/>
                <w:vertAlign w:val="superscript"/>
              </w:rPr>
              <w:t>(1)</w:t>
            </w:r>
          </w:p>
        </w:tc>
        <w:tc>
          <w:tcPr>
            <w:tcW w:w="240" w:type="dxa"/>
            <w:vAlign w:val="bottom"/>
          </w:tcPr>
          <w:p>
            <w:pPr>
              <w:spacing w:after="0"/>
              <w:rPr>
                <w:sz w:val="18"/>
                <w:szCs w:val="18"/>
                <w:color w:val="auto"/>
              </w:rPr>
            </w:pPr>
          </w:p>
        </w:tc>
        <w:tc>
          <w:tcPr>
            <w:tcW w:w="9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PAGP</w:t>
            </w:r>
          </w:p>
        </w:tc>
      </w:tr>
      <w:tr>
        <w:trPr>
          <w:trHeight w:val="209"/>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5,358</w:t>
            </w: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15,197</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15,253</w:t>
            </w: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w:t>
            </w: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Linefill</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r>
      <w:tr>
        <w:trPr>
          <w:trHeight w:val="175"/>
        </w:trPr>
        <w:tc>
          <w:tcPr>
            <w:tcW w:w="33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Long-term operating lease right-of-use</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net</w:t>
            </w:r>
          </w:p>
        </w:tc>
        <w:tc>
          <w:tcPr>
            <w:tcW w:w="2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inventory</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48"/>
        </w:trPr>
        <w:tc>
          <w:tcPr>
            <w:tcW w:w="33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28,739</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29,207</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75"/>
        </w:trPr>
        <w:tc>
          <w:tcPr>
            <w:tcW w:w="33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PARTNERS’</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5,366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5,368</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5,893</w:t>
            </w: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7,238</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7,237</w:t>
            </w: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debt, net</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176"/>
        </w:trPr>
        <w:tc>
          <w:tcPr>
            <w:tcW w:w="33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long-term liabilities and deferred</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credits</w:t>
            </w:r>
          </w:p>
        </w:tc>
        <w:tc>
          <w:tcPr>
            <w:tcW w:w="2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r>
      <w:tr>
        <w:trPr>
          <w:trHeight w:val="223"/>
        </w:trPr>
        <w:tc>
          <w:tcPr>
            <w:tcW w:w="33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13,975</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14,569</w:t>
            </w:r>
          </w:p>
        </w:tc>
      </w:tr>
      <w:tr>
        <w:trPr>
          <w:trHeight w:val="270"/>
        </w:trPr>
        <w:tc>
          <w:tcPr>
            <w:tcW w:w="3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175"/>
        </w:trPr>
        <w:tc>
          <w:tcPr>
            <w:tcW w:w="33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Partners’ capital excluding noncontrolling</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2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r>
      <w:tr>
        <w:trPr>
          <w:trHeight w:val="230"/>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13,220</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13,114</w:t>
            </w:r>
          </w:p>
        </w:tc>
      </w:tr>
      <w:tr>
        <w:trPr>
          <w:trHeight w:val="223"/>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partners’ capital</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14,638</w:t>
            </w:r>
          </w:p>
        </w:tc>
      </w:tr>
      <w:tr>
        <w:trPr>
          <w:trHeight w:val="263"/>
        </w:trPr>
        <w:tc>
          <w:tcPr>
            <w:tcW w:w="3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27,456</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28,739</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27,892</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29,207</w:t>
            </w:r>
          </w:p>
        </w:tc>
      </w:tr>
      <w:tr>
        <w:trPr>
          <w:trHeight w:val="156"/>
        </w:trPr>
        <w:tc>
          <w:tcPr>
            <w:tcW w:w="33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r>
    </w:tbl>
    <w:p>
      <w:pPr>
        <w:spacing w:after="0" w:line="100"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auto"/>
        </w:rPr>
        <w:t>Page 18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99" w:lineRule="exact"/>
        <w:rPr>
          <w:sz w:val="20"/>
          <w:szCs w:val="20"/>
          <w:color w:val="auto"/>
        </w:rPr>
      </w:pPr>
    </w:p>
    <w:p>
      <w:pPr>
        <w:ind w:right="460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COMPUTATION OF BASIC AND DILUTED NET INCOME PER CLASS A SHARE </w:t>
      </w:r>
      <w:r>
        <w:rPr>
          <w:rFonts w:ascii="Times New Roman" w:cs="Times New Roman" w:eastAsia="Times New Roman" w:hAnsi="Times New Roman"/>
          <w:sz w:val="18"/>
          <w:szCs w:val="18"/>
          <w:color w:val="auto"/>
        </w:rPr>
        <w:t>(in millions, except per share data)</w:t>
      </w:r>
    </w:p>
    <w:p>
      <w:pPr>
        <w:spacing w:after="0" w:line="212"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0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Net Income per Class A Share</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8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attributable to PAGP</w:t>
            </w:r>
          </w:p>
        </w:tc>
        <w:tc>
          <w:tcPr>
            <w:tcW w:w="82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and diluted weighted average Class A shares outstanding</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57"/>
        </w:trPr>
        <w:tc>
          <w:tcPr>
            <w:tcW w:w="86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4"/>
        </w:trPr>
        <w:tc>
          <w:tcPr>
            <w:tcW w:w="8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and diluted net income per Class A share</w:t>
            </w: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310"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the following:</w:t>
      </w:r>
    </w:p>
    <w:p>
      <w:pPr>
        <w:spacing w:after="0" w:line="243" w:lineRule="exact"/>
        <w:rPr>
          <w:sz w:val="20"/>
          <w:szCs w:val="20"/>
          <w:color w:val="auto"/>
        </w:rPr>
      </w:pPr>
    </w:p>
    <w:p>
      <w:pPr>
        <w:ind w:left="660" w:right="80" w:hanging="328"/>
        <w:spacing w:after="0" w:line="247" w:lineRule="auto"/>
        <w:tabs>
          <w:tab w:leader="none" w:pos="655"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general economic, market or business conditions in the United States and elsewhere (including the potential for a recession or significant slowdown in economic activity levels, the risk of persistently high inflation and continued supply chain issues, the impact of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126" w:lineRule="exact"/>
        <w:rPr>
          <w:rFonts w:ascii="Arial" w:cs="Arial" w:eastAsia="Arial" w:hAnsi="Arial"/>
          <w:sz w:val="22"/>
          <w:szCs w:val="22"/>
          <w:color w:val="auto"/>
        </w:rPr>
      </w:pPr>
    </w:p>
    <w:p>
      <w:pPr>
        <w:ind w:left="660" w:right="40" w:hanging="328"/>
        <w:spacing w:after="0" w:line="245" w:lineRule="auto"/>
        <w:tabs>
          <w:tab w:leader="none" w:pos="655"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declines in global crude oil demand and crude oil prices (whether due to pandemics or other factors) or other factors that correspondingly lead to a significant reduction of North American crude oil and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earn or the commercial opportunities that might otherwise be available to us;</w:t>
      </w:r>
    </w:p>
    <w:p>
      <w:pPr>
        <w:spacing w:after="0" w:line="129" w:lineRule="exact"/>
        <w:rPr>
          <w:rFonts w:ascii="Arial" w:cs="Arial" w:eastAsia="Arial" w:hAnsi="Arial"/>
          <w:sz w:val="22"/>
          <w:szCs w:val="22"/>
          <w:color w:val="auto"/>
        </w:rPr>
      </w:pPr>
    </w:p>
    <w:p>
      <w:pPr>
        <w:ind w:left="660" w:right="300" w:hanging="328"/>
        <w:spacing w:after="0" w:line="234" w:lineRule="auto"/>
        <w:tabs>
          <w:tab w:leader="none" w:pos="655"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fluctuations in refinery capacity in areas supplied by our mainlines and other factors affecting demand for various grades of crude oil and NGL and resulting changes in pricing conditions or transportation throughput requirements;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unanticipated changes in crude oil and NGL market structure, grade differentials and volatility (or lack thereof);</w:t>
      </w:r>
    </w:p>
    <w:p>
      <w:pPr>
        <w:spacing w:after="0" w:line="130" w:lineRule="exact"/>
        <w:rPr>
          <w:rFonts w:ascii="Arial" w:cs="Arial" w:eastAsia="Arial" w:hAnsi="Arial"/>
          <w:sz w:val="22"/>
          <w:szCs w:val="22"/>
          <w:color w:val="auto"/>
        </w:rPr>
      </w:pPr>
    </w:p>
    <w:p>
      <w:pPr>
        <w:ind w:left="660" w:right="120" w:hanging="328"/>
        <w:spacing w:after="0" w:line="239" w:lineRule="auto"/>
        <w:tabs>
          <w:tab w:leader="none" w:pos="655"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the effects of competition and capacity overbuild in areas where we operate, including downward pressure on rates and margins, contract renewal risk and the risk of loss of business to other midstream operators who are willing or under pressure to aggressively reduce transportation rates in order to capture or preserve customers;</w:t>
      </w:r>
    </w:p>
    <w:p>
      <w:pPr>
        <w:spacing w:after="0" w:line="132" w:lineRule="exact"/>
        <w:rPr>
          <w:rFonts w:ascii="Arial" w:cs="Arial" w:eastAsia="Arial" w:hAnsi="Arial"/>
          <w:sz w:val="22"/>
          <w:szCs w:val="22"/>
          <w:color w:val="auto"/>
        </w:rPr>
      </w:pPr>
    </w:p>
    <w:p>
      <w:pPr>
        <w:ind w:left="660" w:right="180" w:hanging="328"/>
        <w:spacing w:after="0" w:line="234" w:lineRule="auto"/>
        <w:tabs>
          <w:tab w:leader="none" w:pos="655"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environmental liabilities, litigation or other events that are not covered by an indemnity, insurance or existing reserves;</w:t>
      </w:r>
    </w:p>
    <w:p>
      <w:pPr>
        <w:spacing w:after="0" w:line="143" w:lineRule="exact"/>
        <w:rPr>
          <w:rFonts w:ascii="Arial" w:cs="Arial" w:eastAsia="Arial" w:hAnsi="Arial"/>
          <w:sz w:val="22"/>
          <w:szCs w:val="22"/>
          <w:color w:val="auto"/>
        </w:rPr>
      </w:pPr>
    </w:p>
    <w:p>
      <w:pPr>
        <w:ind w:left="660" w:right="700" w:hanging="328"/>
        <w:spacing w:after="0" w:line="234" w:lineRule="auto"/>
        <w:tabs>
          <w:tab w:leader="none" w:pos="655"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auto"/>
        </w:rPr>
        <w:t>Page 19</w:t>
      </w:r>
    </w:p>
    <w:p>
      <w:pPr>
        <w:spacing w:after="0" w:line="200" w:lineRule="exact"/>
        <w:rPr>
          <w:sz w:val="20"/>
          <w:szCs w:val="20"/>
          <w:color w:val="auto"/>
        </w:rPr>
      </w:pPr>
    </w:p>
    <w:p>
      <w:pPr>
        <w:spacing w:after="0" w:line="263"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weather interference with business operations or project construction, including the impact of extreme weather events or conditions;</w:t>
      </w:r>
    </w:p>
    <w:p>
      <w:pPr>
        <w:spacing w:after="0" w:line="130" w:lineRule="exact"/>
        <w:rPr>
          <w:rFonts w:ascii="Arial" w:cs="Arial" w:eastAsia="Arial" w:hAnsi="Arial"/>
          <w:sz w:val="22"/>
          <w:szCs w:val="22"/>
          <w:color w:val="auto"/>
        </w:rPr>
      </w:pPr>
    </w:p>
    <w:p>
      <w:pPr>
        <w:ind w:left="660" w:hanging="328"/>
        <w:spacing w:after="0" w:line="243" w:lineRule="auto"/>
        <w:tabs>
          <w:tab w:leader="none" w:pos="655"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the impact of current and future laws, rulings, governmental regulations, executive orders, trade policies, accounting standards and statements, and related interpretations, including legislation, executive orders or regulatory initiatives that prohibit, restrict or regulate hydraulic fracturing or that prohibit the development of oil and gas resources and the related infrastructure on lands dedicated to or served by our pipelines or that negatively impact our ability to develop, operate or repair midstream assets;</w:t>
      </w:r>
    </w:p>
    <w:p>
      <w:pPr>
        <w:spacing w:after="0" w:line="109"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loss of key personnel and inability to attract and retain new talent;</w:t>
      </w:r>
    </w:p>
    <w:p>
      <w:pPr>
        <w:spacing w:after="0" w:line="143" w:lineRule="exact"/>
        <w:rPr>
          <w:rFonts w:ascii="Arial" w:cs="Arial" w:eastAsia="Arial" w:hAnsi="Arial"/>
          <w:sz w:val="22"/>
          <w:szCs w:val="22"/>
          <w:color w:val="auto"/>
        </w:rPr>
      </w:pPr>
    </w:p>
    <w:p>
      <w:pPr>
        <w:ind w:left="660" w:right="540" w:hanging="328"/>
        <w:spacing w:after="0" w:line="234" w:lineRule="auto"/>
        <w:tabs>
          <w:tab w:leader="none" w:pos="655"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disruptions to futures markets for crude oil, NGL and other petroleum products, which may impair our ability to execute our commercial or hedging strategies;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the effectiveness of our risk management activities;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shortages or cost increases of supplies, materials or labor;</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maintenance of our credit rating and ability to receive open credit from our suppliers and trade counterparties;</w:t>
      </w:r>
    </w:p>
    <w:p>
      <w:pPr>
        <w:spacing w:after="0" w:line="130" w:lineRule="exact"/>
        <w:rPr>
          <w:rFonts w:ascii="Arial" w:cs="Arial" w:eastAsia="Arial" w:hAnsi="Arial"/>
          <w:sz w:val="22"/>
          <w:szCs w:val="22"/>
          <w:color w:val="auto"/>
        </w:rPr>
      </w:pPr>
    </w:p>
    <w:p>
      <w:pPr>
        <w:ind w:left="660" w:right="100" w:hanging="328"/>
        <w:spacing w:after="0" w:line="244" w:lineRule="auto"/>
        <w:tabs>
          <w:tab w:leader="none" w:pos="655"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107"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the availability of, and our ability to consummate, divestitures, joint ventures, acquisitions or other strategic opportunities;</w:t>
      </w:r>
    </w:p>
    <w:p>
      <w:pPr>
        <w:spacing w:after="0" w:line="130" w:lineRule="exact"/>
        <w:rPr>
          <w:rFonts w:ascii="Arial" w:cs="Arial" w:eastAsia="Arial" w:hAnsi="Arial"/>
          <w:sz w:val="22"/>
          <w:szCs w:val="22"/>
          <w:color w:val="auto"/>
        </w:rPr>
      </w:pPr>
    </w:p>
    <w:p>
      <w:pPr>
        <w:ind w:left="660" w:right="40" w:hanging="328"/>
        <w:spacing w:after="0" w:line="243" w:lineRule="auto"/>
        <w:tabs>
          <w:tab w:leader="none" w:pos="655"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127" w:lineRule="exact"/>
        <w:rPr>
          <w:rFonts w:ascii="Arial" w:cs="Arial" w:eastAsia="Arial" w:hAnsi="Arial"/>
          <w:sz w:val="22"/>
          <w:szCs w:val="22"/>
          <w:color w:val="auto"/>
        </w:rPr>
      </w:pPr>
    </w:p>
    <w:p>
      <w:pPr>
        <w:ind w:left="660" w:right="200" w:hanging="328"/>
        <w:spacing w:after="0" w:line="239" w:lineRule="auto"/>
        <w:tabs>
          <w:tab w:leader="none" w:pos="655"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the incurrence of costs and expenses related to unexpected or unplanned capital expenditures, third-party claims or other factors;</w:t>
      </w:r>
    </w:p>
    <w:p>
      <w:pPr>
        <w:spacing w:after="0" w:line="130" w:lineRule="exact"/>
        <w:rPr>
          <w:rFonts w:ascii="Arial" w:cs="Arial" w:eastAsia="Arial" w:hAnsi="Arial"/>
          <w:sz w:val="22"/>
          <w:szCs w:val="22"/>
          <w:color w:val="auto"/>
        </w:rPr>
      </w:pPr>
    </w:p>
    <w:p>
      <w:pPr>
        <w:ind w:left="660" w:right="380" w:hanging="328"/>
        <w:spacing w:after="0" w:line="234" w:lineRule="auto"/>
        <w:tabs>
          <w:tab w:leader="none" w:pos="655"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failure to implement or capitalize, or delays in implementing or capitalizing, on investment capital projects, whether due to permitting delays, permitting withdrawals or other factors;</w:t>
      </w:r>
    </w:p>
    <w:p>
      <w:pPr>
        <w:spacing w:after="0" w:line="132" w:lineRule="exact"/>
        <w:rPr>
          <w:rFonts w:ascii="Arial" w:cs="Arial" w:eastAsia="Arial" w:hAnsi="Arial"/>
          <w:sz w:val="22"/>
          <w:szCs w:val="22"/>
          <w:color w:val="auto"/>
        </w:rPr>
      </w:pPr>
    </w:p>
    <w:p>
      <w:pPr>
        <w:ind w:left="660" w:right="420" w:hanging="328"/>
        <w:spacing w:after="0" w:line="272" w:lineRule="auto"/>
        <w:tabs>
          <w:tab w:leader="none" w:pos="655"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tightened capital markets or other factors that increase our cost of capital or limit our ability to obtain debt or equity financing on satisfactory terms to fund acquisitions, investment capital projects, working capital requirements and the repayment or refinancing of indebtedness;</w:t>
      </w:r>
    </w:p>
    <w:p>
      <w:pPr>
        <w:spacing w:after="0" w:line="80" w:lineRule="exact"/>
        <w:rPr>
          <w:rFonts w:ascii="Arial" w:cs="Arial" w:eastAsia="Arial" w:hAnsi="Arial"/>
          <w:sz w:val="21"/>
          <w:szCs w:val="21"/>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the amplification of other risks caused by volatile financial markets, capital constraints, liquidity concerns and inflation;</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the use or availability of third-party assets upon which our operations depend and over which we have little or no control;</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the currency exchange rate of the Canadian dollar to the United States dollar;</w:t>
      </w:r>
    </w:p>
    <w:p>
      <w:pPr>
        <w:spacing w:after="0" w:line="130" w:lineRule="exact"/>
        <w:rPr>
          <w:rFonts w:ascii="Arial" w:cs="Arial" w:eastAsia="Arial" w:hAnsi="Arial"/>
          <w:sz w:val="22"/>
          <w:szCs w:val="22"/>
          <w:color w:val="auto"/>
        </w:rPr>
      </w:pPr>
    </w:p>
    <w:p>
      <w:pPr>
        <w:ind w:left="660" w:right="140" w:hanging="328"/>
        <w:spacing w:after="0" w:line="234" w:lineRule="auto"/>
        <w:tabs>
          <w:tab w:leader="none" w:pos="655"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64"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auto"/>
        </w:rPr>
        <w:t>Page 20</w:t>
      </w:r>
    </w:p>
    <w:p>
      <w:pPr>
        <w:spacing w:after="0" w:line="200" w:lineRule="exact"/>
        <w:rPr>
          <w:sz w:val="20"/>
          <w:szCs w:val="20"/>
          <w:color w:val="auto"/>
        </w:rPr>
      </w:pPr>
    </w:p>
    <w:p>
      <w:pPr>
        <w:spacing w:after="0" w:line="263"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significant under-utilization of our assets and facilities;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increased costs, or lack of availability, of insurance;</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fluctuations in the debt and equity markets, including the price of our units at the time of vesting under our long-term incentive plans;</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risks related to the development and operation of our assets; and</w:t>
      </w:r>
    </w:p>
    <w:p>
      <w:pPr>
        <w:spacing w:after="0" w:line="130" w:lineRule="exact"/>
        <w:rPr>
          <w:rFonts w:ascii="Arial" w:cs="Arial" w:eastAsia="Arial" w:hAnsi="Arial"/>
          <w:sz w:val="22"/>
          <w:szCs w:val="22"/>
          <w:color w:val="auto"/>
        </w:rPr>
      </w:pPr>
    </w:p>
    <w:p>
      <w:pPr>
        <w:ind w:left="660" w:right="460" w:hanging="328"/>
        <w:spacing w:after="0" w:line="239" w:lineRule="auto"/>
        <w:tabs>
          <w:tab w:leader="none" w:pos="655"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other factors and uncertainties inherent in the transportation, storage, terminalling and marketing of crude oil, as well as in the processing, transportation, fractionation, storage and marketing of NGL as discussed in the Partnerships’ filings with the Securities and Exchange Commission.</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Plains:</w:t>
      </w:r>
    </w:p>
    <w:p>
      <w:pPr>
        <w:spacing w:after="0" w:line="3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PAA is a publicly traded master limited partnership that owns and operates midstream energy infrastructure and provides logistics services for crude oil and natural gas liquids (“NGL”). PAA owns an extensive network of pipeline gathering and transportation systems, in addition to terminalling, storage, processing, fractionation and other infrastructure assets serving key producing basins, transportation corridors and major market hubs and export outlets in the United States and Canada. On average, PAA handles more than 7 million barrels per day of crude oil and NGL.</w:t>
      </w:r>
    </w:p>
    <w:p>
      <w:pPr>
        <w:spacing w:after="0" w:line="20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PAGP is a publicly traded entity that owns an indirect, non-economic controlling general partner interest in PAA and an indirect limited partner interest in PAA, one of the largest energy infrastructure and logistics companies in North America.</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PAA and PAGP are headquartered in Houston, Texas. For more information, please visit www.plains.com.</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Contacts</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Blake Fernandez</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(866) 809-1291</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Gladstein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Director, Investor Relations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(866) 809-1291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71151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47"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sectPr>
      <w:pgSz w:w="11900" w:h="16838" w:orient="portrait"/>
      <w:cols w:equalWidth="0" w:num="1">
        <w:col w:w="11040"/>
      </w:cols>
      <w:pgMar w:left="320" w:top="36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04"/>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lvl w:ilvl="1">
      <w:lvlJc w:val="left"/>
      <w:lvlText w:val="-"/>
      <w:numFmt w:val="bullet"/>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lvl w:ilvl="1">
      <w:lvlJc w:val="left"/>
      <w:lvlText w:val="-"/>
      <w:numFmt w:val="bullet"/>
      <w:start w:val="1"/>
    </w:lvl>
  </w:abstractNum>
  <w:abstractNum w:abstractNumId="12">
    <w:nsid w:val="519B500D"/>
    <w:multiLevelType w:val="hybridMultilevel"/>
    <w:lvl w:ilvl="0">
      <w:lvlJc w:val="left"/>
      <w:lvlText w:val="(%1)"/>
      <w:numFmt w:val="decimal"/>
      <w:start w:val="1"/>
    </w:lvl>
    <w:lvl w:ilvl="1">
      <w:lvlJc w:val="left"/>
      <w:lvlText w:val="-"/>
      <w:numFmt w:val="bullet"/>
      <w:start w:val="1"/>
    </w:lvl>
  </w:abstractNum>
  <w:abstractNum w:abstractNumId="13">
    <w:nsid w:val="431BD7B7"/>
    <w:multiLevelType w:val="hybridMultilevel"/>
    <w:lvl w:ilvl="0">
      <w:lvlJc w:val="left"/>
      <w:lvlText w:val="(%1)"/>
      <w:numFmt w:val="decimal"/>
      <w:start w:val="3"/>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4"/>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
      <w:numFmt w:val="bullet"/>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2023-05-05T07:12:48Z</dcterms:created>
  <dcterms:modified xsi:type="dcterms:W3CDTF">2023-05-05T07:12:48Z</dcterms:modified>
</cp:coreProperties>
</file>