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gif" ContentType="image/gif"/>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09-12438_18k.htm"/>
      <w:bookmarkStart w:id="1" w:name="ksa0912438_18k"/>
      <w:bookmarkEnd w:id="0"/>
      <w:bookmarkEnd w:id="1"/>
      <w:r>
        <w:rPr>
          <w:bdr w:val="single" w:sz="24"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 SECURITIES AND EXCHANGE</w:t>
        <w:br/>
        <w:t>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w:t>
      </w:r>
    </w:p>
    <w:p>
      <w:pPr>
        <w:pStyle w:val="TextBody"/>
        <w:spacing w:before="0" w:after="0"/>
        <w:ind w:left="0" w:right="0" w:hanging="0"/>
        <w:jc w:val="center"/>
        <w:rPr>
          <w:rFonts w:ascii="Times New Roman" w:hAnsi="Times New Roman"/>
          <w:b/>
          <w:sz w:val="20"/>
        </w:rPr>
      </w:pPr>
      <w:r>
        <w:rPr>
          <w:rFonts w:ascii="Times New Roman" w:hAnsi="Times New Roman"/>
          <w:b/>
          <w:sz w:val="20"/>
        </w:rPr>
        <w:t>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Date of Report (Date of earliest event reported)May 6, 2009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2"/>
        <w:gridCol w:w="9793"/>
      </w:tblGrid>
      <w:tr>
        <w:trPr/>
        <w:tc>
          <w:tcPr>
            <w:tcW w:w="412" w:type="dxa"/>
            <w:tcBorders/>
            <w:shd w:fill="auto" w:val="clear"/>
          </w:tcPr>
          <w:p>
            <w:pPr>
              <w:pStyle w:val="TableContents"/>
              <w:spacing w:before="0" w:after="0"/>
              <w:ind w:left="0" w:right="0" w:hanging="0"/>
              <w:rPr>
                <w:rFonts w:ascii="Wingdings" w:hAnsi="Wingdings"/>
                <w:sz w:val="17"/>
              </w:rPr>
            </w:pPr>
            <w:r>
              <w:rPr>
                <w:rFonts w:ascii="Wingdings" w:hAnsi="Wingdings"/>
                <w:sz w:val="17"/>
              </w:rPr>
              <w:t>o</w:t>
            </w:r>
          </w:p>
        </w:tc>
        <w:tc>
          <w:tcPr>
            <w:tcW w:w="97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Written communications pursuant to Rule 425 under the Securities Act (17 CFR 230.425)</w:t>
            </w:r>
          </w:p>
        </w:tc>
      </w:tr>
      <w:tr>
        <w:trPr/>
        <w:tc>
          <w:tcPr>
            <w:tcW w:w="412" w:type="dxa"/>
            <w:tcBorders/>
            <w:shd w:fill="auto" w:val="clear"/>
          </w:tcPr>
          <w:p>
            <w:pPr>
              <w:pStyle w:val="TableContents"/>
              <w:spacing w:before="0" w:after="0"/>
              <w:ind w:left="0" w:right="0" w:hanging="0"/>
              <w:rPr/>
            </w:pPr>
            <w:r>
              <w:rPr/>
              <w:t> </w:t>
            </w:r>
          </w:p>
        </w:tc>
        <w:tc>
          <w:tcPr>
            <w:tcW w:w="9793" w:type="dxa"/>
            <w:tcBorders/>
            <w:shd w:fill="auto" w:val="clear"/>
          </w:tcPr>
          <w:p>
            <w:pPr>
              <w:pStyle w:val="TableContents"/>
              <w:spacing w:before="0" w:after="0"/>
              <w:ind w:left="0" w:right="0" w:hanging="0"/>
              <w:rPr/>
            </w:pPr>
            <w:r>
              <w:rPr/>
              <w:t> </w:t>
            </w:r>
          </w:p>
        </w:tc>
      </w:tr>
      <w:tr>
        <w:trPr/>
        <w:tc>
          <w:tcPr>
            <w:tcW w:w="412" w:type="dxa"/>
            <w:tcBorders/>
            <w:shd w:fill="auto" w:val="clear"/>
          </w:tcPr>
          <w:p>
            <w:pPr>
              <w:pStyle w:val="TableContents"/>
              <w:spacing w:before="0" w:after="0"/>
              <w:ind w:left="0" w:right="0" w:hanging="0"/>
              <w:rPr>
                <w:rFonts w:ascii="Wingdings" w:hAnsi="Wingdings"/>
                <w:sz w:val="17"/>
              </w:rPr>
            </w:pPr>
            <w:r>
              <w:rPr>
                <w:rFonts w:ascii="Wingdings" w:hAnsi="Wingdings"/>
                <w:sz w:val="17"/>
              </w:rPr>
              <w:t>o</w:t>
            </w:r>
          </w:p>
        </w:tc>
        <w:tc>
          <w:tcPr>
            <w:tcW w:w="97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Soliciting material pursuant to Rule 14a-12 under the Exchange Act (17 CFR 240.14a-12)</w:t>
            </w:r>
          </w:p>
        </w:tc>
      </w:tr>
      <w:tr>
        <w:trPr/>
        <w:tc>
          <w:tcPr>
            <w:tcW w:w="412" w:type="dxa"/>
            <w:tcBorders/>
            <w:shd w:fill="auto" w:val="clear"/>
          </w:tcPr>
          <w:p>
            <w:pPr>
              <w:pStyle w:val="TableContents"/>
              <w:spacing w:before="0" w:after="0"/>
              <w:ind w:left="0" w:right="0" w:hanging="0"/>
              <w:rPr/>
            </w:pPr>
            <w:r>
              <w:rPr/>
              <w:t> </w:t>
            </w:r>
          </w:p>
        </w:tc>
        <w:tc>
          <w:tcPr>
            <w:tcW w:w="9793" w:type="dxa"/>
            <w:tcBorders/>
            <w:shd w:fill="auto" w:val="clear"/>
          </w:tcPr>
          <w:p>
            <w:pPr>
              <w:pStyle w:val="TableContents"/>
              <w:spacing w:before="0" w:after="0"/>
              <w:ind w:left="0" w:right="0" w:hanging="0"/>
              <w:rPr/>
            </w:pPr>
            <w:r>
              <w:rPr/>
              <w:t> </w:t>
            </w:r>
          </w:p>
        </w:tc>
      </w:tr>
      <w:tr>
        <w:trPr/>
        <w:tc>
          <w:tcPr>
            <w:tcW w:w="412" w:type="dxa"/>
            <w:tcBorders/>
            <w:shd w:fill="auto" w:val="clear"/>
          </w:tcPr>
          <w:p>
            <w:pPr>
              <w:pStyle w:val="TableContents"/>
              <w:spacing w:before="0" w:after="0"/>
              <w:ind w:left="0" w:right="0" w:hanging="0"/>
              <w:rPr>
                <w:rFonts w:ascii="Wingdings" w:hAnsi="Wingdings"/>
                <w:sz w:val="17"/>
              </w:rPr>
            </w:pPr>
            <w:r>
              <w:rPr>
                <w:rFonts w:ascii="Wingdings" w:hAnsi="Wingdings"/>
                <w:sz w:val="17"/>
              </w:rPr>
              <w:t>o</w:t>
            </w:r>
          </w:p>
        </w:tc>
        <w:tc>
          <w:tcPr>
            <w:tcW w:w="97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Pre-commencement communications pursuant to Rule 14d-2(b) under the Exchange Act (17 CFR 240.14d-2(b))</w:t>
            </w:r>
          </w:p>
        </w:tc>
      </w:tr>
      <w:tr>
        <w:trPr/>
        <w:tc>
          <w:tcPr>
            <w:tcW w:w="412" w:type="dxa"/>
            <w:tcBorders/>
            <w:shd w:fill="auto" w:val="clear"/>
          </w:tcPr>
          <w:p>
            <w:pPr>
              <w:pStyle w:val="TableContents"/>
              <w:spacing w:before="0" w:after="0"/>
              <w:ind w:left="0" w:right="0" w:hanging="0"/>
              <w:rPr/>
            </w:pPr>
            <w:r>
              <w:rPr/>
              <w:t> </w:t>
            </w:r>
          </w:p>
        </w:tc>
        <w:tc>
          <w:tcPr>
            <w:tcW w:w="9793" w:type="dxa"/>
            <w:tcBorders/>
            <w:shd w:fill="auto" w:val="clear"/>
          </w:tcPr>
          <w:p>
            <w:pPr>
              <w:pStyle w:val="TableContents"/>
              <w:spacing w:before="0" w:after="0"/>
              <w:ind w:left="0" w:right="0" w:hanging="0"/>
              <w:rPr/>
            </w:pPr>
            <w:r>
              <w:rPr/>
              <w:t> </w:t>
            </w:r>
          </w:p>
        </w:tc>
      </w:tr>
      <w:tr>
        <w:trPr/>
        <w:tc>
          <w:tcPr>
            <w:tcW w:w="412" w:type="dxa"/>
            <w:tcBorders/>
            <w:shd w:fill="auto" w:val="clear"/>
          </w:tcPr>
          <w:p>
            <w:pPr>
              <w:pStyle w:val="TableContents"/>
              <w:spacing w:before="0" w:after="0"/>
              <w:ind w:left="0" w:right="0" w:hanging="0"/>
              <w:rPr>
                <w:rFonts w:ascii="Wingdings" w:hAnsi="Wingdings"/>
                <w:sz w:val="17"/>
              </w:rPr>
            </w:pPr>
            <w:r>
              <w:rPr>
                <w:rFonts w:ascii="Wingdings" w:hAnsi="Wingdings"/>
                <w:sz w:val="17"/>
              </w:rPr>
              <w:t>o</w:t>
            </w:r>
          </w:p>
        </w:tc>
        <w:tc>
          <w:tcPr>
            <w:tcW w:w="97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Pre-commencement communications pursuant to Rule 13e-4(c) under the Exchange Act (17 CFR 240.13e-4(c))</w:t>
            </w:r>
          </w:p>
        </w:tc>
      </w:tr>
    </w:tbl>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9.01. 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Exhibit 99.1  Press Release dated May 6, 2009.</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2.02 and Item 7.01.  Results of Operations and Financial Condition; 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(the Partnership) today issued a press release reporting its first-quarter 2009 results.  We are furnishing the press release, attached as Exhibit 99.1, pursuant to Item 2.02 and Item 7.01 of Form 8-K.  Pursuant to Item 7.01 we are providing detailed guidance for financial performance for the second quarter and second half of calendar 2009.  In accordance with General Instruction B.2. of Form 8-K, the information presented herein under this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Disclosure of Second Quarter and Second Half 2009 Guidance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EBIT and EBITDA (each as defined below in Note 1 to the Operating and Financial Guidance table) are non-GAAP financial measures. Net income and cash flows from operating activities are the most directly comparable GAAP measures to EBIT and EBITDA. In Note 10 below, we reconcile EBITDA and EBIT to net income for the 2009 guidance periods presented. It is, however, impractical to reconcile EBIT and EBITDA to cash flows from operating activities for a forecasted period. We encourage you to visit our website at </w:t>
      </w:r>
      <w:r>
        <w:rPr>
          <w:rFonts w:ascii="Times New Roman" w:hAnsi="Times New Roman"/>
          <w:i/>
          <w:sz w:val="17"/>
        </w:rPr>
        <w:t>www.paalp.com</w:t>
      </w:r>
      <w:r>
        <w:rPr>
          <w:rFonts w:ascii="Times New Roman" w:hAnsi="Times New Roman"/>
          <w:sz w:val="17"/>
        </w:rPr>
        <w:t xml:space="preserve"> (in particular the section entitled Non-GAAP Reconciliation), which presents a historical reconciliation of certain commonly used non-GAAP financial measures, including EBIT and EBITDA. We present EBIT and EBITDA because we believe they provide additional information with respect to both the performance of our fundamental business activities and our ability to meet our future debt service, capital expenditures and working capital requirements. We also believe that debt holders commonly use EBITDA to analyze partnership performance. In addition, we have highlighted the impact of our equity compensation plans, inventory valuation adjustments net of gains and losses from related derivative activities, gains and losses from other derivative activities, and foreign currency revaluations on Segment Profit, EBITDA, Net Income and Net Income per Basic and Diluted Limited Partner Unit.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guidance for the three-month period ending June 30, 2009 and the six and twelve-month periods ending December 31, 2009 is based on assumptions and estimates that we believe are reasonable given our assessment of historical trends (modified for changes in market conditions), business cycles and other reasonably available information. Projections covering multi-quarter periods contemplate inter-period changes in future performance resulting from new expansion projects, seasonal operational changes (such as LPG sales) and acquisition synergies. Our assumptions and future performance, however, are both subject to a wide range of business risks and uncertainties, so no assurance can be provided that actual performance will fall within the guidance ranges. Please refer to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May 5, 2009. We undertake no obligation to publicly update or revise any forward-looking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Operating and Financial Guidance</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648"/>
        <w:gridCol w:w="227"/>
        <w:gridCol w:w="116"/>
        <w:gridCol w:w="576"/>
        <w:gridCol w:w="227"/>
        <w:gridCol w:w="115"/>
        <w:gridCol w:w="575"/>
        <w:gridCol w:w="227"/>
        <w:gridCol w:w="115"/>
        <w:gridCol w:w="574"/>
        <w:gridCol w:w="227"/>
        <w:gridCol w:w="115"/>
        <w:gridCol w:w="575"/>
        <w:gridCol w:w="227"/>
        <w:gridCol w:w="115"/>
        <w:gridCol w:w="575"/>
        <w:gridCol w:w="227"/>
        <w:gridCol w:w="115"/>
        <w:gridCol w:w="578"/>
        <w:gridCol w:w="226"/>
        <w:gridCol w:w="115"/>
        <w:gridCol w:w="578"/>
        <w:gridCol w:w="132"/>
      </w:tblGrid>
      <w:tr>
        <w:trPr/>
        <w:tc>
          <w:tcPr>
            <w:tcW w:w="3648" w:type="dxa"/>
            <w:tcBorders/>
            <w:shd w:fill="auto" w:val="clear"/>
            <w:vAlign w:val="bottom"/>
          </w:tcPr>
          <w:p>
            <w:pPr>
              <w:pStyle w:val="TableContents"/>
              <w:spacing w:before="0" w:after="0"/>
              <w:ind w:left="0" w:right="0" w:hanging="0"/>
              <w:rPr/>
            </w:pPr>
            <w:r>
              <w:rPr/>
              <w:t> </w:t>
            </w:r>
          </w:p>
        </w:tc>
        <w:tc>
          <w:tcPr>
            <w:tcW w:w="227" w:type="dxa"/>
            <w:tcBorders/>
            <w:shd w:fill="auto" w:val="clear"/>
            <w:vAlign w:val="bottom"/>
          </w:tcPr>
          <w:p>
            <w:pPr>
              <w:pStyle w:val="TableContents"/>
              <w:spacing w:before="0" w:after="0"/>
              <w:ind w:left="0" w:right="0" w:hanging="0"/>
              <w:jc w:val="center"/>
              <w:rPr/>
            </w:pPr>
            <w:r>
              <w:rPr/>
              <w:t> </w:t>
            </w:r>
          </w:p>
        </w:tc>
        <w:tc>
          <w:tcPr>
            <w:tcW w:w="69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227" w:type="dxa"/>
            <w:tcBorders/>
            <w:shd w:fill="auto" w:val="clear"/>
            <w:vAlign w:val="bottom"/>
          </w:tcPr>
          <w:p>
            <w:pPr>
              <w:pStyle w:val="TableContents"/>
              <w:spacing w:before="0" w:after="0"/>
              <w:ind w:left="0" w:right="0" w:hanging="0"/>
              <w:jc w:val="center"/>
              <w:rPr/>
            </w:pPr>
            <w:r>
              <w:rPr/>
              <w:t> </w:t>
            </w:r>
          </w:p>
        </w:tc>
        <w:tc>
          <w:tcPr>
            <w:tcW w:w="5279" w:type="dxa"/>
            <w:gridSpan w:val="17"/>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Guidance </w:t>
            </w:r>
            <w:r>
              <w:rPr>
                <w:b/>
                <w:sz w:val="11"/>
              </w:rPr>
              <w:t>(</w:t>
            </w:r>
            <w:r>
              <w:rPr>
                <w:rFonts w:ascii="Times New Roman" w:hAnsi="Times New Roman"/>
                <w:b/>
                <w:sz w:val="11"/>
              </w:rPr>
              <w:t>1)</w:t>
            </w:r>
          </w:p>
        </w:tc>
        <w:tc>
          <w:tcPr>
            <w:tcW w:w="132" w:type="dxa"/>
            <w:tcBorders/>
            <w:shd w:fill="auto" w:val="clear"/>
            <w:vAlign w:val="bottom"/>
          </w:tcPr>
          <w:p>
            <w:pPr>
              <w:pStyle w:val="TableContents"/>
              <w:spacing w:before="0" w:after="0"/>
              <w:ind w:left="0" w:right="0" w:hanging="0"/>
              <w:jc w:val="center"/>
              <w:rPr/>
            </w:pPr>
            <w:r>
              <w:rPr/>
              <w:t> </w:t>
            </w:r>
          </w:p>
        </w:tc>
      </w:tr>
      <w:tr>
        <w:trPr/>
        <w:tc>
          <w:tcPr>
            <w:tcW w:w="3648" w:type="dxa"/>
            <w:tcBorders/>
            <w:shd w:fill="auto" w:val="clear"/>
            <w:vAlign w:val="bottom"/>
          </w:tcPr>
          <w:p>
            <w:pPr>
              <w:pStyle w:val="TableContents"/>
              <w:spacing w:before="0" w:after="0"/>
              <w:ind w:left="0" w:right="0" w:hanging="0"/>
              <w:rPr/>
            </w:pPr>
            <w:r>
              <w:rPr/>
              <w:t> </w:t>
            </w:r>
          </w:p>
        </w:tc>
        <w:tc>
          <w:tcPr>
            <w:tcW w:w="227" w:type="dxa"/>
            <w:tcBorders/>
            <w:shd w:fill="auto" w:val="clear"/>
            <w:vAlign w:val="bottom"/>
          </w:tcPr>
          <w:p>
            <w:pPr>
              <w:pStyle w:val="TableContents"/>
              <w:spacing w:before="0" w:after="0"/>
              <w:ind w:left="0" w:right="0" w:hanging="0"/>
              <w:jc w:val="center"/>
              <w:rPr/>
            </w:pPr>
            <w:r>
              <w:rPr/>
              <w:t> </w:t>
            </w:r>
          </w:p>
        </w:tc>
        <w:tc>
          <w:tcPr>
            <w:tcW w:w="69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w:t>
            </w:r>
          </w:p>
        </w:tc>
        <w:tc>
          <w:tcPr>
            <w:tcW w:w="227" w:type="dxa"/>
            <w:tcBorders/>
            <w:shd w:fill="auto" w:val="clear"/>
            <w:vAlign w:val="bottom"/>
          </w:tcPr>
          <w:p>
            <w:pPr>
              <w:pStyle w:val="TableContents"/>
              <w:spacing w:before="0" w:after="0"/>
              <w:ind w:left="0" w:right="0" w:hanging="0"/>
              <w:jc w:val="center"/>
              <w:rPr/>
            </w:pPr>
            <w:r>
              <w:rPr/>
              <w:t> </w:t>
            </w:r>
          </w:p>
        </w:tc>
        <w:tc>
          <w:tcPr>
            <w:tcW w:w="160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227" w:type="dxa"/>
            <w:tcBorders/>
            <w:shd w:fill="auto" w:val="clear"/>
            <w:vAlign w:val="bottom"/>
          </w:tcPr>
          <w:p>
            <w:pPr>
              <w:pStyle w:val="TableContents"/>
              <w:spacing w:before="0" w:after="0"/>
              <w:ind w:left="0" w:right="0" w:hanging="0"/>
              <w:jc w:val="center"/>
              <w:rPr/>
            </w:pPr>
            <w:r>
              <w:rPr/>
              <w:t> </w:t>
            </w:r>
          </w:p>
        </w:tc>
        <w:tc>
          <w:tcPr>
            <w:tcW w:w="160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6 Months Ending</w:t>
            </w:r>
          </w:p>
        </w:tc>
        <w:tc>
          <w:tcPr>
            <w:tcW w:w="227" w:type="dxa"/>
            <w:tcBorders/>
            <w:shd w:fill="auto" w:val="clear"/>
            <w:vAlign w:val="bottom"/>
          </w:tcPr>
          <w:p>
            <w:pPr>
              <w:pStyle w:val="TableContents"/>
              <w:spacing w:before="0" w:after="0"/>
              <w:ind w:left="0" w:right="0" w:hanging="0"/>
              <w:jc w:val="center"/>
              <w:rPr/>
            </w:pPr>
            <w:r>
              <w:rPr/>
              <w:t> </w:t>
            </w:r>
          </w:p>
        </w:tc>
        <w:tc>
          <w:tcPr>
            <w:tcW w:w="161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32" w:type="dxa"/>
            <w:tcBorders/>
            <w:shd w:fill="auto" w:val="clear"/>
            <w:vAlign w:val="bottom"/>
          </w:tcPr>
          <w:p>
            <w:pPr>
              <w:pStyle w:val="TableContents"/>
              <w:spacing w:before="0" w:after="0"/>
              <w:ind w:left="0" w:right="0" w:hanging="0"/>
              <w:jc w:val="center"/>
              <w:rPr/>
            </w:pPr>
            <w:r>
              <w:rPr/>
              <w:t> </w:t>
            </w:r>
          </w:p>
        </w:tc>
      </w:tr>
      <w:tr>
        <w:trPr/>
        <w:tc>
          <w:tcPr>
            <w:tcW w:w="3648" w:type="dxa"/>
            <w:tcBorders/>
            <w:shd w:fill="auto" w:val="clear"/>
            <w:vAlign w:val="bottom"/>
          </w:tcPr>
          <w:p>
            <w:pPr>
              <w:pStyle w:val="TableContents"/>
              <w:spacing w:before="0" w:after="0"/>
              <w:ind w:left="0" w:right="0" w:hanging="0"/>
              <w:rPr/>
            </w:pPr>
            <w:r>
              <w:rPr/>
              <w:t> </w:t>
            </w:r>
          </w:p>
        </w:tc>
        <w:tc>
          <w:tcPr>
            <w:tcW w:w="227" w:type="dxa"/>
            <w:tcBorders/>
            <w:shd w:fill="auto" w:val="clear"/>
            <w:vAlign w:val="bottom"/>
          </w:tcPr>
          <w:p>
            <w:pPr>
              <w:pStyle w:val="TableContents"/>
              <w:spacing w:before="0" w:after="0"/>
              <w:ind w:left="0" w:right="0" w:hanging="0"/>
              <w:jc w:val="center"/>
              <w:rPr/>
            </w:pPr>
            <w:r>
              <w:rPr/>
              <w:t> </w:t>
            </w:r>
          </w:p>
        </w:tc>
        <w:tc>
          <w:tcPr>
            <w:tcW w:w="69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227" w:type="dxa"/>
            <w:tcBorders/>
            <w:shd w:fill="auto" w:val="clear"/>
            <w:vAlign w:val="bottom"/>
          </w:tcPr>
          <w:p>
            <w:pPr>
              <w:pStyle w:val="TableContents"/>
              <w:spacing w:before="0" w:after="0"/>
              <w:ind w:left="0" w:right="0" w:hanging="0"/>
              <w:jc w:val="center"/>
              <w:rPr/>
            </w:pPr>
            <w:r>
              <w:rPr/>
              <w:t> </w:t>
            </w:r>
          </w:p>
        </w:tc>
        <w:tc>
          <w:tcPr>
            <w:tcW w:w="160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2009</w:t>
            </w:r>
          </w:p>
        </w:tc>
        <w:tc>
          <w:tcPr>
            <w:tcW w:w="227" w:type="dxa"/>
            <w:tcBorders/>
            <w:shd w:fill="auto" w:val="clear"/>
            <w:vAlign w:val="bottom"/>
          </w:tcPr>
          <w:p>
            <w:pPr>
              <w:pStyle w:val="TableContents"/>
              <w:spacing w:before="0" w:after="0"/>
              <w:ind w:left="0" w:right="0" w:hanging="0"/>
              <w:jc w:val="center"/>
              <w:rPr/>
            </w:pPr>
            <w:r>
              <w:rPr/>
              <w:t> </w:t>
            </w:r>
          </w:p>
        </w:tc>
        <w:tc>
          <w:tcPr>
            <w:tcW w:w="160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2009</w:t>
            </w:r>
          </w:p>
        </w:tc>
        <w:tc>
          <w:tcPr>
            <w:tcW w:w="227" w:type="dxa"/>
            <w:tcBorders/>
            <w:shd w:fill="auto" w:val="clear"/>
            <w:vAlign w:val="bottom"/>
          </w:tcPr>
          <w:p>
            <w:pPr>
              <w:pStyle w:val="TableContents"/>
              <w:spacing w:before="0" w:after="0"/>
              <w:ind w:left="0" w:right="0" w:hanging="0"/>
              <w:jc w:val="center"/>
              <w:rPr/>
            </w:pPr>
            <w:r>
              <w:rPr/>
              <w:t> </w:t>
            </w:r>
          </w:p>
        </w:tc>
        <w:tc>
          <w:tcPr>
            <w:tcW w:w="161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2009</w:t>
            </w:r>
          </w:p>
        </w:tc>
        <w:tc>
          <w:tcPr>
            <w:tcW w:w="132" w:type="dxa"/>
            <w:tcBorders/>
            <w:shd w:fill="auto" w:val="clear"/>
            <w:vAlign w:val="bottom"/>
          </w:tcPr>
          <w:p>
            <w:pPr>
              <w:pStyle w:val="TableContents"/>
              <w:spacing w:before="0" w:after="0"/>
              <w:ind w:left="0" w:right="0" w:hanging="0"/>
              <w:jc w:val="center"/>
              <w:rPr/>
            </w:pPr>
            <w:r>
              <w:rPr/>
              <w:t> </w:t>
            </w:r>
          </w:p>
        </w:tc>
      </w:tr>
      <w:tr>
        <w:trPr/>
        <w:tc>
          <w:tcPr>
            <w:tcW w:w="3648" w:type="dxa"/>
            <w:tcBorders/>
            <w:shd w:fill="auto" w:val="clear"/>
            <w:vAlign w:val="bottom"/>
          </w:tcPr>
          <w:p>
            <w:pPr>
              <w:pStyle w:val="TableContents"/>
              <w:spacing w:before="0" w:after="0"/>
              <w:ind w:left="0" w:right="0" w:hanging="0"/>
              <w:rPr/>
            </w:pPr>
            <w:r>
              <w:rPr/>
              <w:t> </w:t>
            </w:r>
          </w:p>
        </w:tc>
        <w:tc>
          <w:tcPr>
            <w:tcW w:w="227" w:type="dxa"/>
            <w:tcBorders/>
            <w:shd w:fill="auto" w:val="clear"/>
            <w:vAlign w:val="bottom"/>
          </w:tcPr>
          <w:p>
            <w:pPr>
              <w:pStyle w:val="TableContents"/>
              <w:spacing w:before="0" w:after="0"/>
              <w:ind w:left="0" w:right="0" w:hanging="0"/>
              <w:jc w:val="center"/>
              <w:rPr/>
            </w:pPr>
            <w:r>
              <w:rPr/>
              <w:t> </w:t>
            </w:r>
          </w:p>
        </w:tc>
        <w:tc>
          <w:tcPr>
            <w:tcW w:w="69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3/31/2009</w:t>
            </w:r>
          </w:p>
        </w:tc>
        <w:tc>
          <w:tcPr>
            <w:tcW w:w="227" w:type="dxa"/>
            <w:tcBorders/>
            <w:shd w:fill="auto" w:val="clear"/>
            <w:vAlign w:val="bottom"/>
          </w:tcPr>
          <w:p>
            <w:pPr>
              <w:pStyle w:val="TableContents"/>
              <w:spacing w:before="0" w:after="0"/>
              <w:ind w:left="0" w:right="0" w:hanging="0"/>
              <w:jc w:val="center"/>
              <w:rPr/>
            </w:pPr>
            <w:r>
              <w:rPr/>
              <w:t> </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27" w:type="dxa"/>
            <w:tcBorders/>
            <w:shd w:fill="auto" w:val="clear"/>
            <w:vAlign w:val="bottom"/>
          </w:tcPr>
          <w:p>
            <w:pPr>
              <w:pStyle w:val="TableContents"/>
              <w:spacing w:before="0" w:after="0"/>
              <w:ind w:left="0" w:right="0" w:hanging="0"/>
              <w:jc w:val="center"/>
              <w:rPr/>
            </w:pPr>
            <w:r>
              <w:rPr/>
              <w:t> </w:t>
            </w:r>
          </w:p>
        </w:tc>
        <w:tc>
          <w:tcPr>
            <w:tcW w:w="68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227" w:type="dxa"/>
            <w:tcBorders/>
            <w:shd w:fill="auto" w:val="clear"/>
            <w:vAlign w:val="bottom"/>
          </w:tcPr>
          <w:p>
            <w:pPr>
              <w:pStyle w:val="TableContents"/>
              <w:spacing w:before="0" w:after="0"/>
              <w:ind w:left="0" w:right="0" w:hanging="0"/>
              <w:jc w:val="center"/>
              <w:rPr/>
            </w:pPr>
            <w:r>
              <w:rPr/>
              <w:t> </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27" w:type="dxa"/>
            <w:tcBorders/>
            <w:shd w:fill="auto" w:val="clear"/>
            <w:vAlign w:val="bottom"/>
          </w:tcPr>
          <w:p>
            <w:pPr>
              <w:pStyle w:val="TableContents"/>
              <w:spacing w:before="0" w:after="0"/>
              <w:ind w:left="0" w:right="0" w:hanging="0"/>
              <w:jc w:val="center"/>
              <w:rPr/>
            </w:pPr>
            <w:r>
              <w:rPr/>
              <w:t> </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227" w:type="dxa"/>
            <w:tcBorders/>
            <w:shd w:fill="auto" w:val="clear"/>
            <w:vAlign w:val="bottom"/>
          </w:tcPr>
          <w:p>
            <w:pPr>
              <w:pStyle w:val="TableContents"/>
              <w:spacing w:before="0" w:after="0"/>
              <w:ind w:left="0" w:right="0" w:hanging="0"/>
              <w:jc w:val="center"/>
              <w:rPr/>
            </w:pPr>
            <w:r>
              <w:rPr/>
              <w:t> </w:t>
            </w:r>
          </w:p>
        </w:tc>
        <w:tc>
          <w:tcPr>
            <w:tcW w:w="69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26" w:type="dxa"/>
            <w:tcBorders/>
            <w:shd w:fill="auto" w:val="clear"/>
            <w:vAlign w:val="bottom"/>
          </w:tcPr>
          <w:p>
            <w:pPr>
              <w:pStyle w:val="TableContents"/>
              <w:spacing w:before="0" w:after="0"/>
              <w:ind w:left="0" w:right="0" w:hanging="0"/>
              <w:jc w:val="center"/>
              <w:rPr/>
            </w:pPr>
            <w:r>
              <w:rPr/>
              <w:t> </w:t>
            </w:r>
          </w:p>
        </w:tc>
        <w:tc>
          <w:tcPr>
            <w:tcW w:w="69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32" w:type="dxa"/>
            <w:tcBorders/>
            <w:shd w:fill="auto" w:val="clear"/>
            <w:vAlign w:val="bottom"/>
          </w:tcPr>
          <w:p>
            <w:pPr>
              <w:pStyle w:val="TableContents"/>
              <w:spacing w:before="0" w:after="0"/>
              <w:ind w:left="0" w:right="0" w:hanging="0"/>
              <w:jc w:val="center"/>
              <w:rPr/>
            </w:pPr>
            <w:r>
              <w:rPr/>
              <w:t> </w:t>
            </w:r>
          </w:p>
        </w:tc>
      </w:tr>
      <w:tr>
        <w:trPr/>
        <w:tc>
          <w:tcPr>
            <w:tcW w:w="3648"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Segment Profit</w:t>
            </w:r>
          </w:p>
        </w:tc>
        <w:tc>
          <w:tcPr>
            <w:tcW w:w="227" w:type="dxa"/>
            <w:tcBorders/>
            <w:shd w:fill="CCEEFF" w:val="clear"/>
            <w:vAlign w:val="bottom"/>
          </w:tcPr>
          <w:p>
            <w:pPr>
              <w:pStyle w:val="TableContents"/>
              <w:spacing w:before="0" w:after="0"/>
              <w:ind w:left="0" w:right="0" w:hanging="0"/>
              <w:rPr/>
            </w:pPr>
            <w:r>
              <w:rPr/>
              <w:t> </w:t>
            </w:r>
          </w:p>
        </w:tc>
        <w:tc>
          <w:tcPr>
            <w:tcW w:w="692"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689"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693"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693"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3648" w:type="dxa"/>
            <w:tcBorders/>
            <w:shd w:fill="auto" w:val="clear"/>
            <w:vAlign w:val="bottom"/>
          </w:tcPr>
          <w:p>
            <w:pPr>
              <w:pStyle w:val="TableContents"/>
              <w:spacing w:before="0" w:after="0"/>
              <w:ind w:left="0" w:right="0" w:hanging="0"/>
              <w:rPr/>
            </w:pPr>
            <w:r>
              <w:rPr>
                <w:rFonts w:ascii="Times New Roman" w:hAnsi="Times New Roman"/>
                <w:sz w:val="17"/>
              </w:rPr>
              <w:t>Net revenues (including equity earnings</w:t>
            </w:r>
            <w:r>
              <w:rPr/>
              <w:t xml:space="preserve"> </w:t>
            </w:r>
            <w:r>
              <w:rPr>
                <w:sz w:val="17"/>
              </w:rPr>
              <w:t>from unconsolidated entities)</w:t>
            </w:r>
          </w:p>
        </w:tc>
        <w:tc>
          <w:tcPr>
            <w:tcW w:w="227"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515</w:t>
            </w:r>
          </w:p>
        </w:tc>
        <w:tc>
          <w:tcPr>
            <w:tcW w:w="227"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425</w:t>
            </w:r>
          </w:p>
        </w:tc>
        <w:tc>
          <w:tcPr>
            <w:tcW w:w="227"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438</w:t>
            </w:r>
          </w:p>
        </w:tc>
        <w:tc>
          <w:tcPr>
            <w:tcW w:w="227"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873</w:t>
            </w:r>
          </w:p>
        </w:tc>
        <w:tc>
          <w:tcPr>
            <w:tcW w:w="227"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894</w:t>
            </w:r>
          </w:p>
        </w:tc>
        <w:tc>
          <w:tcPr>
            <w:tcW w:w="227"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1,813</w:t>
            </w:r>
          </w:p>
        </w:tc>
        <w:tc>
          <w:tcPr>
            <w:tcW w:w="226"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1,847</w:t>
            </w:r>
          </w:p>
        </w:tc>
        <w:tc>
          <w:tcPr>
            <w:tcW w:w="132" w:type="dxa"/>
            <w:tcBorders/>
            <w:shd w:fill="auto" w:val="clear"/>
            <w:vAlign w:val="bottom"/>
          </w:tcPr>
          <w:p>
            <w:pPr>
              <w:pStyle w:val="TableContents"/>
              <w:spacing w:before="0" w:after="0"/>
              <w:ind w:left="0" w:right="0" w:hanging="0"/>
              <w:rPr/>
            </w:pPr>
            <w:r>
              <w:rPr/>
              <w:t> </w:t>
            </w:r>
          </w:p>
        </w:tc>
      </w:tr>
      <w:tr>
        <w:trPr/>
        <w:tc>
          <w:tcPr>
            <w:tcW w:w="36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227" w:type="dxa"/>
            <w:tcBorders/>
            <w:shd w:fill="CCEEFF" w:val="clear"/>
            <w:vAlign w:val="bottom"/>
          </w:tcPr>
          <w:p>
            <w:pPr>
              <w:pStyle w:val="TableContents"/>
              <w:spacing w:before="0" w:after="0"/>
              <w:ind w:left="0" w:right="0" w:hanging="0"/>
              <w:rPr/>
            </w:pPr>
            <w:r>
              <w:rPr/>
              <w:t> </w:t>
            </w:r>
          </w:p>
        </w:tc>
        <w:tc>
          <w:tcPr>
            <w:tcW w:w="6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(652</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(642</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227" w:type="dxa"/>
            <w:tcBorders/>
            <w:shd w:fill="auto" w:val="clear"/>
            <w:vAlign w:val="bottom"/>
          </w:tcPr>
          <w:p>
            <w:pPr>
              <w:pStyle w:val="TableContents"/>
              <w:spacing w:before="0" w:after="0"/>
              <w:ind w:left="0" w:right="0" w:hanging="0"/>
              <w:rPr/>
            </w:pPr>
            <w:r>
              <w:rPr/>
              <w:t> </w:t>
            </w:r>
          </w:p>
        </w:tc>
        <w:tc>
          <w:tcPr>
            <w:tcW w:w="6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48" w:type="dxa"/>
            <w:tcBorders/>
            <w:shd w:fill="CCEEFF" w:val="clear"/>
            <w:vAlign w:val="bottom"/>
          </w:tcPr>
          <w:p>
            <w:pPr>
              <w:pStyle w:val="TableContents"/>
              <w:spacing w:before="0" w:after="0"/>
              <w:ind w:left="0" w:right="0" w:hanging="0"/>
              <w:rPr/>
            </w:pPr>
            <w:r>
              <w:rPr/>
              <w:t> </w:t>
            </w:r>
          </w:p>
        </w:tc>
        <w:tc>
          <w:tcPr>
            <w:tcW w:w="227" w:type="dxa"/>
            <w:tcBorders/>
            <w:shd w:fill="CCEEFF" w:val="clear"/>
            <w:vAlign w:val="bottom"/>
          </w:tcPr>
          <w:p>
            <w:pPr>
              <w:pStyle w:val="TableContents"/>
              <w:spacing w:before="0" w:after="0"/>
              <w:ind w:left="0" w:right="0" w:hanging="0"/>
              <w:rPr/>
            </w:pPr>
            <w:r>
              <w:rPr/>
              <w:t> </w:t>
            </w:r>
          </w:p>
        </w:tc>
        <w:tc>
          <w:tcPr>
            <w:tcW w:w="6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206</w:t>
            </w:r>
          </w:p>
        </w:tc>
        <w:tc>
          <w:tcPr>
            <w:tcW w:w="227" w:type="dxa"/>
            <w:tcBorders/>
            <w:shd w:fill="CCEEFF" w:val="clear"/>
            <w:vAlign w:val="bottom"/>
          </w:tcPr>
          <w:p>
            <w:pPr>
              <w:pStyle w:val="TableContents"/>
              <w:spacing w:before="0" w:after="0"/>
              <w:ind w:left="0" w:right="0" w:hanging="0"/>
              <w:rPr/>
            </w:pPr>
            <w:r>
              <w:rPr/>
              <w:t> </w:t>
            </w:r>
          </w:p>
        </w:tc>
        <w:tc>
          <w:tcPr>
            <w:tcW w:w="6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454</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484</w:t>
            </w:r>
          </w:p>
        </w:tc>
        <w:tc>
          <w:tcPr>
            <w:tcW w:w="227" w:type="dxa"/>
            <w:tcBorders/>
            <w:shd w:fill="CCEEFF" w:val="clear"/>
            <w:vAlign w:val="bottom"/>
          </w:tcPr>
          <w:p>
            <w:pPr>
              <w:pStyle w:val="TableContents"/>
              <w:spacing w:before="0" w:after="0"/>
              <w:ind w:left="0" w:right="0" w:hanging="0"/>
              <w:rPr/>
            </w:pPr>
            <w:r>
              <w:rPr/>
              <w:t> </w:t>
            </w:r>
          </w:p>
        </w:tc>
        <w:tc>
          <w:tcPr>
            <w:tcW w:w="6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977</w:t>
            </w:r>
          </w:p>
        </w:tc>
        <w:tc>
          <w:tcPr>
            <w:tcW w:w="226" w:type="dxa"/>
            <w:tcBorders/>
            <w:shd w:fill="CCEEFF" w:val="clear"/>
            <w:vAlign w:val="bottom"/>
          </w:tcPr>
          <w:p>
            <w:pPr>
              <w:pStyle w:val="TableContents"/>
              <w:spacing w:before="0" w:after="0"/>
              <w:ind w:left="0" w:right="0" w:hanging="0"/>
              <w:rPr/>
            </w:pPr>
            <w:r>
              <w:rPr/>
              <w:t> </w:t>
            </w:r>
          </w:p>
        </w:tc>
        <w:tc>
          <w:tcPr>
            <w:tcW w:w="6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1,026</w:t>
            </w:r>
          </w:p>
        </w:tc>
        <w:tc>
          <w:tcPr>
            <w:tcW w:w="132" w:type="dxa"/>
            <w:tcBorders/>
            <w:shd w:fill="CCEEFF" w:val="clear"/>
            <w:vAlign w:val="bottom"/>
          </w:tcPr>
          <w:p>
            <w:pPr>
              <w:pStyle w:val="TableContents"/>
              <w:spacing w:before="0" w:after="0"/>
              <w:ind w:left="0" w:right="0" w:hanging="0"/>
              <w:rPr/>
            </w:pPr>
            <w:r>
              <w:rPr/>
              <w:t> </w:t>
            </w:r>
          </w:p>
        </w:tc>
      </w:tr>
      <w:tr>
        <w:trPr/>
        <w:tc>
          <w:tcPr>
            <w:tcW w:w="36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 expense</w:t>
            </w:r>
          </w:p>
        </w:tc>
        <w:tc>
          <w:tcPr>
            <w:tcW w:w="227" w:type="dxa"/>
            <w:tcBorders/>
            <w:shd w:fill="auto" w:val="clear"/>
            <w:vAlign w:val="bottom"/>
          </w:tcPr>
          <w:p>
            <w:pPr>
              <w:pStyle w:val="TableContents"/>
              <w:spacing w:before="0" w:after="0"/>
              <w:ind w:left="0" w:right="0" w:hanging="0"/>
              <w:rPr/>
            </w:pPr>
            <w:r>
              <w:rPr/>
              <w:t> </w:t>
            </w:r>
          </w:p>
        </w:tc>
        <w:tc>
          <w:tcPr>
            <w:tcW w:w="6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(226</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w:t>
            </w:r>
          </w:p>
        </w:tc>
        <w:tc>
          <w:tcPr>
            <w:tcW w:w="227" w:type="dxa"/>
            <w:tcBorders/>
            <w:shd w:fill="CCEEFF" w:val="clear"/>
            <w:vAlign w:val="bottom"/>
          </w:tcPr>
          <w:p>
            <w:pPr>
              <w:pStyle w:val="TableContents"/>
              <w:spacing w:before="0" w:after="0"/>
              <w:ind w:left="0" w:right="0" w:hanging="0"/>
              <w:rPr/>
            </w:pPr>
            <w:r>
              <w:rPr/>
              <w:t> </w:t>
            </w:r>
          </w:p>
        </w:tc>
        <w:tc>
          <w:tcPr>
            <w:tcW w:w="6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(226</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227" w:type="dxa"/>
            <w:tcBorders/>
            <w:shd w:fill="auto" w:val="clear"/>
            <w:vAlign w:val="bottom"/>
          </w:tcPr>
          <w:p>
            <w:pPr>
              <w:pStyle w:val="TableContents"/>
              <w:spacing w:before="0" w:after="0"/>
              <w:ind w:left="0" w:right="0" w:hanging="0"/>
              <w:rPr/>
            </w:pPr>
            <w:r>
              <w:rPr/>
              <w:t> </w:t>
            </w:r>
          </w:p>
        </w:tc>
        <w:tc>
          <w:tcPr>
            <w:tcW w:w="6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(expense), net</w:t>
            </w:r>
          </w:p>
        </w:tc>
        <w:tc>
          <w:tcPr>
            <w:tcW w:w="227" w:type="dxa"/>
            <w:tcBorders/>
            <w:shd w:fill="CCEEFF" w:val="clear"/>
            <w:vAlign w:val="bottom"/>
          </w:tcPr>
          <w:p>
            <w:pPr>
              <w:pStyle w:val="TableContents"/>
              <w:spacing w:before="0" w:after="0"/>
              <w:ind w:left="0" w:right="0" w:hanging="0"/>
              <w:rPr/>
            </w:pPr>
            <w:r>
              <w:rPr/>
              <w:t> </w:t>
            </w:r>
          </w:p>
        </w:tc>
        <w:tc>
          <w:tcPr>
            <w:tcW w:w="6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7" w:type="dxa"/>
            <w:tcBorders/>
            <w:shd w:fill="CCEEFF" w:val="clear"/>
            <w:vAlign w:val="bottom"/>
          </w:tcPr>
          <w:p>
            <w:pPr>
              <w:pStyle w:val="TableContents"/>
              <w:spacing w:before="0" w:after="0"/>
              <w:ind w:left="0" w:right="0" w:hanging="0"/>
              <w:rPr/>
            </w:pPr>
            <w:r>
              <w:rPr/>
              <w:t> </w:t>
            </w:r>
          </w:p>
        </w:tc>
        <w:tc>
          <w:tcPr>
            <w:tcW w:w="6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CCEEFF" w:val="clear"/>
            <w:vAlign w:val="bottom"/>
          </w:tcPr>
          <w:p>
            <w:pPr>
              <w:pStyle w:val="TableContents"/>
              <w:spacing w:before="0" w:after="0"/>
              <w:ind w:left="0" w:right="0" w:hanging="0"/>
              <w:rPr/>
            </w:pPr>
            <w:r>
              <w:rPr/>
              <w:t> </w:t>
            </w:r>
          </w:p>
        </w:tc>
        <w:tc>
          <w:tcPr>
            <w:tcW w:w="6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6" w:type="dxa"/>
            <w:tcBorders/>
            <w:shd w:fill="CCEEFF" w:val="clear"/>
            <w:vAlign w:val="bottom"/>
          </w:tcPr>
          <w:p>
            <w:pPr>
              <w:pStyle w:val="TableContents"/>
              <w:spacing w:before="0" w:after="0"/>
              <w:ind w:left="0" w:right="0" w:hanging="0"/>
              <w:rPr/>
            </w:pPr>
            <w:r>
              <w:rPr/>
              <w:t> </w:t>
            </w:r>
          </w:p>
        </w:tc>
        <w:tc>
          <w:tcPr>
            <w:tcW w:w="6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32" w:type="dxa"/>
            <w:tcBorders/>
            <w:shd w:fill="CCEEFF" w:val="clear"/>
            <w:vAlign w:val="bottom"/>
          </w:tcPr>
          <w:p>
            <w:pPr>
              <w:pStyle w:val="TableContents"/>
              <w:spacing w:before="0" w:after="0"/>
              <w:ind w:left="0" w:right="0" w:hanging="0"/>
              <w:rPr/>
            </w:pPr>
            <w:r>
              <w:rPr/>
              <w:t> </w:t>
            </w:r>
          </w:p>
        </w:tc>
      </w:tr>
      <w:tr>
        <w:trPr/>
        <w:tc>
          <w:tcPr>
            <w:tcW w:w="3648"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27" w:type="dxa"/>
            <w:tcBorders/>
            <w:shd w:fill="auto" w:val="clear"/>
            <w:vAlign w:val="bottom"/>
          </w:tcPr>
          <w:p>
            <w:pPr>
              <w:pStyle w:val="TableContents"/>
              <w:spacing w:before="0" w:after="0"/>
              <w:ind w:left="0" w:right="0" w:hanging="0"/>
              <w:rPr/>
            </w:pPr>
            <w:r>
              <w:rPr/>
              <w:t> </w:t>
            </w:r>
          </w:p>
        </w:tc>
        <w:tc>
          <w:tcPr>
            <w:tcW w:w="11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7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211</w:t>
            </w:r>
          </w:p>
        </w:tc>
        <w:tc>
          <w:tcPr>
            <w:tcW w:w="227"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7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90</w:t>
            </w:r>
          </w:p>
        </w:tc>
        <w:tc>
          <w:tcPr>
            <w:tcW w:w="227"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7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115</w:t>
            </w:r>
          </w:p>
        </w:tc>
        <w:tc>
          <w:tcPr>
            <w:tcW w:w="227"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7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214</w:t>
            </w:r>
          </w:p>
        </w:tc>
        <w:tc>
          <w:tcPr>
            <w:tcW w:w="227"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7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254</w:t>
            </w:r>
          </w:p>
        </w:tc>
        <w:tc>
          <w:tcPr>
            <w:tcW w:w="227"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7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515</w:t>
            </w:r>
          </w:p>
        </w:tc>
        <w:tc>
          <w:tcPr>
            <w:tcW w:w="226"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7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580</w:t>
            </w:r>
          </w:p>
        </w:tc>
        <w:tc>
          <w:tcPr>
            <w:tcW w:w="132" w:type="dxa"/>
            <w:tcBorders/>
            <w:shd w:fill="auto" w:val="clear"/>
            <w:vAlign w:val="bottom"/>
          </w:tcPr>
          <w:p>
            <w:pPr>
              <w:pStyle w:val="TableContents"/>
              <w:spacing w:before="0" w:after="0"/>
              <w:ind w:left="0" w:right="0" w:hanging="0"/>
              <w:rPr/>
            </w:pPr>
            <w:r>
              <w:rPr/>
              <w:t> </w:t>
            </w:r>
          </w:p>
        </w:tc>
      </w:tr>
      <w:tr>
        <w:trPr/>
        <w:tc>
          <w:tcPr>
            <w:tcW w:w="3648" w:type="dxa"/>
            <w:tcBorders/>
            <w:shd w:fill="CCEEFF" w:val="clear"/>
            <w:vAlign w:val="bottom"/>
          </w:tcPr>
          <w:p>
            <w:pPr>
              <w:pStyle w:val="TableContents"/>
              <w:spacing w:before="0" w:after="0"/>
              <w:ind w:left="0" w:right="0" w:hanging="0"/>
              <w:rPr/>
            </w:pPr>
            <w:r>
              <w:rPr/>
              <w:t> </w:t>
            </w:r>
          </w:p>
        </w:tc>
        <w:tc>
          <w:tcPr>
            <w:tcW w:w="227" w:type="dxa"/>
            <w:tcBorders/>
            <w:shd w:fill="CCEEFF" w:val="clear"/>
            <w:vAlign w:val="bottom"/>
          </w:tcPr>
          <w:p>
            <w:pPr>
              <w:pStyle w:val="TableContents"/>
              <w:spacing w:before="0" w:after="0"/>
              <w:ind w:left="0" w:right="0" w:hanging="0"/>
              <w:rPr/>
            </w:pPr>
            <w:r>
              <w:rPr/>
              <w:t> </w:t>
            </w:r>
          </w:p>
        </w:tc>
        <w:tc>
          <w:tcPr>
            <w:tcW w:w="692"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689"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693"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693"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36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to Limited Partners</w:t>
            </w:r>
          </w:p>
        </w:tc>
        <w:tc>
          <w:tcPr>
            <w:tcW w:w="227"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227"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27"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27"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27"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227"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380</w:t>
            </w:r>
          </w:p>
        </w:tc>
        <w:tc>
          <w:tcPr>
            <w:tcW w:w="226"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132" w:type="dxa"/>
            <w:tcBorders/>
            <w:shd w:fill="auto" w:val="clear"/>
            <w:vAlign w:val="bottom"/>
          </w:tcPr>
          <w:p>
            <w:pPr>
              <w:pStyle w:val="TableContents"/>
              <w:spacing w:before="0" w:after="0"/>
              <w:ind w:left="0" w:right="0" w:hanging="0"/>
              <w:rPr/>
            </w:pPr>
            <w:r>
              <w:rPr/>
              <w:t> </w:t>
            </w:r>
          </w:p>
        </w:tc>
      </w:tr>
      <w:tr>
        <w:trPr/>
        <w:tc>
          <w:tcPr>
            <w:tcW w:w="36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227" w:type="dxa"/>
            <w:tcBorders/>
            <w:shd w:fill="CCEEFF" w:val="clear"/>
            <w:vAlign w:val="bottom"/>
          </w:tcPr>
          <w:p>
            <w:pPr>
              <w:pStyle w:val="TableContents"/>
              <w:spacing w:before="0" w:after="0"/>
              <w:ind w:left="0" w:right="0" w:hanging="0"/>
              <w:rPr/>
            </w:pPr>
            <w:r>
              <w:rPr/>
              <w:t> </w:t>
            </w:r>
          </w:p>
        </w:tc>
        <w:tc>
          <w:tcPr>
            <w:tcW w:w="692"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689"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693"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693"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36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Weighted Average Units Outstanding</w:t>
            </w:r>
          </w:p>
        </w:tc>
        <w:tc>
          <w:tcPr>
            <w:tcW w:w="227" w:type="dxa"/>
            <w:tcBorders/>
            <w:shd w:fill="auto" w:val="clear"/>
            <w:vAlign w:val="bottom"/>
          </w:tcPr>
          <w:p>
            <w:pPr>
              <w:pStyle w:val="TableContents"/>
              <w:spacing w:before="0" w:after="0"/>
              <w:ind w:left="0" w:right="0" w:hanging="0"/>
              <w:rPr/>
            </w:pPr>
            <w:r>
              <w:rPr/>
              <w:t> </w:t>
            </w:r>
          </w:p>
        </w:tc>
        <w:tc>
          <w:tcPr>
            <w:tcW w:w="6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27" w:type="dxa"/>
            <w:tcBorders/>
            <w:shd w:fill="auto" w:val="clear"/>
            <w:vAlign w:val="bottom"/>
          </w:tcPr>
          <w:p>
            <w:pPr>
              <w:pStyle w:val="TableContents"/>
              <w:spacing w:before="0" w:after="0"/>
              <w:ind w:left="0" w:right="0" w:hanging="0"/>
              <w:rPr/>
            </w:pPr>
            <w:r>
              <w:rPr/>
              <w:t> </w:t>
            </w:r>
          </w:p>
        </w:tc>
        <w:tc>
          <w:tcPr>
            <w:tcW w:w="6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27" w:type="dxa"/>
            <w:tcBorders/>
            <w:shd w:fill="auto" w:val="clear"/>
            <w:vAlign w:val="bottom"/>
          </w:tcPr>
          <w:p>
            <w:pPr>
              <w:pStyle w:val="TableContents"/>
              <w:spacing w:before="0" w:after="0"/>
              <w:ind w:left="0" w:right="0" w:hanging="0"/>
              <w:rPr/>
            </w:pPr>
            <w:r>
              <w:rPr/>
              <w:t> </w:t>
            </w:r>
          </w:p>
        </w:tc>
        <w:tc>
          <w:tcPr>
            <w:tcW w:w="6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26" w:type="dxa"/>
            <w:tcBorders/>
            <w:shd w:fill="auto" w:val="clear"/>
            <w:vAlign w:val="bottom"/>
          </w:tcPr>
          <w:p>
            <w:pPr>
              <w:pStyle w:val="TableContents"/>
              <w:spacing w:before="0" w:after="0"/>
              <w:ind w:left="0" w:right="0" w:hanging="0"/>
              <w:rPr/>
            </w:pPr>
            <w:r>
              <w:rPr/>
              <w:t> </w:t>
            </w:r>
          </w:p>
        </w:tc>
        <w:tc>
          <w:tcPr>
            <w:tcW w:w="6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32" w:type="dxa"/>
            <w:tcBorders/>
            <w:shd w:fill="auto" w:val="clear"/>
            <w:vAlign w:val="bottom"/>
          </w:tcPr>
          <w:p>
            <w:pPr>
              <w:pStyle w:val="TableContents"/>
              <w:spacing w:before="0" w:after="0"/>
              <w:ind w:left="0" w:right="0" w:hanging="0"/>
              <w:rPr/>
            </w:pPr>
            <w:r>
              <w:rPr/>
              <w:t> </w:t>
            </w:r>
          </w:p>
        </w:tc>
      </w:tr>
      <w:tr>
        <w:trPr/>
        <w:tc>
          <w:tcPr>
            <w:tcW w:w="36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Per Unit</w:t>
            </w:r>
          </w:p>
        </w:tc>
        <w:tc>
          <w:tcPr>
            <w:tcW w:w="227"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27"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0.43</w:t>
            </w:r>
          </w:p>
        </w:tc>
        <w:tc>
          <w:tcPr>
            <w:tcW w:w="227"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0.62</w:t>
            </w:r>
          </w:p>
        </w:tc>
        <w:tc>
          <w:tcPr>
            <w:tcW w:w="227"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227"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27"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w:t>
            </w:r>
          </w:p>
        </w:tc>
        <w:tc>
          <w:tcPr>
            <w:tcW w:w="226"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132" w:type="dxa"/>
            <w:tcBorders/>
            <w:shd w:fill="CCEEFF" w:val="clear"/>
            <w:vAlign w:val="bottom"/>
          </w:tcPr>
          <w:p>
            <w:pPr>
              <w:pStyle w:val="TableContents"/>
              <w:spacing w:before="0" w:after="0"/>
              <w:ind w:left="0" w:right="0" w:hanging="0"/>
              <w:rPr/>
            </w:pPr>
            <w:r>
              <w:rPr/>
              <w:t> </w:t>
            </w:r>
          </w:p>
        </w:tc>
      </w:tr>
      <w:tr>
        <w:trPr/>
        <w:tc>
          <w:tcPr>
            <w:tcW w:w="3648" w:type="dxa"/>
            <w:tcBorders/>
            <w:shd w:fill="auto" w:val="clear"/>
            <w:vAlign w:val="bottom"/>
          </w:tcPr>
          <w:p>
            <w:pPr>
              <w:pStyle w:val="TableContents"/>
              <w:spacing w:before="0" w:after="0"/>
              <w:ind w:left="0" w:right="0" w:hanging="0"/>
              <w:rPr/>
            </w:pPr>
            <w:r>
              <w:rPr/>
              <w:t> </w:t>
            </w:r>
          </w:p>
        </w:tc>
        <w:tc>
          <w:tcPr>
            <w:tcW w:w="227" w:type="dxa"/>
            <w:tcBorders/>
            <w:shd w:fill="auto" w:val="clear"/>
            <w:vAlign w:val="bottom"/>
          </w:tcPr>
          <w:p>
            <w:pPr>
              <w:pStyle w:val="TableContents"/>
              <w:spacing w:before="0" w:after="0"/>
              <w:ind w:left="0" w:right="0" w:hanging="0"/>
              <w:rPr/>
            </w:pPr>
            <w:r>
              <w:rPr/>
              <w:t> </w:t>
            </w:r>
          </w:p>
        </w:tc>
        <w:tc>
          <w:tcPr>
            <w:tcW w:w="692"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689"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693"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693"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36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227" w:type="dxa"/>
            <w:tcBorders/>
            <w:shd w:fill="CCEEFF" w:val="clear"/>
            <w:vAlign w:val="bottom"/>
          </w:tcPr>
          <w:p>
            <w:pPr>
              <w:pStyle w:val="TableContents"/>
              <w:spacing w:before="0" w:after="0"/>
              <w:ind w:left="0" w:right="0" w:hanging="0"/>
              <w:rPr/>
            </w:pPr>
            <w:r>
              <w:rPr/>
              <w:t> </w:t>
            </w:r>
          </w:p>
        </w:tc>
        <w:tc>
          <w:tcPr>
            <w:tcW w:w="692"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689"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693"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693"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36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Weighted Average Units Outstanding</w:t>
            </w:r>
          </w:p>
        </w:tc>
        <w:tc>
          <w:tcPr>
            <w:tcW w:w="227" w:type="dxa"/>
            <w:tcBorders/>
            <w:shd w:fill="auto" w:val="clear"/>
            <w:vAlign w:val="bottom"/>
          </w:tcPr>
          <w:p>
            <w:pPr>
              <w:pStyle w:val="TableContents"/>
              <w:spacing w:before="0" w:after="0"/>
              <w:ind w:left="0" w:right="0" w:hanging="0"/>
              <w:rPr/>
            </w:pPr>
            <w:r>
              <w:rPr/>
              <w:t> </w:t>
            </w:r>
          </w:p>
        </w:tc>
        <w:tc>
          <w:tcPr>
            <w:tcW w:w="6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27" w:type="dxa"/>
            <w:tcBorders/>
            <w:shd w:fill="auto" w:val="clear"/>
            <w:vAlign w:val="bottom"/>
          </w:tcPr>
          <w:p>
            <w:pPr>
              <w:pStyle w:val="TableContents"/>
              <w:spacing w:before="0" w:after="0"/>
              <w:ind w:left="0" w:right="0" w:hanging="0"/>
              <w:rPr/>
            </w:pPr>
            <w:r>
              <w:rPr/>
              <w:t> </w:t>
            </w:r>
          </w:p>
        </w:tc>
        <w:tc>
          <w:tcPr>
            <w:tcW w:w="6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27" w:type="dxa"/>
            <w:tcBorders/>
            <w:shd w:fill="auto" w:val="clear"/>
            <w:vAlign w:val="bottom"/>
          </w:tcPr>
          <w:p>
            <w:pPr>
              <w:pStyle w:val="TableContents"/>
              <w:spacing w:before="0" w:after="0"/>
              <w:ind w:left="0" w:right="0" w:hanging="0"/>
              <w:rPr/>
            </w:pPr>
            <w:r>
              <w:rPr/>
              <w:t> </w:t>
            </w:r>
          </w:p>
        </w:tc>
        <w:tc>
          <w:tcPr>
            <w:tcW w:w="6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26" w:type="dxa"/>
            <w:tcBorders/>
            <w:shd w:fill="auto" w:val="clear"/>
            <w:vAlign w:val="bottom"/>
          </w:tcPr>
          <w:p>
            <w:pPr>
              <w:pStyle w:val="TableContents"/>
              <w:spacing w:before="0" w:after="0"/>
              <w:ind w:left="0" w:right="0" w:hanging="0"/>
              <w:rPr/>
            </w:pPr>
            <w:r>
              <w:rPr/>
              <w:t> </w:t>
            </w:r>
          </w:p>
        </w:tc>
        <w:tc>
          <w:tcPr>
            <w:tcW w:w="6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32" w:type="dxa"/>
            <w:tcBorders/>
            <w:shd w:fill="auto" w:val="clear"/>
            <w:vAlign w:val="bottom"/>
          </w:tcPr>
          <w:p>
            <w:pPr>
              <w:pStyle w:val="TableContents"/>
              <w:spacing w:before="0" w:after="0"/>
              <w:ind w:left="0" w:right="0" w:hanging="0"/>
              <w:rPr/>
            </w:pPr>
            <w:r>
              <w:rPr/>
              <w:t> </w:t>
            </w:r>
          </w:p>
        </w:tc>
      </w:tr>
      <w:tr>
        <w:trPr/>
        <w:tc>
          <w:tcPr>
            <w:tcW w:w="36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Per Unit</w:t>
            </w:r>
          </w:p>
        </w:tc>
        <w:tc>
          <w:tcPr>
            <w:tcW w:w="227"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27"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0.43</w:t>
            </w:r>
          </w:p>
        </w:tc>
        <w:tc>
          <w:tcPr>
            <w:tcW w:w="227"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0.61</w:t>
            </w:r>
          </w:p>
        </w:tc>
        <w:tc>
          <w:tcPr>
            <w:tcW w:w="227"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27"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27"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w:t>
            </w:r>
          </w:p>
        </w:tc>
        <w:tc>
          <w:tcPr>
            <w:tcW w:w="226"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w:t>
            </w:r>
          </w:p>
        </w:tc>
        <w:tc>
          <w:tcPr>
            <w:tcW w:w="132" w:type="dxa"/>
            <w:tcBorders/>
            <w:shd w:fill="CCEEFF" w:val="clear"/>
            <w:vAlign w:val="bottom"/>
          </w:tcPr>
          <w:p>
            <w:pPr>
              <w:pStyle w:val="TableContents"/>
              <w:spacing w:before="0" w:after="0"/>
              <w:ind w:left="0" w:right="0" w:hanging="0"/>
              <w:rPr/>
            </w:pPr>
            <w:r>
              <w:rPr/>
              <w:t> </w:t>
            </w:r>
          </w:p>
        </w:tc>
      </w:tr>
      <w:tr>
        <w:trPr/>
        <w:tc>
          <w:tcPr>
            <w:tcW w:w="3648" w:type="dxa"/>
            <w:tcBorders/>
            <w:shd w:fill="auto" w:val="clear"/>
            <w:vAlign w:val="bottom"/>
          </w:tcPr>
          <w:p>
            <w:pPr>
              <w:pStyle w:val="TableContents"/>
              <w:spacing w:before="0" w:after="0"/>
              <w:ind w:left="0" w:right="0" w:hanging="0"/>
              <w:rPr/>
            </w:pPr>
            <w:r>
              <w:rPr/>
              <w:t> </w:t>
            </w:r>
          </w:p>
        </w:tc>
        <w:tc>
          <w:tcPr>
            <w:tcW w:w="227" w:type="dxa"/>
            <w:tcBorders/>
            <w:shd w:fill="auto" w:val="clear"/>
            <w:vAlign w:val="bottom"/>
          </w:tcPr>
          <w:p>
            <w:pPr>
              <w:pStyle w:val="TableContents"/>
              <w:spacing w:before="0" w:after="0"/>
              <w:ind w:left="0" w:right="0" w:hanging="0"/>
              <w:rPr/>
            </w:pPr>
            <w:r>
              <w:rPr/>
              <w:t> </w:t>
            </w:r>
          </w:p>
        </w:tc>
        <w:tc>
          <w:tcPr>
            <w:tcW w:w="692"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689"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693"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693"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3648"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EBIT</w:t>
            </w:r>
          </w:p>
        </w:tc>
        <w:tc>
          <w:tcPr>
            <w:tcW w:w="227"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7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263</w:t>
            </w:r>
          </w:p>
        </w:tc>
        <w:tc>
          <w:tcPr>
            <w:tcW w:w="227"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151</w:t>
            </w:r>
          </w:p>
        </w:tc>
        <w:tc>
          <w:tcPr>
            <w:tcW w:w="227"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7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173</w:t>
            </w:r>
          </w:p>
        </w:tc>
        <w:tc>
          <w:tcPr>
            <w:tcW w:w="227"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337</w:t>
            </w:r>
          </w:p>
        </w:tc>
        <w:tc>
          <w:tcPr>
            <w:tcW w:w="227"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371</w:t>
            </w:r>
          </w:p>
        </w:tc>
        <w:tc>
          <w:tcPr>
            <w:tcW w:w="227"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7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751</w:t>
            </w:r>
          </w:p>
        </w:tc>
        <w:tc>
          <w:tcPr>
            <w:tcW w:w="226"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7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807</w:t>
            </w:r>
          </w:p>
        </w:tc>
        <w:tc>
          <w:tcPr>
            <w:tcW w:w="132" w:type="dxa"/>
            <w:tcBorders/>
            <w:shd w:fill="CCEEFF" w:val="clear"/>
            <w:vAlign w:val="bottom"/>
          </w:tcPr>
          <w:p>
            <w:pPr>
              <w:pStyle w:val="TableContents"/>
              <w:spacing w:before="0" w:after="0"/>
              <w:ind w:left="0" w:right="0" w:hanging="0"/>
              <w:rPr/>
            </w:pPr>
            <w:r>
              <w:rPr/>
              <w:t> </w:t>
            </w:r>
          </w:p>
        </w:tc>
      </w:tr>
      <w:tr>
        <w:trPr/>
        <w:tc>
          <w:tcPr>
            <w:tcW w:w="3648"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EBITDA</w:t>
            </w:r>
          </w:p>
        </w:tc>
        <w:tc>
          <w:tcPr>
            <w:tcW w:w="227" w:type="dxa"/>
            <w:tcBorders/>
            <w:shd w:fill="auto" w:val="clear"/>
            <w:vAlign w:val="bottom"/>
          </w:tcPr>
          <w:p>
            <w:pPr>
              <w:pStyle w:val="TableContents"/>
              <w:spacing w:before="0" w:after="0"/>
              <w:ind w:left="0" w:right="0" w:hanging="0"/>
              <w:rPr/>
            </w:pPr>
            <w:r>
              <w:rPr/>
              <w:t> </w:t>
            </w:r>
          </w:p>
        </w:tc>
        <w:tc>
          <w:tcPr>
            <w:tcW w:w="11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7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321</w:t>
            </w:r>
          </w:p>
        </w:tc>
        <w:tc>
          <w:tcPr>
            <w:tcW w:w="227"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208</w:t>
            </w:r>
          </w:p>
        </w:tc>
        <w:tc>
          <w:tcPr>
            <w:tcW w:w="227"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7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228</w:t>
            </w:r>
          </w:p>
        </w:tc>
        <w:tc>
          <w:tcPr>
            <w:tcW w:w="227"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454</w:t>
            </w:r>
          </w:p>
        </w:tc>
        <w:tc>
          <w:tcPr>
            <w:tcW w:w="227"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484</w:t>
            </w:r>
          </w:p>
        </w:tc>
        <w:tc>
          <w:tcPr>
            <w:tcW w:w="227"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7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983</w:t>
            </w:r>
          </w:p>
        </w:tc>
        <w:tc>
          <w:tcPr>
            <w:tcW w:w="226"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7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1,033</w:t>
            </w:r>
          </w:p>
        </w:tc>
        <w:tc>
          <w:tcPr>
            <w:tcW w:w="132" w:type="dxa"/>
            <w:tcBorders/>
            <w:shd w:fill="auto" w:val="clear"/>
            <w:vAlign w:val="bottom"/>
          </w:tcPr>
          <w:p>
            <w:pPr>
              <w:pStyle w:val="TableContents"/>
              <w:spacing w:before="0" w:after="0"/>
              <w:ind w:left="0" w:right="0" w:hanging="0"/>
              <w:rPr/>
            </w:pPr>
            <w:r>
              <w:rPr/>
              <w:t> </w:t>
            </w:r>
          </w:p>
        </w:tc>
      </w:tr>
      <w:tr>
        <w:trPr/>
        <w:tc>
          <w:tcPr>
            <w:tcW w:w="3648"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22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2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2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2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2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2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26"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32"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r>
      <w:tr>
        <w:trPr/>
        <w:tc>
          <w:tcPr>
            <w:tcW w:w="3648"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Selected Items Impacting Comparability</w:t>
            </w:r>
          </w:p>
        </w:tc>
        <w:tc>
          <w:tcPr>
            <w:tcW w:w="227" w:type="dxa"/>
            <w:tcBorders/>
            <w:shd w:fill="auto" w:val="clear"/>
            <w:vAlign w:val="bottom"/>
          </w:tcPr>
          <w:p>
            <w:pPr>
              <w:pStyle w:val="TableContents"/>
              <w:spacing w:before="0" w:after="0"/>
              <w:ind w:left="0" w:right="0" w:hanging="0"/>
              <w:rPr/>
            </w:pPr>
            <w:r>
              <w:rPr/>
              <w:t> </w:t>
            </w:r>
          </w:p>
        </w:tc>
        <w:tc>
          <w:tcPr>
            <w:tcW w:w="692"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689"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693"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693" w:type="dxa"/>
            <w:gridSpan w:val="2"/>
            <w:tcBorders/>
            <w:shd w:fill="auto" w:val="clear"/>
            <w:vAlign w:val="bottom"/>
          </w:tcPr>
          <w:p>
            <w:pPr>
              <w:pStyle w:val="TableContents"/>
              <w:spacing w:before="0" w:after="0"/>
              <w:ind w:left="0" w:right="0" w:hanging="0"/>
              <w:jc w:val="right"/>
              <w:rPr/>
            </w:pPr>
            <w:r>
              <w:rPr/>
              <w:t> </w:t>
            </w:r>
          </w:p>
        </w:tc>
        <w:tc>
          <w:tcPr>
            <w:tcW w:w="13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648"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benefit/(charge)</w:t>
            </w:r>
          </w:p>
        </w:tc>
        <w:tc>
          <w:tcPr>
            <w:tcW w:w="227"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3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48"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 valuation adjustments net of gains and losses from related derivative activities</w:t>
            </w:r>
          </w:p>
        </w:tc>
        <w:tc>
          <w:tcPr>
            <w:tcW w:w="227" w:type="dxa"/>
            <w:tcBorders/>
            <w:shd w:fill="auto" w:val="clear"/>
            <w:vAlign w:val="bottom"/>
          </w:tcPr>
          <w:p>
            <w:pPr>
              <w:pStyle w:val="TableContents"/>
              <w:spacing w:before="0" w:after="0"/>
              <w:ind w:left="0" w:right="0" w:hanging="0"/>
              <w:rPr/>
            </w:pPr>
            <w:r>
              <w:rPr/>
              <w:t> </w:t>
            </w:r>
          </w:p>
        </w:tc>
        <w:tc>
          <w:tcPr>
            <w:tcW w:w="6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auto" w:val="clear"/>
            <w:vAlign w:val="bottom"/>
          </w:tcPr>
          <w:p>
            <w:pPr>
              <w:pStyle w:val="TableContents"/>
              <w:spacing w:before="0" w:after="0"/>
              <w:ind w:left="0" w:right="0" w:hanging="0"/>
              <w:rPr/>
            </w:pPr>
            <w:r>
              <w:rPr/>
              <w:t> </w:t>
            </w:r>
          </w:p>
        </w:tc>
        <w:tc>
          <w:tcPr>
            <w:tcW w:w="6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auto" w:val="clear"/>
            <w:vAlign w:val="bottom"/>
          </w:tcPr>
          <w:p>
            <w:pPr>
              <w:pStyle w:val="TableContents"/>
              <w:spacing w:before="0" w:after="0"/>
              <w:ind w:left="0" w:right="0" w:hanging="0"/>
              <w:rPr/>
            </w:pPr>
            <w:r>
              <w:rPr/>
              <w:t> </w:t>
            </w:r>
          </w:p>
        </w:tc>
        <w:tc>
          <w:tcPr>
            <w:tcW w:w="6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26" w:type="dxa"/>
            <w:tcBorders/>
            <w:shd w:fill="auto" w:val="clear"/>
            <w:vAlign w:val="bottom"/>
          </w:tcPr>
          <w:p>
            <w:pPr>
              <w:pStyle w:val="TableContents"/>
              <w:spacing w:before="0" w:after="0"/>
              <w:ind w:left="0" w:right="0" w:hanging="0"/>
              <w:rPr/>
            </w:pPr>
            <w:r>
              <w:rPr/>
              <w:t> </w:t>
            </w:r>
          </w:p>
        </w:tc>
        <w:tc>
          <w:tcPr>
            <w:tcW w:w="6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3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648"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Gains/Losses from other derivative activities</w:t>
            </w:r>
          </w:p>
        </w:tc>
        <w:tc>
          <w:tcPr>
            <w:tcW w:w="227" w:type="dxa"/>
            <w:tcBorders/>
            <w:shd w:fill="CCEEFF" w:val="clear"/>
            <w:vAlign w:val="bottom"/>
          </w:tcPr>
          <w:p>
            <w:pPr>
              <w:pStyle w:val="TableContents"/>
              <w:spacing w:before="0" w:after="0"/>
              <w:ind w:left="0" w:right="0" w:hanging="0"/>
              <w:rPr/>
            </w:pPr>
            <w:r>
              <w:rPr/>
              <w:t> </w:t>
            </w:r>
          </w:p>
        </w:tc>
        <w:tc>
          <w:tcPr>
            <w:tcW w:w="6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CCEEFF" w:val="clear"/>
            <w:vAlign w:val="bottom"/>
          </w:tcPr>
          <w:p>
            <w:pPr>
              <w:pStyle w:val="TableContents"/>
              <w:spacing w:before="0" w:after="0"/>
              <w:ind w:left="0" w:right="0" w:hanging="0"/>
              <w:rPr/>
            </w:pPr>
            <w:r>
              <w:rPr/>
              <w:t> </w:t>
            </w:r>
          </w:p>
        </w:tc>
        <w:tc>
          <w:tcPr>
            <w:tcW w:w="6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CCEEFF" w:val="clear"/>
            <w:vAlign w:val="bottom"/>
          </w:tcPr>
          <w:p>
            <w:pPr>
              <w:pStyle w:val="TableContents"/>
              <w:spacing w:before="0" w:after="0"/>
              <w:ind w:left="0" w:right="0" w:hanging="0"/>
              <w:rPr/>
            </w:pPr>
            <w:r>
              <w:rPr/>
              <w:t> </w:t>
            </w:r>
          </w:p>
        </w:tc>
        <w:tc>
          <w:tcPr>
            <w:tcW w:w="6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26" w:type="dxa"/>
            <w:tcBorders/>
            <w:shd w:fill="CCEEFF" w:val="clear"/>
            <w:vAlign w:val="bottom"/>
          </w:tcPr>
          <w:p>
            <w:pPr>
              <w:pStyle w:val="TableContents"/>
              <w:spacing w:before="0" w:after="0"/>
              <w:ind w:left="0" w:right="0" w:hanging="0"/>
              <w:rPr/>
            </w:pPr>
            <w:r>
              <w:rPr/>
              <w:t> </w:t>
            </w:r>
          </w:p>
        </w:tc>
        <w:tc>
          <w:tcPr>
            <w:tcW w:w="6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3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648"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Net gain on foreign currency revaluation</w:t>
            </w:r>
          </w:p>
        </w:tc>
        <w:tc>
          <w:tcPr>
            <w:tcW w:w="227" w:type="dxa"/>
            <w:tcBorders/>
            <w:shd w:fill="auto" w:val="clear"/>
            <w:vAlign w:val="bottom"/>
          </w:tcPr>
          <w:p>
            <w:pPr>
              <w:pStyle w:val="TableContents"/>
              <w:spacing w:before="0" w:after="0"/>
              <w:ind w:left="0" w:right="0" w:hanging="0"/>
              <w:rPr/>
            </w:pPr>
            <w:r>
              <w:rPr/>
              <w:t> </w:t>
            </w:r>
          </w:p>
        </w:tc>
        <w:tc>
          <w:tcPr>
            <w:tcW w:w="6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auto" w:val="clear"/>
            <w:vAlign w:val="bottom"/>
          </w:tcPr>
          <w:p>
            <w:pPr>
              <w:pStyle w:val="TableContents"/>
              <w:spacing w:before="0" w:after="0"/>
              <w:ind w:left="0" w:right="0" w:hanging="0"/>
              <w:rPr/>
            </w:pPr>
            <w:r>
              <w:rPr/>
              <w:t> </w:t>
            </w:r>
          </w:p>
        </w:tc>
        <w:tc>
          <w:tcPr>
            <w:tcW w:w="68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auto" w:val="clear"/>
            <w:vAlign w:val="bottom"/>
          </w:tcPr>
          <w:p>
            <w:pPr>
              <w:pStyle w:val="TableContents"/>
              <w:spacing w:before="0" w:after="0"/>
              <w:ind w:left="0" w:right="0" w:hanging="0"/>
              <w:rPr/>
            </w:pPr>
            <w:r>
              <w:rPr/>
              <w:t> </w:t>
            </w:r>
          </w:p>
        </w:tc>
        <w:tc>
          <w:tcPr>
            <w:tcW w:w="6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6" w:type="dxa"/>
            <w:tcBorders/>
            <w:shd w:fill="auto" w:val="clear"/>
            <w:vAlign w:val="bottom"/>
          </w:tcPr>
          <w:p>
            <w:pPr>
              <w:pStyle w:val="TableContents"/>
              <w:spacing w:before="0" w:after="0"/>
              <w:ind w:left="0" w:right="0" w:hanging="0"/>
              <w:rPr/>
            </w:pPr>
            <w:r>
              <w:rPr/>
              <w:t> </w:t>
            </w:r>
          </w:p>
        </w:tc>
        <w:tc>
          <w:tcPr>
            <w:tcW w:w="6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3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648" w:type="dxa"/>
            <w:tcBorders>
              <w:left w:val="single" w:sz="8" w:space="0" w:color="000000"/>
            </w:tcBorders>
            <w:shd w:fill="CCEEFF" w:val="clear"/>
            <w:tcMar>
              <w:left w:w="28" w:type="dxa"/>
            </w:tcMar>
            <w:vAlign w:val="bottom"/>
          </w:tcPr>
          <w:p>
            <w:pPr>
              <w:pStyle w:val="TableContents"/>
              <w:spacing w:before="0" w:after="0"/>
              <w:ind w:left="0" w:right="0" w:hanging="0"/>
              <w:rPr/>
            </w:pPr>
            <w:r>
              <w:rPr/>
              <w:t> </w:t>
            </w:r>
          </w:p>
        </w:tc>
        <w:tc>
          <w:tcPr>
            <w:tcW w:w="227"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27"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26"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3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648" w:type="dxa"/>
            <w:tcBorders>
              <w:left w:val="single" w:sz="8" w:space="0" w:color="000000"/>
              <w:bottom w:val="single" w:sz="8" w:space="0" w:color="000000"/>
            </w:tcBorders>
            <w:shd w:fill="auto" w:val="clear"/>
            <w:tcMar>
              <w:left w:w="28" w:type="dxa"/>
              <w:bottom w:w="28" w:type="dxa"/>
            </w:tcMar>
            <w:vAlign w:val="bottom"/>
          </w:tcPr>
          <w:p>
            <w:pPr>
              <w:pStyle w:val="TableContents"/>
              <w:spacing w:before="0" w:after="0"/>
              <w:ind w:left="0" w:right="0" w:hanging="0"/>
              <w:rPr/>
            </w:pPr>
            <w:r>
              <w:rPr/>
              <w:t> </w:t>
            </w:r>
          </w:p>
        </w:tc>
        <w:tc>
          <w:tcPr>
            <w:tcW w:w="22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6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2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2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68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2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2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2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6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26"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6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32" w:type="dxa"/>
            <w:tcBorders>
              <w:bottom w:val="single" w:sz="8" w:space="0" w:color="000000"/>
              <w:right w:val="single" w:sz="8" w:space="0" w:color="000000"/>
            </w:tcBorders>
            <w:shd w:fill="auto" w:val="clear"/>
            <w:tcMar>
              <w:bottom w:w="28" w:type="dxa"/>
              <w:right w:w="28" w:type="dxa"/>
            </w:tcMar>
            <w:vAlign w:val="bottom"/>
          </w:tcPr>
          <w:p>
            <w:pPr>
              <w:pStyle w:val="TableContents"/>
              <w:spacing w:before="0" w:after="0"/>
              <w:ind w:left="0" w:right="0" w:hanging="0"/>
              <w:rPr/>
            </w:pPr>
            <w:r>
              <w:rPr/>
              <w:t> </w:t>
            </w:r>
          </w:p>
        </w:tc>
      </w:tr>
      <w:tr>
        <w:trPr/>
        <w:tc>
          <w:tcPr>
            <w:tcW w:w="3648"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22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2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2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2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2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2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26"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32"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r>
      <w:tr>
        <w:trPr/>
        <w:tc>
          <w:tcPr>
            <w:tcW w:w="3648"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Excluding Selected Items Impacting Comparability</w:t>
            </w:r>
          </w:p>
        </w:tc>
        <w:tc>
          <w:tcPr>
            <w:tcW w:w="227" w:type="dxa"/>
            <w:tcBorders/>
            <w:shd w:fill="auto" w:val="clear"/>
            <w:vAlign w:val="bottom"/>
          </w:tcPr>
          <w:p>
            <w:pPr>
              <w:pStyle w:val="TableContents"/>
              <w:spacing w:before="0" w:after="0"/>
              <w:ind w:left="0" w:right="0" w:hanging="0"/>
              <w:rPr/>
            </w:pPr>
            <w:r>
              <w:rPr/>
              <w:t> </w:t>
            </w:r>
          </w:p>
        </w:tc>
        <w:tc>
          <w:tcPr>
            <w:tcW w:w="692"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689"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693"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693" w:type="dxa"/>
            <w:gridSpan w:val="2"/>
            <w:tcBorders/>
            <w:shd w:fill="auto" w:val="clear"/>
            <w:vAlign w:val="bottom"/>
          </w:tcPr>
          <w:p>
            <w:pPr>
              <w:pStyle w:val="TableContents"/>
              <w:spacing w:before="0" w:after="0"/>
              <w:ind w:left="0" w:right="0" w:hanging="0"/>
              <w:jc w:val="right"/>
              <w:rPr/>
            </w:pPr>
            <w:r>
              <w:rPr/>
              <w:t> </w:t>
            </w:r>
          </w:p>
        </w:tc>
        <w:tc>
          <w:tcPr>
            <w:tcW w:w="13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648"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Segment Profit</w:t>
            </w:r>
          </w:p>
        </w:tc>
        <w:tc>
          <w:tcPr>
            <w:tcW w:w="227" w:type="dxa"/>
            <w:tcBorders/>
            <w:shd w:fill="CCEEFF" w:val="clear"/>
            <w:vAlign w:val="bottom"/>
          </w:tcPr>
          <w:p>
            <w:pPr>
              <w:pStyle w:val="TableContents"/>
              <w:spacing w:before="0" w:after="0"/>
              <w:ind w:left="0" w:right="0" w:hanging="0"/>
              <w:rPr/>
            </w:pPr>
            <w:r>
              <w:rPr/>
              <w:t> </w:t>
            </w:r>
          </w:p>
        </w:tc>
        <w:tc>
          <w:tcPr>
            <w:tcW w:w="692"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689"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693"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693" w:type="dxa"/>
            <w:gridSpan w:val="2"/>
            <w:tcBorders/>
            <w:shd w:fill="CCEEFF" w:val="clear"/>
            <w:vAlign w:val="bottom"/>
          </w:tcPr>
          <w:p>
            <w:pPr>
              <w:pStyle w:val="TableContents"/>
              <w:spacing w:before="0" w:after="0"/>
              <w:ind w:left="0" w:right="0" w:hanging="0"/>
              <w:jc w:val="right"/>
              <w:rPr/>
            </w:pPr>
            <w:r>
              <w:rPr/>
              <w:t> </w:t>
            </w:r>
          </w:p>
        </w:tc>
        <w:tc>
          <w:tcPr>
            <w:tcW w:w="13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648"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w:t>
            </w:r>
          </w:p>
        </w:tc>
        <w:tc>
          <w:tcPr>
            <w:tcW w:w="227"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227"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227"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227"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27"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w:t>
            </w:r>
          </w:p>
        </w:tc>
        <w:tc>
          <w:tcPr>
            <w:tcW w:w="227"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475</w:t>
            </w:r>
          </w:p>
        </w:tc>
        <w:tc>
          <w:tcPr>
            <w:tcW w:w="226"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488</w:t>
            </w:r>
          </w:p>
        </w:tc>
        <w:tc>
          <w:tcPr>
            <w:tcW w:w="13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648"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w:t>
            </w:r>
          </w:p>
        </w:tc>
        <w:tc>
          <w:tcPr>
            <w:tcW w:w="227" w:type="dxa"/>
            <w:tcBorders/>
            <w:shd w:fill="CCEEFF" w:val="clear"/>
            <w:vAlign w:val="bottom"/>
          </w:tcPr>
          <w:p>
            <w:pPr>
              <w:pStyle w:val="TableContents"/>
              <w:spacing w:before="0" w:after="0"/>
              <w:ind w:left="0" w:right="0" w:hanging="0"/>
              <w:rPr/>
            </w:pPr>
            <w:r>
              <w:rPr/>
              <w:t> </w:t>
            </w:r>
          </w:p>
        </w:tc>
        <w:tc>
          <w:tcPr>
            <w:tcW w:w="6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27" w:type="dxa"/>
            <w:tcBorders/>
            <w:shd w:fill="CCEEFF" w:val="clear"/>
            <w:vAlign w:val="bottom"/>
          </w:tcPr>
          <w:p>
            <w:pPr>
              <w:pStyle w:val="TableContents"/>
              <w:spacing w:before="0" w:after="0"/>
              <w:ind w:left="0" w:right="0" w:hanging="0"/>
              <w:rPr/>
            </w:pPr>
            <w:r>
              <w:rPr/>
              <w:t> </w:t>
            </w:r>
          </w:p>
        </w:tc>
        <w:tc>
          <w:tcPr>
            <w:tcW w:w="6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27" w:type="dxa"/>
            <w:tcBorders/>
            <w:shd w:fill="CCEEFF" w:val="clear"/>
            <w:vAlign w:val="bottom"/>
          </w:tcPr>
          <w:p>
            <w:pPr>
              <w:pStyle w:val="TableContents"/>
              <w:spacing w:before="0" w:after="0"/>
              <w:ind w:left="0" w:right="0" w:hanging="0"/>
              <w:rPr/>
            </w:pPr>
            <w:r>
              <w:rPr/>
              <w:t> </w:t>
            </w:r>
          </w:p>
        </w:tc>
        <w:tc>
          <w:tcPr>
            <w:tcW w:w="6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199</w:t>
            </w:r>
          </w:p>
        </w:tc>
        <w:tc>
          <w:tcPr>
            <w:tcW w:w="226" w:type="dxa"/>
            <w:tcBorders/>
            <w:shd w:fill="CCEEFF" w:val="clear"/>
            <w:vAlign w:val="bottom"/>
          </w:tcPr>
          <w:p>
            <w:pPr>
              <w:pStyle w:val="TableContents"/>
              <w:spacing w:before="0" w:after="0"/>
              <w:ind w:left="0" w:right="0" w:hanging="0"/>
              <w:rPr/>
            </w:pPr>
            <w:r>
              <w:rPr/>
              <w:t> </w:t>
            </w:r>
          </w:p>
        </w:tc>
        <w:tc>
          <w:tcPr>
            <w:tcW w:w="6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206</w:t>
            </w:r>
          </w:p>
        </w:tc>
        <w:tc>
          <w:tcPr>
            <w:tcW w:w="13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648"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Marketing</w:t>
            </w:r>
          </w:p>
        </w:tc>
        <w:tc>
          <w:tcPr>
            <w:tcW w:w="227" w:type="dxa"/>
            <w:tcBorders/>
            <w:shd w:fill="auto" w:val="clear"/>
            <w:vAlign w:val="bottom"/>
          </w:tcPr>
          <w:p>
            <w:pPr>
              <w:pStyle w:val="TableContents"/>
              <w:spacing w:before="0" w:after="0"/>
              <w:ind w:left="0" w:right="0" w:hanging="0"/>
              <w:rPr/>
            </w:pPr>
            <w:r>
              <w:rPr/>
              <w:t> </w:t>
            </w:r>
          </w:p>
        </w:tc>
        <w:tc>
          <w:tcPr>
            <w:tcW w:w="6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27" w:type="dxa"/>
            <w:tcBorders/>
            <w:shd w:fill="auto" w:val="clear"/>
            <w:vAlign w:val="bottom"/>
          </w:tcPr>
          <w:p>
            <w:pPr>
              <w:pStyle w:val="TableContents"/>
              <w:spacing w:before="0" w:after="0"/>
              <w:ind w:left="0" w:right="0" w:hanging="0"/>
              <w:rPr/>
            </w:pPr>
            <w:r>
              <w:rPr/>
              <w:t> </w:t>
            </w:r>
          </w:p>
        </w:tc>
        <w:tc>
          <w:tcPr>
            <w:tcW w:w="6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27"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227" w:type="dxa"/>
            <w:tcBorders/>
            <w:shd w:fill="auto" w:val="clear"/>
            <w:vAlign w:val="bottom"/>
          </w:tcPr>
          <w:p>
            <w:pPr>
              <w:pStyle w:val="TableContents"/>
              <w:spacing w:before="0" w:after="0"/>
              <w:ind w:left="0" w:right="0" w:hanging="0"/>
              <w:rPr/>
            </w:pPr>
            <w:r>
              <w:rPr/>
              <w:t> </w:t>
            </w:r>
          </w:p>
        </w:tc>
        <w:tc>
          <w:tcPr>
            <w:tcW w:w="6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226" w:type="dxa"/>
            <w:tcBorders/>
            <w:shd w:fill="auto" w:val="clear"/>
            <w:vAlign w:val="bottom"/>
          </w:tcPr>
          <w:p>
            <w:pPr>
              <w:pStyle w:val="TableContents"/>
              <w:spacing w:before="0" w:after="0"/>
              <w:ind w:left="0" w:right="0" w:hanging="0"/>
              <w:rPr/>
            </w:pPr>
            <w:r>
              <w:rPr/>
              <w:t> </w:t>
            </w:r>
          </w:p>
        </w:tc>
        <w:tc>
          <w:tcPr>
            <w:tcW w:w="6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w:t>
            </w:r>
          </w:p>
        </w:tc>
        <w:tc>
          <w:tcPr>
            <w:tcW w:w="13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648"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(Expense), net</w:t>
            </w:r>
          </w:p>
        </w:tc>
        <w:tc>
          <w:tcPr>
            <w:tcW w:w="227" w:type="dxa"/>
            <w:tcBorders/>
            <w:shd w:fill="CCEEFF" w:val="clear"/>
            <w:vAlign w:val="bottom"/>
          </w:tcPr>
          <w:p>
            <w:pPr>
              <w:pStyle w:val="TableContents"/>
              <w:spacing w:before="0" w:after="0"/>
              <w:ind w:left="0" w:right="0" w:hanging="0"/>
              <w:rPr/>
            </w:pPr>
            <w:r>
              <w:rPr/>
              <w:t> </w:t>
            </w:r>
          </w:p>
        </w:tc>
        <w:tc>
          <w:tcPr>
            <w:tcW w:w="6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7" w:type="dxa"/>
            <w:tcBorders/>
            <w:shd w:fill="CCEEFF" w:val="clear"/>
            <w:vAlign w:val="bottom"/>
          </w:tcPr>
          <w:p>
            <w:pPr>
              <w:pStyle w:val="TableContents"/>
              <w:spacing w:before="0" w:after="0"/>
              <w:ind w:left="0" w:right="0" w:hanging="0"/>
              <w:rPr/>
            </w:pPr>
            <w:r>
              <w:rPr/>
              <w:t> </w:t>
            </w:r>
          </w:p>
        </w:tc>
        <w:tc>
          <w:tcPr>
            <w:tcW w:w="6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CCEEFF" w:val="clear"/>
            <w:vAlign w:val="bottom"/>
          </w:tcPr>
          <w:p>
            <w:pPr>
              <w:pStyle w:val="TableContents"/>
              <w:spacing w:before="0" w:after="0"/>
              <w:ind w:left="0" w:right="0" w:hanging="0"/>
              <w:rPr/>
            </w:pPr>
            <w:r>
              <w:rPr/>
              <w:t> </w:t>
            </w:r>
          </w:p>
        </w:tc>
        <w:tc>
          <w:tcPr>
            <w:tcW w:w="6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CCEEFF" w:val="clear"/>
            <w:vAlign w:val="bottom"/>
          </w:tcPr>
          <w:p>
            <w:pPr>
              <w:pStyle w:val="TableContents"/>
              <w:spacing w:before="0" w:after="0"/>
              <w:ind w:left="0" w:right="0" w:hanging="0"/>
              <w:rPr/>
            </w:pPr>
            <w:r>
              <w:rPr/>
              <w:t> </w:t>
            </w:r>
          </w:p>
        </w:tc>
        <w:tc>
          <w:tcPr>
            <w:tcW w:w="6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6" w:type="dxa"/>
            <w:tcBorders/>
            <w:shd w:fill="CCEEFF" w:val="clear"/>
            <w:vAlign w:val="bottom"/>
          </w:tcPr>
          <w:p>
            <w:pPr>
              <w:pStyle w:val="TableContents"/>
              <w:spacing w:before="0" w:after="0"/>
              <w:ind w:left="0" w:right="0" w:hanging="0"/>
              <w:rPr/>
            </w:pPr>
            <w:r>
              <w:rPr/>
              <w:t> </w:t>
            </w:r>
          </w:p>
        </w:tc>
        <w:tc>
          <w:tcPr>
            <w:tcW w:w="6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648"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27" w:type="dxa"/>
            <w:tcBorders/>
            <w:shd w:fill="auto" w:val="clear"/>
            <w:vAlign w:val="bottom"/>
          </w:tcPr>
          <w:p>
            <w:pPr>
              <w:pStyle w:val="TableContents"/>
              <w:spacing w:before="0" w:after="0"/>
              <w:ind w:left="0" w:right="0" w:hanging="0"/>
              <w:rPr/>
            </w:pPr>
            <w:r>
              <w:rPr/>
              <w:t> </w:t>
            </w:r>
          </w:p>
        </w:tc>
        <w:tc>
          <w:tcPr>
            <w:tcW w:w="11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227"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w:t>
            </w:r>
          </w:p>
        </w:tc>
        <w:tc>
          <w:tcPr>
            <w:tcW w:w="227"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227"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465</w:t>
            </w:r>
          </w:p>
        </w:tc>
        <w:tc>
          <w:tcPr>
            <w:tcW w:w="227"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495</w:t>
            </w:r>
          </w:p>
        </w:tc>
        <w:tc>
          <w:tcPr>
            <w:tcW w:w="227"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952</w:t>
            </w:r>
          </w:p>
        </w:tc>
        <w:tc>
          <w:tcPr>
            <w:tcW w:w="226"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1,002</w:t>
            </w:r>
          </w:p>
        </w:tc>
        <w:tc>
          <w:tcPr>
            <w:tcW w:w="13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648"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w:t>
            </w:r>
          </w:p>
        </w:tc>
        <w:tc>
          <w:tcPr>
            <w:tcW w:w="227"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27"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27"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27"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227"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227"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484</w:t>
            </w:r>
          </w:p>
        </w:tc>
        <w:tc>
          <w:tcPr>
            <w:tcW w:w="226"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549</w:t>
            </w:r>
          </w:p>
        </w:tc>
        <w:tc>
          <w:tcPr>
            <w:tcW w:w="13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648"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Basic Net Income per Limited Partner Unit</w:t>
            </w:r>
          </w:p>
        </w:tc>
        <w:tc>
          <w:tcPr>
            <w:tcW w:w="227" w:type="dxa"/>
            <w:tcBorders/>
            <w:shd w:fill="auto" w:val="clear"/>
            <w:vAlign w:val="bottom"/>
          </w:tcPr>
          <w:p>
            <w:pPr>
              <w:pStyle w:val="TableContents"/>
              <w:spacing w:before="0" w:after="0"/>
              <w:ind w:left="0" w:right="0" w:hanging="0"/>
              <w:rPr/>
            </w:pPr>
            <w:r>
              <w:rPr/>
              <w:t> </w:t>
            </w:r>
          </w:p>
        </w:tc>
        <w:tc>
          <w:tcPr>
            <w:tcW w:w="11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27"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0.48</w:t>
            </w:r>
          </w:p>
        </w:tc>
        <w:tc>
          <w:tcPr>
            <w:tcW w:w="227"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0.67</w:t>
            </w:r>
          </w:p>
        </w:tc>
        <w:tc>
          <w:tcPr>
            <w:tcW w:w="227"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227"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27"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2.69</w:t>
            </w:r>
          </w:p>
        </w:tc>
        <w:tc>
          <w:tcPr>
            <w:tcW w:w="226"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w:t>
            </w:r>
          </w:p>
        </w:tc>
        <w:tc>
          <w:tcPr>
            <w:tcW w:w="13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648"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Diluted Net Income per Limited Partner Unit</w:t>
            </w:r>
          </w:p>
        </w:tc>
        <w:tc>
          <w:tcPr>
            <w:tcW w:w="227"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27"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0.48</w:t>
            </w:r>
          </w:p>
        </w:tc>
        <w:tc>
          <w:tcPr>
            <w:tcW w:w="227"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0.67</w:t>
            </w:r>
          </w:p>
        </w:tc>
        <w:tc>
          <w:tcPr>
            <w:tcW w:w="227"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227"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27"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w:t>
            </w:r>
          </w:p>
        </w:tc>
        <w:tc>
          <w:tcPr>
            <w:tcW w:w="226"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w:t>
            </w:r>
          </w:p>
        </w:tc>
        <w:tc>
          <w:tcPr>
            <w:tcW w:w="13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648" w:type="dxa"/>
            <w:tcBorders>
              <w:left w:val="single" w:sz="8" w:space="0" w:color="000000"/>
              <w:bottom w:val="single" w:sz="8" w:space="0" w:color="000000"/>
            </w:tcBorders>
            <w:shd w:fill="auto" w:val="clear"/>
            <w:tcMar>
              <w:left w:w="28" w:type="dxa"/>
              <w:bottom w:w="28" w:type="dxa"/>
            </w:tcMar>
            <w:vAlign w:val="bottom"/>
          </w:tcPr>
          <w:p>
            <w:pPr>
              <w:pStyle w:val="TableContents"/>
              <w:spacing w:before="0" w:after="0"/>
              <w:ind w:left="0" w:right="0" w:hanging="0"/>
              <w:rPr/>
            </w:pPr>
            <w:r>
              <w:rPr/>
              <w:t> </w:t>
            </w:r>
          </w:p>
        </w:tc>
        <w:tc>
          <w:tcPr>
            <w:tcW w:w="22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6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2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2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68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2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2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2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6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26"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6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32" w:type="dxa"/>
            <w:tcBorders>
              <w:bottom w:val="single" w:sz="8" w:space="0" w:color="000000"/>
              <w:right w:val="single" w:sz="8" w:space="0" w:color="000000"/>
            </w:tcBorders>
            <w:shd w:fill="auto" w:val="clear"/>
            <w:tcMar>
              <w:bottom w:w="28" w:type="dxa"/>
              <w:right w:w="28"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205"/>
        <w:gridCol w:w="10000"/>
      </w:tblGrid>
      <w:tr>
        <w:trPr>
          <w:trHeight w:val="450" w:hRule="atLeast"/>
        </w:trPr>
        <w:tc>
          <w:tcPr>
            <w:tcW w:w="205"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00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projected average foreign exchange rate was based on actual rates for April 2009 and $1.18 CAD to $1 USD for the remainder of 2009. The rate as of May 5, 2009 was $1.18 CAD to $1 USD. A $0.10 change in the foreign exchange rate will impact forecasted EBITDA by approximately $9 million.</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Notes and Significant Assumptions: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i/>
          <w:sz w:val="17"/>
        </w:rPr>
        <w:t>Definitions.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575"/>
        <w:gridCol w:w="7630"/>
      </w:tblGrid>
      <w:tr>
        <w:trPr/>
        <w:tc>
          <w:tcPr>
            <w:tcW w:w="25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w:t>
            </w:r>
          </w:p>
        </w:tc>
        <w:tc>
          <w:tcPr>
            <w:tcW w:w="76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and taxes</w:t>
            </w:r>
          </w:p>
        </w:tc>
      </w:tr>
      <w:tr>
        <w:trPr/>
        <w:tc>
          <w:tcPr>
            <w:tcW w:w="25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76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and depreciation and amortization expense</w:t>
            </w:r>
          </w:p>
        </w:tc>
      </w:tr>
      <w:tr>
        <w:trPr/>
        <w:tc>
          <w:tcPr>
            <w:tcW w:w="25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76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revenues (including equity earnings, as applicable) less field operating costs and segment general and administrative expenses</w:t>
            </w:r>
          </w:p>
        </w:tc>
      </w:tr>
      <w:tr>
        <w:trPr/>
        <w:tc>
          <w:tcPr>
            <w:tcW w:w="25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Bbls/d</w:t>
            </w:r>
          </w:p>
        </w:tc>
        <w:tc>
          <w:tcPr>
            <w:tcW w:w="76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Barrels per day</w:t>
            </w:r>
          </w:p>
        </w:tc>
      </w:tr>
      <w:tr>
        <w:trPr/>
        <w:tc>
          <w:tcPr>
            <w:tcW w:w="25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Bcf</w:t>
            </w:r>
          </w:p>
        </w:tc>
        <w:tc>
          <w:tcPr>
            <w:tcW w:w="76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Billion cubic feet</w:t>
            </w:r>
          </w:p>
        </w:tc>
      </w:tr>
      <w:tr>
        <w:trPr/>
        <w:tc>
          <w:tcPr>
            <w:tcW w:w="25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76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w:t>
            </w:r>
          </w:p>
        </w:tc>
      </w:tr>
      <w:tr>
        <w:trPr/>
        <w:tc>
          <w:tcPr>
            <w:tcW w:w="25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76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Liquefied petroleum gas and other natural gas-related petroleum products (primarily propane and butane)</w:t>
            </w:r>
          </w:p>
        </w:tc>
      </w:tr>
      <w:tr>
        <w:trPr/>
        <w:tc>
          <w:tcPr>
            <w:tcW w:w="25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FX</w:t>
            </w:r>
          </w:p>
        </w:tc>
        <w:tc>
          <w:tcPr>
            <w:tcW w:w="76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Foreign currency exchange</w:t>
            </w:r>
          </w:p>
        </w:tc>
      </w:tr>
      <w:tr>
        <w:trPr/>
        <w:tc>
          <w:tcPr>
            <w:tcW w:w="25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partner (GP)</w:t>
            </w:r>
          </w:p>
        </w:tc>
        <w:tc>
          <w:tcPr>
            <w:tcW w:w="76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the context requires, general partner refers to any or all of (i) PAA GP LLC, the owner of our 2% general partner interest, (ii) Plains AAP, L.P., the sole member of PAA GP LLC and owner of our incentive distribution rights and (iii) Plains All American GP LLC, the general partner of Plains AAP, L.P.</w:t>
            </w:r>
          </w:p>
        </w:tc>
      </w:tr>
      <w:tr>
        <w:trPr/>
        <w:tc>
          <w:tcPr>
            <w:tcW w:w="25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Class B units</w:t>
            </w:r>
          </w:p>
        </w:tc>
        <w:tc>
          <w:tcPr>
            <w:tcW w:w="76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Class B units of Plains AAP, L.P.</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i/>
          <w:sz w:val="17"/>
        </w:rPr>
        <w:t>Business Segments</w:t>
      </w:r>
      <w:r>
        <w:rPr>
          <w:rFonts w:ascii="Times New Roman" w:hAnsi="Times New Roman"/>
          <w:sz w:val="17"/>
        </w:rPr>
        <w:t>.  We manage our operations through three operating segments: (i) Transportation, (ii) Facilities and (iii) Marketing. The following is a brief explanation of the operating activities for each segment as well as key metrics.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Transportation.</w:t>
      </w:r>
      <w:r>
        <w:rPr>
          <w:rFonts w:ascii="Times New Roman" w:hAnsi="Times New Roman"/>
        </w:rPr>
        <w:t xml:space="preserve">  </w:t>
      </w:r>
      <w:r>
        <w:rPr>
          <w:rFonts w:ascii="Times New Roman" w:hAnsi="Times New Roman"/>
          <w:sz w:val="17"/>
        </w:rPr>
        <w:t>Our transportation segment operations generally consist of fee-based activities associated with transporting crude oil and refined products on pipelines, gathering systems, trucks and barges. We generate revenue through a combination of tariffs, third-party leases of pipeline capacity and transportation fees. We also include in this segment our equity earnings from our investment in the Butte and Frontier pipeline systems and Settoon Towing, in which we own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Pipeline volume estimates are based on historical trends, anticipated future operating performance and completion of internal growth projects. Volumes are influenced by maintenance schedules at refineries, production declines, weather and other natural disasters including hurricanes, changes in the quantity of inventory held in tanks, and other external factors beyond our control. Segment profit is forecast using the volume assumptions in the table below, priced at forecasted tariff rates, less estimated field operating costs and G&amp;A expenses. Field operating costs do not include depreciation. Actual segment profit could vary materially depending on the level and mix of volumes transported or expenses incurred during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total pipeline volumes and highlights major systems that are significant either in total volumes transported or in contribution to total transportation segment profit.</w:t>
      </w:r>
    </w:p>
    <w:p>
      <w:pPr>
        <w:pStyle w:val="TextBody"/>
        <w:spacing w:before="0" w:after="0"/>
        <w:ind w:left="0" w:right="0" w:hanging="0"/>
        <w:rPr/>
      </w:pPr>
      <w:r>
        <w:rPr/>
        <w:t> </w:t>
      </w:r>
    </w:p>
    <w:tbl>
      <w:tblPr>
        <w:tblW w:w="4300" w:type="pct"/>
        <w:jc w:val="left"/>
        <w:tblInd w:w="0" w:type="dxa"/>
        <w:tblCellMar>
          <w:top w:w="0" w:type="dxa"/>
          <w:left w:w="0" w:type="dxa"/>
          <w:bottom w:w="0" w:type="dxa"/>
          <w:right w:w="0" w:type="dxa"/>
        </w:tblCellMar>
      </w:tblPr>
      <w:tblGrid>
        <w:gridCol w:w="2822"/>
        <w:gridCol w:w="99"/>
        <w:gridCol w:w="213"/>
        <w:gridCol w:w="1081"/>
        <w:gridCol w:w="153"/>
        <w:gridCol w:w="213"/>
        <w:gridCol w:w="1081"/>
        <w:gridCol w:w="191"/>
        <w:gridCol w:w="198"/>
        <w:gridCol w:w="1038"/>
        <w:gridCol w:w="191"/>
        <w:gridCol w:w="226"/>
        <w:gridCol w:w="1070"/>
        <w:gridCol w:w="200"/>
      </w:tblGrid>
      <w:tr>
        <w:trPr/>
        <w:tc>
          <w:tcPr>
            <w:tcW w:w="2822" w:type="dxa"/>
            <w:tcBorders/>
            <w:shd w:fill="auto" w:val="cle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jc w:val="center"/>
              <w:rPr/>
            </w:pPr>
            <w:r>
              <w:rPr/>
              <w:t> </w:t>
            </w:r>
          </w:p>
        </w:tc>
        <w:tc>
          <w:tcPr>
            <w:tcW w:w="129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53" w:type="dxa"/>
            <w:tcBorders/>
            <w:shd w:fill="auto" w:val="clear"/>
            <w:vAlign w:val="bottom"/>
          </w:tcPr>
          <w:p>
            <w:pPr>
              <w:pStyle w:val="TableContents"/>
              <w:spacing w:before="0" w:after="0"/>
              <w:ind w:left="0" w:right="0" w:hanging="0"/>
              <w:jc w:val="center"/>
              <w:rPr/>
            </w:pPr>
            <w:r>
              <w:rPr/>
              <w:t> </w:t>
            </w:r>
          </w:p>
        </w:tc>
        <w:tc>
          <w:tcPr>
            <w:tcW w:w="4208"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 Guidance</w:t>
            </w:r>
          </w:p>
        </w:tc>
        <w:tc>
          <w:tcPr>
            <w:tcW w:w="200" w:type="dxa"/>
            <w:tcBorders/>
            <w:shd w:fill="auto" w:val="clear"/>
            <w:vAlign w:val="bottom"/>
          </w:tcPr>
          <w:p>
            <w:pPr>
              <w:pStyle w:val="TableContents"/>
              <w:spacing w:before="0" w:after="0"/>
              <w:ind w:left="0" w:right="0" w:hanging="0"/>
              <w:jc w:val="center"/>
              <w:rPr/>
            </w:pPr>
            <w:r>
              <w:rPr/>
              <w:t> </w:t>
            </w:r>
          </w:p>
        </w:tc>
      </w:tr>
      <w:tr>
        <w:trPr/>
        <w:tc>
          <w:tcPr>
            <w:tcW w:w="2822" w:type="dxa"/>
            <w:tcBorders/>
            <w:shd w:fill="auto" w:val="cle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jc w:val="center"/>
              <w:rPr/>
            </w:pPr>
            <w:r>
              <w:rPr/>
              <w:t> </w:t>
            </w:r>
          </w:p>
        </w:tc>
        <w:tc>
          <w:tcPr>
            <w:tcW w:w="129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53" w:type="dxa"/>
            <w:tcBorders/>
            <w:shd w:fill="auto" w:val="clear"/>
            <w:vAlign w:val="bottom"/>
          </w:tcPr>
          <w:p>
            <w:pPr>
              <w:pStyle w:val="TableContents"/>
              <w:spacing w:before="0" w:after="0"/>
              <w:ind w:left="0" w:right="0" w:hanging="0"/>
              <w:jc w:val="center"/>
              <w:rPr/>
            </w:pPr>
            <w:r>
              <w:rPr/>
              <w:t> </w:t>
            </w:r>
          </w:p>
        </w:tc>
        <w:tc>
          <w:tcPr>
            <w:tcW w:w="129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91" w:type="dxa"/>
            <w:tcBorders/>
            <w:shd w:fill="auto" w:val="clear"/>
            <w:vAlign w:val="bottom"/>
          </w:tcPr>
          <w:p>
            <w:pPr>
              <w:pStyle w:val="TableContents"/>
              <w:spacing w:before="0" w:after="0"/>
              <w:ind w:left="0" w:right="0" w:hanging="0"/>
              <w:jc w:val="center"/>
              <w:rPr/>
            </w:pPr>
            <w:r>
              <w:rPr/>
              <w:t> </w:t>
            </w:r>
          </w:p>
        </w:tc>
        <w:tc>
          <w:tcPr>
            <w:tcW w:w="123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91" w:type="dxa"/>
            <w:tcBorders/>
            <w:shd w:fill="auto" w:val="clear"/>
            <w:vAlign w:val="bottom"/>
          </w:tcPr>
          <w:p>
            <w:pPr>
              <w:pStyle w:val="TableContents"/>
              <w:spacing w:before="0" w:after="0"/>
              <w:ind w:left="0" w:right="0" w:hanging="0"/>
              <w:jc w:val="center"/>
              <w:rPr/>
            </w:pPr>
            <w:r>
              <w:rPr/>
              <w:t> </w:t>
            </w:r>
          </w:p>
        </w:tc>
        <w:tc>
          <w:tcPr>
            <w:tcW w:w="129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200" w:type="dxa"/>
            <w:tcBorders/>
            <w:shd w:fill="auto" w:val="clear"/>
            <w:vAlign w:val="bottom"/>
          </w:tcPr>
          <w:p>
            <w:pPr>
              <w:pStyle w:val="TableContents"/>
              <w:spacing w:before="0" w:after="0"/>
              <w:ind w:left="0" w:right="0" w:hanging="0"/>
              <w:jc w:val="center"/>
              <w:rPr/>
            </w:pPr>
            <w:r>
              <w:rPr/>
              <w:t> </w:t>
            </w:r>
          </w:p>
        </w:tc>
      </w:tr>
      <w:tr>
        <w:trPr/>
        <w:tc>
          <w:tcPr>
            <w:tcW w:w="2822" w:type="dxa"/>
            <w:tcBorders/>
            <w:shd w:fill="auto" w:val="cle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jc w:val="center"/>
              <w:rPr/>
            </w:pPr>
            <w:r>
              <w:rPr/>
              <w:t> </w:t>
            </w:r>
          </w:p>
        </w:tc>
        <w:tc>
          <w:tcPr>
            <w:tcW w:w="129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53" w:type="dxa"/>
            <w:tcBorders/>
            <w:shd w:fill="auto" w:val="clear"/>
            <w:vAlign w:val="bottom"/>
          </w:tcPr>
          <w:p>
            <w:pPr>
              <w:pStyle w:val="TableContents"/>
              <w:spacing w:before="0" w:after="0"/>
              <w:ind w:left="0" w:right="0" w:hanging="0"/>
              <w:jc w:val="center"/>
              <w:rPr/>
            </w:pPr>
            <w:r>
              <w:rPr/>
              <w:t> </w:t>
            </w:r>
          </w:p>
        </w:tc>
        <w:tc>
          <w:tcPr>
            <w:tcW w:w="129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91" w:type="dxa"/>
            <w:tcBorders/>
            <w:shd w:fill="auto" w:val="clear"/>
            <w:vAlign w:val="bottom"/>
          </w:tcPr>
          <w:p>
            <w:pPr>
              <w:pStyle w:val="TableContents"/>
              <w:spacing w:before="0" w:after="0"/>
              <w:ind w:left="0" w:right="0" w:hanging="0"/>
              <w:jc w:val="center"/>
              <w:rPr/>
            </w:pPr>
            <w:r>
              <w:rPr/>
              <w:t> </w:t>
            </w:r>
          </w:p>
        </w:tc>
        <w:tc>
          <w:tcPr>
            <w:tcW w:w="123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91" w:type="dxa"/>
            <w:tcBorders/>
            <w:shd w:fill="auto" w:val="clear"/>
            <w:vAlign w:val="bottom"/>
          </w:tcPr>
          <w:p>
            <w:pPr>
              <w:pStyle w:val="TableContents"/>
              <w:spacing w:before="0" w:after="0"/>
              <w:ind w:left="0" w:right="0" w:hanging="0"/>
              <w:jc w:val="center"/>
              <w:rPr/>
            </w:pPr>
            <w:r>
              <w:rPr/>
              <w:t> </w:t>
            </w:r>
          </w:p>
        </w:tc>
        <w:tc>
          <w:tcPr>
            <w:tcW w:w="129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00" w:type="dxa"/>
            <w:tcBorders/>
            <w:shd w:fill="auto" w:val="clear"/>
            <w:vAlign w:val="bottom"/>
          </w:tcPr>
          <w:p>
            <w:pPr>
              <w:pStyle w:val="TableContents"/>
              <w:spacing w:before="0" w:after="0"/>
              <w:ind w:left="0" w:right="0" w:hanging="0"/>
              <w:jc w:val="center"/>
              <w:rPr/>
            </w:pPr>
            <w:r>
              <w:rPr/>
              <w:t> </w:t>
            </w:r>
          </w:p>
        </w:tc>
      </w:tr>
      <w:tr>
        <w:trPr/>
        <w:tc>
          <w:tcPr>
            <w:tcW w:w="2822" w:type="dxa"/>
            <w:tcBorders/>
            <w:shd w:fill="auto" w:val="cle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jc w:val="center"/>
              <w:rPr/>
            </w:pPr>
            <w:r>
              <w:rPr/>
              <w:t> </w:t>
            </w:r>
          </w:p>
        </w:tc>
        <w:tc>
          <w:tcPr>
            <w:tcW w:w="129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53" w:type="dxa"/>
            <w:tcBorders/>
            <w:shd w:fill="auto" w:val="clear"/>
            <w:vAlign w:val="bottom"/>
          </w:tcPr>
          <w:p>
            <w:pPr>
              <w:pStyle w:val="TableContents"/>
              <w:spacing w:before="0" w:after="0"/>
              <w:ind w:left="0" w:right="0" w:hanging="0"/>
              <w:jc w:val="center"/>
              <w:rPr/>
            </w:pPr>
            <w:r>
              <w:rPr/>
              <w:t> </w:t>
            </w:r>
          </w:p>
        </w:tc>
        <w:tc>
          <w:tcPr>
            <w:tcW w:w="129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91" w:type="dxa"/>
            <w:tcBorders/>
            <w:shd w:fill="auto" w:val="clear"/>
            <w:vAlign w:val="bottom"/>
          </w:tcPr>
          <w:p>
            <w:pPr>
              <w:pStyle w:val="TableContents"/>
              <w:spacing w:before="0" w:after="0"/>
              <w:ind w:left="0" w:right="0" w:hanging="0"/>
              <w:jc w:val="center"/>
              <w:rPr/>
            </w:pPr>
            <w:r>
              <w:rPr/>
              <w:t> </w:t>
            </w:r>
          </w:p>
        </w:tc>
        <w:tc>
          <w:tcPr>
            <w:tcW w:w="123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91" w:type="dxa"/>
            <w:tcBorders/>
            <w:shd w:fill="auto" w:val="clear"/>
            <w:vAlign w:val="bottom"/>
          </w:tcPr>
          <w:p>
            <w:pPr>
              <w:pStyle w:val="TableContents"/>
              <w:spacing w:before="0" w:after="0"/>
              <w:ind w:left="0" w:right="0" w:hanging="0"/>
              <w:jc w:val="center"/>
              <w:rPr/>
            </w:pPr>
            <w:r>
              <w:rPr/>
              <w:t> </w:t>
            </w:r>
          </w:p>
        </w:tc>
        <w:tc>
          <w:tcPr>
            <w:tcW w:w="129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00" w:type="dxa"/>
            <w:tcBorders/>
            <w:shd w:fill="auto" w:val="clear"/>
            <w:vAlign w:val="bottom"/>
          </w:tcPr>
          <w:p>
            <w:pPr>
              <w:pStyle w:val="TableContents"/>
              <w:spacing w:before="0" w:after="0"/>
              <w:ind w:left="0" w:right="0" w:hanging="0"/>
              <w:jc w:val="center"/>
              <w:rPr/>
            </w:pPr>
            <w:r>
              <w:rPr/>
              <w:t> </w:t>
            </w:r>
          </w:p>
        </w:tc>
      </w:tr>
      <w:tr>
        <w:trPr/>
        <w:tc>
          <w:tcPr>
            <w:tcW w:w="282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Average Daily Volumes (000 Bbls/d)</w:t>
            </w:r>
          </w:p>
        </w:tc>
        <w:tc>
          <w:tcPr>
            <w:tcW w:w="99" w:type="dxa"/>
            <w:tcBorders/>
            <w:shd w:fill="CCEEFF" w:val="clear"/>
            <w:vAlign w:val="bottom"/>
          </w:tcPr>
          <w:p>
            <w:pPr>
              <w:pStyle w:val="TableContents"/>
              <w:spacing w:before="0" w:after="0"/>
              <w:ind w:left="0" w:right="0" w:hanging="0"/>
              <w:rPr/>
            </w:pPr>
            <w:r>
              <w:rPr/>
              <w:t> </w:t>
            </w:r>
          </w:p>
        </w:tc>
        <w:tc>
          <w:tcPr>
            <w:tcW w:w="1294" w:type="dxa"/>
            <w:gridSpan w:val="2"/>
            <w:tcBorders/>
            <w:shd w:fill="CCEEFF" w:val="clear"/>
            <w:vAlign w:val="bottom"/>
          </w:tcPr>
          <w:p>
            <w:pPr>
              <w:pStyle w:val="TableContents"/>
              <w:spacing w:before="0" w:after="0"/>
              <w:ind w:left="0" w:right="0" w:hanging="0"/>
              <w:jc w:val="right"/>
              <w:rPr/>
            </w:pPr>
            <w:r>
              <w:rPr/>
              <w:t> </w:t>
            </w:r>
          </w:p>
        </w:tc>
        <w:tc>
          <w:tcPr>
            <w:tcW w:w="153" w:type="dxa"/>
            <w:tcBorders/>
            <w:shd w:fill="CCEEFF" w:val="clear"/>
            <w:vAlign w:val="bottom"/>
          </w:tcPr>
          <w:p>
            <w:pPr>
              <w:pStyle w:val="TableContents"/>
              <w:spacing w:before="0" w:after="0"/>
              <w:ind w:left="0" w:right="0" w:hanging="0"/>
              <w:rPr/>
            </w:pPr>
            <w:r>
              <w:rPr/>
              <w:t> </w:t>
            </w:r>
          </w:p>
        </w:tc>
        <w:tc>
          <w:tcPr>
            <w:tcW w:w="1294" w:type="dxa"/>
            <w:gridSpan w:val="2"/>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c>
          <w:tcPr>
            <w:tcW w:w="1236" w:type="dxa"/>
            <w:gridSpan w:val="2"/>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r>
      <w:tr>
        <w:trPr/>
        <w:tc>
          <w:tcPr>
            <w:tcW w:w="28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All American </w:t>
            </w:r>
          </w:p>
        </w:tc>
        <w:tc>
          <w:tcPr>
            <w:tcW w:w="99" w:type="dxa"/>
            <w:tcBorders/>
            <w:shd w:fill="auto" w:val="clear"/>
            <w:vAlign w:val="bottom"/>
          </w:tcPr>
          <w:p>
            <w:pPr>
              <w:pStyle w:val="TableContents"/>
              <w:spacing w:before="0" w:after="0"/>
              <w:ind w:left="0" w:right="0" w:hanging="0"/>
              <w:rPr/>
            </w:pPr>
            <w:r>
              <w:rPr/>
              <w:t> </w:t>
            </w:r>
          </w:p>
        </w:tc>
        <w:tc>
          <w:tcPr>
            <w:tcW w:w="12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53" w:type="dxa"/>
            <w:tcBorders/>
            <w:shd w:fill="auto" w:val="clear"/>
            <w:vAlign w:val="bottom"/>
          </w:tcPr>
          <w:p>
            <w:pPr>
              <w:pStyle w:val="TableContents"/>
              <w:spacing w:before="0" w:after="0"/>
              <w:ind w:left="0" w:right="0" w:hanging="0"/>
              <w:rPr/>
            </w:pPr>
            <w:r>
              <w:rPr/>
              <w:t> </w:t>
            </w:r>
          </w:p>
        </w:tc>
        <w:tc>
          <w:tcPr>
            <w:tcW w:w="12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91" w:type="dxa"/>
            <w:tcBorders/>
            <w:shd w:fill="auto" w:val="clear"/>
            <w:vAlign w:val="bottom"/>
          </w:tcPr>
          <w:p>
            <w:pPr>
              <w:pStyle w:val="TableContents"/>
              <w:spacing w:before="0" w:after="0"/>
              <w:ind w:left="0" w:right="0" w:hanging="0"/>
              <w:rPr/>
            </w:pPr>
            <w:r>
              <w:rPr/>
              <w:t> </w:t>
            </w:r>
          </w:p>
        </w:tc>
        <w:tc>
          <w:tcPr>
            <w:tcW w:w="12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91"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00" w:type="dxa"/>
            <w:tcBorders/>
            <w:shd w:fill="auto" w:val="clear"/>
            <w:vAlign w:val="bottom"/>
          </w:tcPr>
          <w:p>
            <w:pPr>
              <w:pStyle w:val="TableContents"/>
              <w:spacing w:before="0" w:after="0"/>
              <w:ind w:left="0" w:right="0" w:hanging="0"/>
              <w:rPr/>
            </w:pPr>
            <w:r>
              <w:rPr/>
              <w:t> </w:t>
            </w:r>
          </w:p>
        </w:tc>
      </w:tr>
      <w:tr>
        <w:trPr/>
        <w:tc>
          <w:tcPr>
            <w:tcW w:w="282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Basin </w:t>
            </w:r>
          </w:p>
        </w:tc>
        <w:tc>
          <w:tcPr>
            <w:tcW w:w="99" w:type="dxa"/>
            <w:tcBorders/>
            <w:shd w:fill="CCEEFF" w:val="clear"/>
            <w:vAlign w:val="bottom"/>
          </w:tcPr>
          <w:p>
            <w:pPr>
              <w:pStyle w:val="TableContents"/>
              <w:spacing w:before="0" w:after="0"/>
              <w:ind w:left="0" w:right="0" w:hanging="0"/>
              <w:rPr/>
            </w:pPr>
            <w:r>
              <w:rPr/>
              <w:t> </w:t>
            </w:r>
          </w:p>
        </w:tc>
        <w:tc>
          <w:tcPr>
            <w:tcW w:w="12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393</w:t>
            </w:r>
          </w:p>
        </w:tc>
        <w:tc>
          <w:tcPr>
            <w:tcW w:w="153" w:type="dxa"/>
            <w:tcBorders/>
            <w:shd w:fill="CCEEFF" w:val="clear"/>
            <w:vAlign w:val="bottom"/>
          </w:tcPr>
          <w:p>
            <w:pPr>
              <w:pStyle w:val="TableContents"/>
              <w:spacing w:before="0" w:after="0"/>
              <w:ind w:left="0" w:right="0" w:hanging="0"/>
              <w:rPr/>
            </w:pPr>
            <w:r>
              <w:rPr/>
              <w:t> </w:t>
            </w:r>
          </w:p>
        </w:tc>
        <w:tc>
          <w:tcPr>
            <w:tcW w:w="12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191" w:type="dxa"/>
            <w:tcBorders/>
            <w:shd w:fill="CCEEFF" w:val="clear"/>
            <w:vAlign w:val="bottom"/>
          </w:tcPr>
          <w:p>
            <w:pPr>
              <w:pStyle w:val="TableContents"/>
              <w:spacing w:before="0" w:after="0"/>
              <w:ind w:left="0" w:right="0" w:hanging="0"/>
              <w:rPr/>
            </w:pPr>
            <w:r>
              <w:rPr/>
              <w:t> </w:t>
            </w:r>
          </w:p>
        </w:tc>
        <w:tc>
          <w:tcPr>
            <w:tcW w:w="12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191"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371</w:t>
            </w:r>
          </w:p>
        </w:tc>
        <w:tc>
          <w:tcPr>
            <w:tcW w:w="200" w:type="dxa"/>
            <w:tcBorders/>
            <w:shd w:fill="CCEEFF" w:val="clear"/>
            <w:vAlign w:val="bottom"/>
          </w:tcPr>
          <w:p>
            <w:pPr>
              <w:pStyle w:val="TableContents"/>
              <w:spacing w:before="0" w:after="0"/>
              <w:ind w:left="0" w:right="0" w:hanging="0"/>
              <w:rPr/>
            </w:pPr>
            <w:r>
              <w:rPr/>
              <w:t> </w:t>
            </w:r>
          </w:p>
        </w:tc>
      </w:tr>
      <w:tr>
        <w:trPr/>
        <w:tc>
          <w:tcPr>
            <w:tcW w:w="28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Capline </w:t>
            </w:r>
          </w:p>
        </w:tc>
        <w:tc>
          <w:tcPr>
            <w:tcW w:w="99" w:type="dxa"/>
            <w:tcBorders/>
            <w:shd w:fill="auto" w:val="clear"/>
            <w:vAlign w:val="bottom"/>
          </w:tcPr>
          <w:p>
            <w:pPr>
              <w:pStyle w:val="TableContents"/>
              <w:spacing w:before="0" w:after="0"/>
              <w:ind w:left="0" w:right="0" w:hanging="0"/>
              <w:rPr/>
            </w:pPr>
            <w:r>
              <w:rPr/>
              <w:t> </w:t>
            </w:r>
          </w:p>
        </w:tc>
        <w:tc>
          <w:tcPr>
            <w:tcW w:w="12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206</w:t>
            </w:r>
          </w:p>
        </w:tc>
        <w:tc>
          <w:tcPr>
            <w:tcW w:w="153" w:type="dxa"/>
            <w:tcBorders/>
            <w:shd w:fill="auto" w:val="clear"/>
            <w:vAlign w:val="bottom"/>
          </w:tcPr>
          <w:p>
            <w:pPr>
              <w:pStyle w:val="TableContents"/>
              <w:spacing w:before="0" w:after="0"/>
              <w:ind w:left="0" w:right="0" w:hanging="0"/>
              <w:rPr/>
            </w:pPr>
            <w:r>
              <w:rPr/>
              <w:t> </w:t>
            </w:r>
          </w:p>
        </w:tc>
        <w:tc>
          <w:tcPr>
            <w:tcW w:w="12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191" w:type="dxa"/>
            <w:tcBorders/>
            <w:shd w:fill="auto" w:val="clear"/>
            <w:vAlign w:val="bottom"/>
          </w:tcPr>
          <w:p>
            <w:pPr>
              <w:pStyle w:val="TableContents"/>
              <w:spacing w:before="0" w:after="0"/>
              <w:ind w:left="0" w:right="0" w:hanging="0"/>
              <w:rPr/>
            </w:pPr>
            <w:r>
              <w:rPr/>
              <w:t> </w:t>
            </w:r>
          </w:p>
        </w:tc>
        <w:tc>
          <w:tcPr>
            <w:tcW w:w="12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191"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200" w:type="dxa"/>
            <w:tcBorders/>
            <w:shd w:fill="auto" w:val="clear"/>
            <w:vAlign w:val="bottom"/>
          </w:tcPr>
          <w:p>
            <w:pPr>
              <w:pStyle w:val="TableContents"/>
              <w:spacing w:before="0" w:after="0"/>
              <w:ind w:left="0" w:right="0" w:hanging="0"/>
              <w:rPr/>
            </w:pPr>
            <w:r>
              <w:rPr/>
              <w:t> </w:t>
            </w:r>
          </w:p>
        </w:tc>
      </w:tr>
      <w:tr>
        <w:trPr/>
        <w:tc>
          <w:tcPr>
            <w:tcW w:w="282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Line 63 / 2000 </w:t>
            </w:r>
          </w:p>
        </w:tc>
        <w:tc>
          <w:tcPr>
            <w:tcW w:w="99" w:type="dxa"/>
            <w:tcBorders/>
            <w:shd w:fill="CCEEFF" w:val="clear"/>
            <w:vAlign w:val="bottom"/>
          </w:tcPr>
          <w:p>
            <w:pPr>
              <w:pStyle w:val="TableContents"/>
              <w:spacing w:before="0" w:after="0"/>
              <w:ind w:left="0" w:right="0" w:hanging="0"/>
              <w:rPr/>
            </w:pPr>
            <w:r>
              <w:rPr/>
              <w:t> </w:t>
            </w:r>
          </w:p>
        </w:tc>
        <w:tc>
          <w:tcPr>
            <w:tcW w:w="12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53" w:type="dxa"/>
            <w:tcBorders/>
            <w:shd w:fill="CCEEFF" w:val="clear"/>
            <w:vAlign w:val="bottom"/>
          </w:tcPr>
          <w:p>
            <w:pPr>
              <w:pStyle w:val="TableContents"/>
              <w:spacing w:before="0" w:after="0"/>
              <w:ind w:left="0" w:right="0" w:hanging="0"/>
              <w:rPr/>
            </w:pPr>
            <w:r>
              <w:rPr/>
              <w:t> </w:t>
            </w:r>
          </w:p>
        </w:tc>
        <w:tc>
          <w:tcPr>
            <w:tcW w:w="12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91" w:type="dxa"/>
            <w:tcBorders/>
            <w:shd w:fill="CCEEFF" w:val="clear"/>
            <w:vAlign w:val="bottom"/>
          </w:tcPr>
          <w:p>
            <w:pPr>
              <w:pStyle w:val="TableContents"/>
              <w:spacing w:before="0" w:after="0"/>
              <w:ind w:left="0" w:right="0" w:hanging="0"/>
              <w:rPr/>
            </w:pPr>
            <w:r>
              <w:rPr/>
              <w:t> </w:t>
            </w:r>
          </w:p>
        </w:tc>
        <w:tc>
          <w:tcPr>
            <w:tcW w:w="12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91"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00" w:type="dxa"/>
            <w:tcBorders/>
            <w:shd w:fill="CCEEFF" w:val="clear"/>
            <w:vAlign w:val="bottom"/>
          </w:tcPr>
          <w:p>
            <w:pPr>
              <w:pStyle w:val="TableContents"/>
              <w:spacing w:before="0" w:after="0"/>
              <w:ind w:left="0" w:right="0" w:hanging="0"/>
              <w:rPr/>
            </w:pPr>
            <w:r>
              <w:rPr/>
              <w:t> </w:t>
            </w:r>
          </w:p>
        </w:tc>
      </w:tr>
      <w:tr>
        <w:trPr/>
        <w:tc>
          <w:tcPr>
            <w:tcW w:w="2822" w:type="dxa"/>
            <w:tcBorders/>
            <w:shd w:fill="auto" w:val="clear"/>
          </w:tcPr>
          <w:p>
            <w:pPr>
              <w:pStyle w:val="TableContents"/>
              <w:spacing w:before="0" w:after="0"/>
              <w:ind w:left="0" w:right="0" w:hanging="0"/>
              <w:rPr/>
            </w:pPr>
            <w:r>
              <w:rPr>
                <w:rFonts w:ascii="Times New Roman" w:hAnsi="Times New Roman"/>
                <w:sz w:val="17"/>
              </w:rPr>
              <w:t xml:space="preserve">Salt Lake City Area Systems </w:t>
            </w:r>
            <w:r>
              <w:rPr>
                <w:sz w:val="11"/>
              </w:rPr>
              <w:t>(1) (2)</w:t>
            </w:r>
          </w:p>
        </w:tc>
        <w:tc>
          <w:tcPr>
            <w:tcW w:w="99" w:type="dxa"/>
            <w:tcBorders/>
            <w:shd w:fill="auto" w:val="clear"/>
            <w:vAlign w:val="bottom"/>
          </w:tcPr>
          <w:p>
            <w:pPr>
              <w:pStyle w:val="TableContents"/>
              <w:spacing w:before="0" w:after="0"/>
              <w:ind w:left="0" w:right="0" w:hanging="0"/>
              <w:rPr/>
            </w:pPr>
            <w:r>
              <w:rPr/>
              <w:t> </w:t>
            </w:r>
          </w:p>
        </w:tc>
        <w:tc>
          <w:tcPr>
            <w:tcW w:w="12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153" w:type="dxa"/>
            <w:tcBorders/>
            <w:shd w:fill="auto" w:val="clear"/>
            <w:vAlign w:val="bottom"/>
          </w:tcPr>
          <w:p>
            <w:pPr>
              <w:pStyle w:val="TableContents"/>
              <w:spacing w:before="0" w:after="0"/>
              <w:ind w:left="0" w:right="0" w:hanging="0"/>
              <w:rPr/>
            </w:pPr>
            <w:r>
              <w:rPr/>
              <w:t> </w:t>
            </w:r>
          </w:p>
        </w:tc>
        <w:tc>
          <w:tcPr>
            <w:tcW w:w="12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91" w:type="dxa"/>
            <w:tcBorders/>
            <w:shd w:fill="auto" w:val="clear"/>
            <w:vAlign w:val="bottom"/>
          </w:tcPr>
          <w:p>
            <w:pPr>
              <w:pStyle w:val="TableContents"/>
              <w:spacing w:before="0" w:after="0"/>
              <w:ind w:left="0" w:right="0" w:hanging="0"/>
              <w:rPr/>
            </w:pPr>
            <w:r>
              <w:rPr/>
              <w:t> </w:t>
            </w:r>
          </w:p>
        </w:tc>
        <w:tc>
          <w:tcPr>
            <w:tcW w:w="12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91"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00" w:type="dxa"/>
            <w:tcBorders/>
            <w:shd w:fill="auto" w:val="clear"/>
            <w:vAlign w:val="bottom"/>
          </w:tcPr>
          <w:p>
            <w:pPr>
              <w:pStyle w:val="TableContents"/>
              <w:spacing w:before="0" w:after="0"/>
              <w:ind w:left="0" w:right="0" w:hanging="0"/>
              <w:rPr/>
            </w:pPr>
            <w:r>
              <w:rPr/>
              <w:t> </w:t>
            </w:r>
          </w:p>
        </w:tc>
      </w:tr>
      <w:tr>
        <w:trPr/>
        <w:tc>
          <w:tcPr>
            <w:tcW w:w="2822" w:type="dxa"/>
            <w:tcBorders/>
            <w:shd w:fill="CCEEFF" w:val="clear"/>
          </w:tcPr>
          <w:p>
            <w:pPr>
              <w:pStyle w:val="TableContents"/>
              <w:spacing w:before="0" w:after="0"/>
              <w:ind w:left="0" w:right="0" w:hanging="0"/>
              <w:rPr/>
            </w:pPr>
            <w:r>
              <w:rPr>
                <w:rFonts w:ascii="Times New Roman" w:hAnsi="Times New Roman"/>
                <w:sz w:val="17"/>
              </w:rPr>
              <w:t>West Texas / New Mexico Area Systems </w:t>
            </w:r>
            <w:r>
              <w:rPr>
                <w:sz w:val="11"/>
              </w:rPr>
              <w:t>(1)</w:t>
            </w:r>
          </w:p>
        </w:tc>
        <w:tc>
          <w:tcPr>
            <w:tcW w:w="99" w:type="dxa"/>
            <w:tcBorders/>
            <w:shd w:fill="CCEEFF" w:val="clear"/>
            <w:vAlign w:val="bottom"/>
          </w:tcPr>
          <w:p>
            <w:pPr>
              <w:pStyle w:val="TableContents"/>
              <w:spacing w:before="0" w:after="0"/>
              <w:ind w:left="0" w:right="0" w:hanging="0"/>
              <w:rPr/>
            </w:pPr>
            <w:r>
              <w:rPr/>
              <w:t> </w:t>
            </w:r>
          </w:p>
        </w:tc>
        <w:tc>
          <w:tcPr>
            <w:tcW w:w="12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395</w:t>
            </w:r>
          </w:p>
        </w:tc>
        <w:tc>
          <w:tcPr>
            <w:tcW w:w="153" w:type="dxa"/>
            <w:tcBorders/>
            <w:shd w:fill="CCEEFF" w:val="clear"/>
            <w:vAlign w:val="bottom"/>
          </w:tcPr>
          <w:p>
            <w:pPr>
              <w:pStyle w:val="TableContents"/>
              <w:spacing w:before="0" w:after="0"/>
              <w:ind w:left="0" w:right="0" w:hanging="0"/>
              <w:rPr/>
            </w:pPr>
            <w:r>
              <w:rPr/>
              <w:t> </w:t>
            </w:r>
          </w:p>
        </w:tc>
        <w:tc>
          <w:tcPr>
            <w:tcW w:w="12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385</w:t>
            </w:r>
          </w:p>
        </w:tc>
        <w:tc>
          <w:tcPr>
            <w:tcW w:w="191" w:type="dxa"/>
            <w:tcBorders/>
            <w:shd w:fill="CCEEFF" w:val="clear"/>
            <w:vAlign w:val="bottom"/>
          </w:tcPr>
          <w:p>
            <w:pPr>
              <w:pStyle w:val="TableContents"/>
              <w:spacing w:before="0" w:after="0"/>
              <w:ind w:left="0" w:right="0" w:hanging="0"/>
              <w:rPr/>
            </w:pPr>
            <w:r>
              <w:rPr/>
              <w:t> </w:t>
            </w:r>
          </w:p>
        </w:tc>
        <w:tc>
          <w:tcPr>
            <w:tcW w:w="12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191"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380</w:t>
            </w:r>
          </w:p>
        </w:tc>
        <w:tc>
          <w:tcPr>
            <w:tcW w:w="200" w:type="dxa"/>
            <w:tcBorders/>
            <w:shd w:fill="CCEEFF" w:val="clear"/>
            <w:vAlign w:val="bottom"/>
          </w:tcPr>
          <w:p>
            <w:pPr>
              <w:pStyle w:val="TableContents"/>
              <w:spacing w:before="0" w:after="0"/>
              <w:ind w:left="0" w:right="0" w:hanging="0"/>
              <w:rPr/>
            </w:pPr>
            <w:r>
              <w:rPr/>
              <w:t> </w:t>
            </w:r>
          </w:p>
        </w:tc>
      </w:tr>
      <w:tr>
        <w:trPr/>
        <w:tc>
          <w:tcPr>
            <w:tcW w:w="28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Rainbow </w:t>
            </w:r>
          </w:p>
        </w:tc>
        <w:tc>
          <w:tcPr>
            <w:tcW w:w="99" w:type="dxa"/>
            <w:tcBorders/>
            <w:shd w:fill="auto" w:val="clear"/>
            <w:vAlign w:val="bottom"/>
          </w:tcPr>
          <w:p>
            <w:pPr>
              <w:pStyle w:val="TableContents"/>
              <w:spacing w:before="0" w:after="0"/>
              <w:ind w:left="0" w:right="0" w:hanging="0"/>
              <w:rPr/>
            </w:pPr>
            <w:r>
              <w:rPr/>
              <w:t> </w:t>
            </w:r>
          </w:p>
        </w:tc>
        <w:tc>
          <w:tcPr>
            <w:tcW w:w="12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w:t>
            </w:r>
          </w:p>
        </w:tc>
        <w:tc>
          <w:tcPr>
            <w:tcW w:w="153" w:type="dxa"/>
            <w:tcBorders/>
            <w:shd w:fill="auto" w:val="clear"/>
            <w:vAlign w:val="bottom"/>
          </w:tcPr>
          <w:p>
            <w:pPr>
              <w:pStyle w:val="TableContents"/>
              <w:spacing w:before="0" w:after="0"/>
              <w:ind w:left="0" w:right="0" w:hanging="0"/>
              <w:rPr/>
            </w:pPr>
            <w:r>
              <w:rPr/>
              <w:t> </w:t>
            </w:r>
          </w:p>
        </w:tc>
        <w:tc>
          <w:tcPr>
            <w:tcW w:w="12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w:t>
            </w:r>
          </w:p>
        </w:tc>
        <w:tc>
          <w:tcPr>
            <w:tcW w:w="191" w:type="dxa"/>
            <w:tcBorders/>
            <w:shd w:fill="auto" w:val="clear"/>
            <w:vAlign w:val="bottom"/>
          </w:tcPr>
          <w:p>
            <w:pPr>
              <w:pStyle w:val="TableContents"/>
              <w:spacing w:before="0" w:after="0"/>
              <w:ind w:left="0" w:right="0" w:hanging="0"/>
              <w:rPr/>
            </w:pPr>
            <w:r>
              <w:rPr/>
              <w:t> </w:t>
            </w:r>
          </w:p>
        </w:tc>
        <w:tc>
          <w:tcPr>
            <w:tcW w:w="12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w:t>
            </w:r>
          </w:p>
        </w:tc>
        <w:tc>
          <w:tcPr>
            <w:tcW w:w="191"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w:t>
            </w:r>
          </w:p>
        </w:tc>
        <w:tc>
          <w:tcPr>
            <w:tcW w:w="200" w:type="dxa"/>
            <w:tcBorders/>
            <w:shd w:fill="auto" w:val="clear"/>
            <w:vAlign w:val="bottom"/>
          </w:tcPr>
          <w:p>
            <w:pPr>
              <w:pStyle w:val="TableContents"/>
              <w:spacing w:before="0" w:after="0"/>
              <w:ind w:left="0" w:right="0" w:hanging="0"/>
              <w:rPr/>
            </w:pPr>
            <w:r>
              <w:rPr/>
              <w:t> </w:t>
            </w:r>
          </w:p>
        </w:tc>
      </w:tr>
      <w:tr>
        <w:trPr/>
        <w:tc>
          <w:tcPr>
            <w:tcW w:w="282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Manito </w:t>
            </w:r>
          </w:p>
        </w:tc>
        <w:tc>
          <w:tcPr>
            <w:tcW w:w="99" w:type="dxa"/>
            <w:tcBorders/>
            <w:shd w:fill="CCEEFF" w:val="clear"/>
            <w:vAlign w:val="bottom"/>
          </w:tcPr>
          <w:p>
            <w:pPr>
              <w:pStyle w:val="TableContents"/>
              <w:spacing w:before="0" w:after="0"/>
              <w:ind w:left="0" w:right="0" w:hanging="0"/>
              <w:rPr/>
            </w:pPr>
            <w:r>
              <w:rPr/>
              <w:t> </w:t>
            </w:r>
          </w:p>
        </w:tc>
        <w:tc>
          <w:tcPr>
            <w:tcW w:w="12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53" w:type="dxa"/>
            <w:tcBorders/>
            <w:shd w:fill="CCEEFF" w:val="clear"/>
            <w:vAlign w:val="bottom"/>
          </w:tcPr>
          <w:p>
            <w:pPr>
              <w:pStyle w:val="TableContents"/>
              <w:spacing w:before="0" w:after="0"/>
              <w:ind w:left="0" w:right="0" w:hanging="0"/>
              <w:rPr/>
            </w:pPr>
            <w:r>
              <w:rPr/>
              <w:t> </w:t>
            </w:r>
          </w:p>
        </w:tc>
        <w:tc>
          <w:tcPr>
            <w:tcW w:w="12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91" w:type="dxa"/>
            <w:tcBorders/>
            <w:shd w:fill="CCEEFF" w:val="clear"/>
            <w:vAlign w:val="bottom"/>
          </w:tcPr>
          <w:p>
            <w:pPr>
              <w:pStyle w:val="TableContents"/>
              <w:spacing w:before="0" w:after="0"/>
              <w:ind w:left="0" w:right="0" w:hanging="0"/>
              <w:rPr/>
            </w:pPr>
            <w:r>
              <w:rPr/>
              <w:t> </w:t>
            </w:r>
          </w:p>
        </w:tc>
        <w:tc>
          <w:tcPr>
            <w:tcW w:w="12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91"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00" w:type="dxa"/>
            <w:tcBorders/>
            <w:shd w:fill="CCEEFF" w:val="clear"/>
            <w:vAlign w:val="bottom"/>
          </w:tcPr>
          <w:p>
            <w:pPr>
              <w:pStyle w:val="TableContents"/>
              <w:spacing w:before="0" w:after="0"/>
              <w:ind w:left="0" w:right="0" w:hanging="0"/>
              <w:rPr/>
            </w:pPr>
            <w:r>
              <w:rPr/>
              <w:t> </w:t>
            </w:r>
          </w:p>
        </w:tc>
      </w:tr>
      <w:tr>
        <w:trPr/>
        <w:tc>
          <w:tcPr>
            <w:tcW w:w="28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Rangeland </w:t>
            </w:r>
          </w:p>
        </w:tc>
        <w:tc>
          <w:tcPr>
            <w:tcW w:w="99" w:type="dxa"/>
            <w:tcBorders/>
            <w:shd w:fill="auto" w:val="clear"/>
            <w:vAlign w:val="bottom"/>
          </w:tcPr>
          <w:p>
            <w:pPr>
              <w:pStyle w:val="TableContents"/>
              <w:spacing w:before="0" w:after="0"/>
              <w:ind w:left="0" w:right="0" w:hanging="0"/>
              <w:rPr/>
            </w:pPr>
            <w:r>
              <w:rPr/>
              <w:t> </w:t>
            </w:r>
          </w:p>
        </w:tc>
        <w:tc>
          <w:tcPr>
            <w:tcW w:w="12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53" w:type="dxa"/>
            <w:tcBorders/>
            <w:shd w:fill="auto" w:val="clear"/>
            <w:vAlign w:val="bottom"/>
          </w:tcPr>
          <w:p>
            <w:pPr>
              <w:pStyle w:val="TableContents"/>
              <w:spacing w:before="0" w:after="0"/>
              <w:ind w:left="0" w:right="0" w:hanging="0"/>
              <w:rPr/>
            </w:pPr>
            <w:r>
              <w:rPr/>
              <w:t> </w:t>
            </w:r>
          </w:p>
        </w:tc>
        <w:tc>
          <w:tcPr>
            <w:tcW w:w="12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91" w:type="dxa"/>
            <w:tcBorders/>
            <w:shd w:fill="auto" w:val="clear"/>
            <w:vAlign w:val="bottom"/>
          </w:tcPr>
          <w:p>
            <w:pPr>
              <w:pStyle w:val="TableContents"/>
              <w:spacing w:before="0" w:after="0"/>
              <w:ind w:left="0" w:right="0" w:hanging="0"/>
              <w:rPr/>
            </w:pPr>
            <w:r>
              <w:rPr/>
              <w:t> </w:t>
            </w:r>
          </w:p>
        </w:tc>
        <w:tc>
          <w:tcPr>
            <w:tcW w:w="12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91"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00" w:type="dxa"/>
            <w:tcBorders/>
            <w:shd w:fill="auto" w:val="clear"/>
            <w:vAlign w:val="bottom"/>
          </w:tcPr>
          <w:p>
            <w:pPr>
              <w:pStyle w:val="TableContents"/>
              <w:spacing w:before="0" w:after="0"/>
              <w:ind w:left="0" w:right="0" w:hanging="0"/>
              <w:rPr/>
            </w:pPr>
            <w:r>
              <w:rPr/>
              <w:t> </w:t>
            </w:r>
          </w:p>
        </w:tc>
      </w:tr>
      <w:tr>
        <w:trPr/>
        <w:tc>
          <w:tcPr>
            <w:tcW w:w="282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Refined Products </w:t>
            </w:r>
          </w:p>
        </w:tc>
        <w:tc>
          <w:tcPr>
            <w:tcW w:w="99" w:type="dxa"/>
            <w:tcBorders/>
            <w:shd w:fill="CCEEFF" w:val="clear"/>
            <w:vAlign w:val="bottom"/>
          </w:tcPr>
          <w:p>
            <w:pPr>
              <w:pStyle w:val="TableContents"/>
              <w:spacing w:before="0" w:after="0"/>
              <w:ind w:left="0" w:right="0" w:hanging="0"/>
              <w:rPr/>
            </w:pPr>
            <w:r>
              <w:rPr/>
              <w:t> </w:t>
            </w:r>
          </w:p>
        </w:tc>
        <w:tc>
          <w:tcPr>
            <w:tcW w:w="12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53" w:type="dxa"/>
            <w:tcBorders/>
            <w:shd w:fill="CCEEFF" w:val="clear"/>
            <w:vAlign w:val="bottom"/>
          </w:tcPr>
          <w:p>
            <w:pPr>
              <w:pStyle w:val="TableContents"/>
              <w:spacing w:before="0" w:after="0"/>
              <w:ind w:left="0" w:right="0" w:hanging="0"/>
              <w:rPr/>
            </w:pPr>
            <w:r>
              <w:rPr/>
              <w:t> </w:t>
            </w:r>
          </w:p>
        </w:tc>
        <w:tc>
          <w:tcPr>
            <w:tcW w:w="12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91" w:type="dxa"/>
            <w:tcBorders/>
            <w:shd w:fill="CCEEFF" w:val="clear"/>
            <w:vAlign w:val="bottom"/>
          </w:tcPr>
          <w:p>
            <w:pPr>
              <w:pStyle w:val="TableContents"/>
              <w:spacing w:before="0" w:after="0"/>
              <w:ind w:left="0" w:right="0" w:hanging="0"/>
              <w:rPr/>
            </w:pPr>
            <w:r>
              <w:rPr/>
              <w:t> </w:t>
            </w:r>
          </w:p>
        </w:tc>
        <w:tc>
          <w:tcPr>
            <w:tcW w:w="12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91"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00" w:type="dxa"/>
            <w:tcBorders/>
            <w:shd w:fill="CCEEFF" w:val="clear"/>
            <w:vAlign w:val="bottom"/>
          </w:tcPr>
          <w:p>
            <w:pPr>
              <w:pStyle w:val="TableContents"/>
              <w:spacing w:before="0" w:after="0"/>
              <w:ind w:left="0" w:right="0" w:hanging="0"/>
              <w:rPr/>
            </w:pPr>
            <w:r>
              <w:rPr/>
              <w:t> </w:t>
            </w:r>
          </w:p>
        </w:tc>
      </w:tr>
      <w:tr>
        <w:trPr/>
        <w:tc>
          <w:tcPr>
            <w:tcW w:w="28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99" w:type="dxa"/>
            <w:tcBorders/>
            <w:shd w:fill="auto" w:val="clear"/>
            <w:vAlign w:val="bottom"/>
          </w:tcPr>
          <w:p>
            <w:pPr>
              <w:pStyle w:val="TableContents"/>
              <w:spacing w:before="0" w:after="0"/>
              <w:ind w:left="0" w:right="0" w:hanging="0"/>
              <w:rPr/>
            </w:pPr>
            <w:r>
              <w:rPr/>
              <w:t> </w:t>
            </w:r>
          </w:p>
        </w:tc>
        <w:tc>
          <w:tcPr>
            <w:tcW w:w="129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1,141</w:t>
            </w:r>
          </w:p>
        </w:tc>
        <w:tc>
          <w:tcPr>
            <w:tcW w:w="153" w:type="dxa"/>
            <w:tcBorders/>
            <w:shd w:fill="auto" w:val="clear"/>
            <w:vAlign w:val="bottom"/>
          </w:tcPr>
          <w:p>
            <w:pPr>
              <w:pStyle w:val="TableContents"/>
              <w:spacing w:before="0" w:after="0"/>
              <w:ind w:left="0" w:right="0" w:hanging="0"/>
              <w:rPr/>
            </w:pPr>
            <w:r>
              <w:rPr/>
              <w:t> </w:t>
            </w:r>
          </w:p>
        </w:tc>
        <w:tc>
          <w:tcPr>
            <w:tcW w:w="129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1,273</w:t>
            </w:r>
          </w:p>
        </w:tc>
        <w:tc>
          <w:tcPr>
            <w:tcW w:w="191" w:type="dxa"/>
            <w:tcBorders/>
            <w:shd w:fill="auto" w:val="clear"/>
            <w:vAlign w:val="bottom"/>
          </w:tcPr>
          <w:p>
            <w:pPr>
              <w:pStyle w:val="TableContents"/>
              <w:spacing w:before="0" w:after="0"/>
              <w:ind w:left="0" w:right="0" w:hanging="0"/>
              <w:rPr/>
            </w:pPr>
            <w:r>
              <w:rPr/>
              <w:t> </w:t>
            </w:r>
          </w:p>
        </w:tc>
        <w:tc>
          <w:tcPr>
            <w:tcW w:w="12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1,287</w:t>
            </w:r>
          </w:p>
        </w:tc>
        <w:tc>
          <w:tcPr>
            <w:tcW w:w="191" w:type="dxa"/>
            <w:tcBorders/>
            <w:shd w:fill="auto" w:val="clear"/>
            <w:vAlign w:val="bottom"/>
          </w:tcPr>
          <w:p>
            <w:pPr>
              <w:pStyle w:val="TableContents"/>
              <w:spacing w:before="0" w:after="0"/>
              <w:ind w:left="0" w:right="0" w:hanging="0"/>
              <w:rPr/>
            </w:pPr>
            <w:r>
              <w:rPr/>
              <w:t> </w:t>
            </w:r>
          </w:p>
        </w:tc>
        <w:tc>
          <w:tcPr>
            <w:tcW w:w="12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1,248</w:t>
            </w:r>
          </w:p>
        </w:tc>
        <w:tc>
          <w:tcPr>
            <w:tcW w:w="200" w:type="dxa"/>
            <w:tcBorders/>
            <w:shd w:fill="auto" w:val="clear"/>
            <w:vAlign w:val="bottom"/>
          </w:tcPr>
          <w:p>
            <w:pPr>
              <w:pStyle w:val="TableContents"/>
              <w:spacing w:before="0" w:after="0"/>
              <w:ind w:left="0" w:right="0" w:hanging="0"/>
              <w:rPr/>
            </w:pPr>
            <w:r>
              <w:rPr/>
              <w:t> </w:t>
            </w:r>
          </w:p>
        </w:tc>
      </w:tr>
      <w:tr>
        <w:trPr/>
        <w:tc>
          <w:tcPr>
            <w:tcW w:w="2822" w:type="dxa"/>
            <w:tcBorders/>
            <w:shd w:fill="CCEEFF" w:val="clear"/>
          </w:tcPr>
          <w:p>
            <w:pPr>
              <w:pStyle w:val="TableContents"/>
              <w:spacing w:before="0" w:after="0"/>
              <w:ind w:left="0" w:right="0" w:hanging="0"/>
              <w:rPr/>
            </w:pPr>
            <w:r>
              <w:rPr/>
              <w:t> </w:t>
            </w:r>
          </w:p>
        </w:tc>
        <w:tc>
          <w:tcPr>
            <w:tcW w:w="99" w:type="dxa"/>
            <w:tcBorders/>
            <w:shd w:fill="CCEEFF" w:val="clear"/>
            <w:vAlign w:val="bottom"/>
          </w:tcPr>
          <w:p>
            <w:pPr>
              <w:pStyle w:val="TableContents"/>
              <w:spacing w:before="0" w:after="0"/>
              <w:ind w:left="0" w:right="0" w:hanging="0"/>
              <w:rPr/>
            </w:pPr>
            <w:r>
              <w:rPr/>
              <w:t> </w:t>
            </w:r>
          </w:p>
        </w:tc>
        <w:tc>
          <w:tcPr>
            <w:tcW w:w="12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2,811</w:t>
            </w:r>
          </w:p>
        </w:tc>
        <w:tc>
          <w:tcPr>
            <w:tcW w:w="153" w:type="dxa"/>
            <w:tcBorders/>
            <w:shd w:fill="CCEEFF" w:val="clear"/>
            <w:vAlign w:val="bottom"/>
          </w:tcPr>
          <w:p>
            <w:pPr>
              <w:pStyle w:val="TableContents"/>
              <w:spacing w:before="0" w:after="0"/>
              <w:ind w:left="0" w:right="0" w:hanging="0"/>
              <w:rPr/>
            </w:pPr>
            <w:r>
              <w:rPr/>
              <w:t> </w:t>
            </w:r>
          </w:p>
        </w:tc>
        <w:tc>
          <w:tcPr>
            <w:tcW w:w="12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2,970</w:t>
            </w:r>
          </w:p>
        </w:tc>
        <w:tc>
          <w:tcPr>
            <w:tcW w:w="191" w:type="dxa"/>
            <w:tcBorders/>
            <w:shd w:fill="CCEEFF" w:val="clear"/>
            <w:vAlign w:val="bottom"/>
          </w:tcPr>
          <w:p>
            <w:pPr>
              <w:pStyle w:val="TableContents"/>
              <w:spacing w:before="0" w:after="0"/>
              <w:ind w:left="0" w:right="0" w:hanging="0"/>
              <w:rPr/>
            </w:pPr>
            <w:r>
              <w:rPr/>
              <w:t> </w:t>
            </w:r>
          </w:p>
        </w:tc>
        <w:tc>
          <w:tcPr>
            <w:tcW w:w="12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2,970</w:t>
            </w:r>
          </w:p>
        </w:tc>
        <w:tc>
          <w:tcPr>
            <w:tcW w:w="191"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2,932</w:t>
            </w:r>
          </w:p>
        </w:tc>
        <w:tc>
          <w:tcPr>
            <w:tcW w:w="200" w:type="dxa"/>
            <w:tcBorders/>
            <w:shd w:fill="CCEEFF" w:val="clear"/>
            <w:vAlign w:val="bottom"/>
          </w:tcPr>
          <w:p>
            <w:pPr>
              <w:pStyle w:val="TableContents"/>
              <w:spacing w:before="0" w:after="0"/>
              <w:ind w:left="0" w:right="0" w:hanging="0"/>
              <w:rPr/>
            </w:pPr>
            <w:r>
              <w:rPr/>
              <w:t> </w:t>
            </w:r>
          </w:p>
        </w:tc>
      </w:tr>
      <w:tr>
        <w:trPr/>
        <w:tc>
          <w:tcPr>
            <w:tcW w:w="28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Trucking </w:t>
            </w:r>
          </w:p>
        </w:tc>
        <w:tc>
          <w:tcPr>
            <w:tcW w:w="99" w:type="dxa"/>
            <w:tcBorders/>
            <w:shd w:fill="auto" w:val="clear"/>
            <w:vAlign w:val="bottom"/>
          </w:tcPr>
          <w:p>
            <w:pPr>
              <w:pStyle w:val="TableContents"/>
              <w:spacing w:before="0" w:after="0"/>
              <w:ind w:left="0" w:right="0" w:hanging="0"/>
              <w:rPr/>
            </w:pPr>
            <w:r>
              <w:rPr/>
              <w:t> </w:t>
            </w:r>
          </w:p>
        </w:tc>
        <w:tc>
          <w:tcPr>
            <w:tcW w:w="129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153" w:type="dxa"/>
            <w:tcBorders/>
            <w:shd w:fill="auto" w:val="clear"/>
            <w:vAlign w:val="bottom"/>
          </w:tcPr>
          <w:p>
            <w:pPr>
              <w:pStyle w:val="TableContents"/>
              <w:spacing w:before="0" w:after="0"/>
              <w:ind w:left="0" w:right="0" w:hanging="0"/>
              <w:rPr/>
            </w:pPr>
            <w:r>
              <w:rPr/>
              <w:t> </w:t>
            </w:r>
          </w:p>
        </w:tc>
        <w:tc>
          <w:tcPr>
            <w:tcW w:w="129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91" w:type="dxa"/>
            <w:tcBorders/>
            <w:shd w:fill="auto" w:val="clear"/>
            <w:vAlign w:val="bottom"/>
          </w:tcPr>
          <w:p>
            <w:pPr>
              <w:pStyle w:val="TableContents"/>
              <w:spacing w:before="0" w:after="0"/>
              <w:ind w:left="0" w:right="0" w:hanging="0"/>
              <w:rPr/>
            </w:pPr>
            <w:r>
              <w:rPr/>
              <w:t> </w:t>
            </w:r>
          </w:p>
        </w:tc>
        <w:tc>
          <w:tcPr>
            <w:tcW w:w="12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91" w:type="dxa"/>
            <w:tcBorders/>
            <w:shd w:fill="auto" w:val="clear"/>
            <w:vAlign w:val="bottom"/>
          </w:tcPr>
          <w:p>
            <w:pPr>
              <w:pStyle w:val="TableContents"/>
              <w:spacing w:before="0" w:after="0"/>
              <w:ind w:left="0" w:right="0" w:hanging="0"/>
              <w:rPr/>
            </w:pPr>
            <w:r>
              <w:rPr/>
              <w:t> </w:t>
            </w:r>
          </w:p>
        </w:tc>
        <w:tc>
          <w:tcPr>
            <w:tcW w:w="12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00" w:type="dxa"/>
            <w:tcBorders/>
            <w:shd w:fill="auto" w:val="clear"/>
            <w:vAlign w:val="bottom"/>
          </w:tcPr>
          <w:p>
            <w:pPr>
              <w:pStyle w:val="TableContents"/>
              <w:spacing w:before="0" w:after="0"/>
              <w:ind w:left="0" w:right="0" w:hanging="0"/>
              <w:rPr/>
            </w:pPr>
            <w:r>
              <w:rPr/>
              <w:t> </w:t>
            </w:r>
          </w:p>
        </w:tc>
      </w:tr>
      <w:tr>
        <w:trPr/>
        <w:tc>
          <w:tcPr>
            <w:tcW w:w="2822" w:type="dxa"/>
            <w:tcBorders/>
            <w:shd w:fill="CCEEFF" w:val="clear"/>
          </w:tcPr>
          <w:p>
            <w:pPr>
              <w:pStyle w:val="TableContents"/>
              <w:spacing w:before="0" w:after="0"/>
              <w:ind w:left="0" w:right="0" w:hanging="0"/>
              <w:rPr/>
            </w:pPr>
            <w:r>
              <w:rPr/>
              <w:t> </w:t>
            </w:r>
          </w:p>
        </w:tc>
        <w:tc>
          <w:tcPr>
            <w:tcW w:w="99" w:type="dxa"/>
            <w:tcBorders/>
            <w:shd w:fill="CCEEFF" w:val="clear"/>
            <w:vAlign w:val="bottom"/>
          </w:tcPr>
          <w:p>
            <w:pPr>
              <w:pStyle w:val="TableContents"/>
              <w:spacing w:before="0" w:after="0"/>
              <w:ind w:left="0" w:right="0" w:hanging="0"/>
              <w:rPr/>
            </w:pPr>
            <w:r>
              <w:rPr/>
              <w:t> </w:t>
            </w:r>
          </w:p>
        </w:tc>
        <w:tc>
          <w:tcPr>
            <w:tcW w:w="129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2,900</w:t>
            </w:r>
          </w:p>
        </w:tc>
        <w:tc>
          <w:tcPr>
            <w:tcW w:w="153" w:type="dxa"/>
            <w:tcBorders/>
            <w:shd w:fill="CCEEFF" w:val="clear"/>
            <w:vAlign w:val="bottom"/>
          </w:tcPr>
          <w:p>
            <w:pPr>
              <w:pStyle w:val="TableContents"/>
              <w:spacing w:before="0" w:after="0"/>
              <w:ind w:left="0" w:right="0" w:hanging="0"/>
              <w:rPr/>
            </w:pPr>
            <w:r>
              <w:rPr/>
              <w:t> </w:t>
            </w:r>
          </w:p>
        </w:tc>
        <w:tc>
          <w:tcPr>
            <w:tcW w:w="129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3,060</w:t>
            </w:r>
          </w:p>
        </w:tc>
        <w:tc>
          <w:tcPr>
            <w:tcW w:w="191" w:type="dxa"/>
            <w:tcBorders/>
            <w:shd w:fill="CCEEFF" w:val="clear"/>
            <w:vAlign w:val="bottom"/>
          </w:tcPr>
          <w:p>
            <w:pPr>
              <w:pStyle w:val="TableContents"/>
              <w:spacing w:before="0" w:after="0"/>
              <w:ind w:left="0" w:right="0" w:hanging="0"/>
              <w:rPr/>
            </w:pPr>
            <w:r>
              <w:rPr/>
              <w:t> </w:t>
            </w:r>
          </w:p>
        </w:tc>
        <w:tc>
          <w:tcPr>
            <w:tcW w:w="123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3,060</w:t>
            </w:r>
          </w:p>
        </w:tc>
        <w:tc>
          <w:tcPr>
            <w:tcW w:w="191" w:type="dxa"/>
            <w:tcBorders/>
            <w:shd w:fill="CCEEFF" w:val="clear"/>
            <w:vAlign w:val="bottom"/>
          </w:tcPr>
          <w:p>
            <w:pPr>
              <w:pStyle w:val="TableContents"/>
              <w:spacing w:before="0" w:after="0"/>
              <w:ind w:left="0" w:right="0" w:hanging="0"/>
              <w:rPr/>
            </w:pPr>
            <w:r>
              <w:rPr/>
              <w:t> </w:t>
            </w:r>
          </w:p>
        </w:tc>
        <w:tc>
          <w:tcPr>
            <w:tcW w:w="129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3,022</w:t>
            </w:r>
          </w:p>
        </w:tc>
        <w:tc>
          <w:tcPr>
            <w:tcW w:w="200" w:type="dxa"/>
            <w:tcBorders/>
            <w:shd w:fill="CCEEFF" w:val="clear"/>
            <w:vAlign w:val="bottom"/>
          </w:tcPr>
          <w:p>
            <w:pPr>
              <w:pStyle w:val="TableContents"/>
              <w:spacing w:before="0" w:after="0"/>
              <w:ind w:left="0" w:right="0" w:hanging="0"/>
              <w:rPr/>
            </w:pPr>
            <w:r>
              <w:rPr/>
              <w:t> </w:t>
            </w:r>
          </w:p>
        </w:tc>
      </w:tr>
      <w:tr>
        <w:trPr/>
        <w:tc>
          <w:tcPr>
            <w:tcW w:w="28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 per Barrel ($/Bbl)</w:t>
            </w:r>
          </w:p>
        </w:tc>
        <w:tc>
          <w:tcPr>
            <w:tcW w:w="99" w:type="dxa"/>
            <w:tcBorders/>
            <w:shd w:fill="auto" w:val="clear"/>
            <w:vAlign w:val="bottom"/>
          </w:tcPr>
          <w:p>
            <w:pPr>
              <w:pStyle w:val="TableContents"/>
              <w:spacing w:before="0" w:after="0"/>
              <w:ind w:left="0" w:right="0" w:hanging="0"/>
              <w:rPr/>
            </w:pPr>
            <w:r>
              <w:rPr/>
              <w:t> </w:t>
            </w:r>
          </w:p>
        </w:tc>
        <w:tc>
          <w:tcPr>
            <w:tcW w:w="1294" w:type="dxa"/>
            <w:gridSpan w:val="2"/>
            <w:tcBorders/>
            <w:shd w:fill="auto" w:val="clear"/>
            <w:vAlign w:val="bottom"/>
          </w:tcPr>
          <w:p>
            <w:pPr>
              <w:pStyle w:val="TableContents"/>
              <w:spacing w:before="0" w:after="0"/>
              <w:ind w:left="0" w:right="0" w:hanging="0"/>
              <w:jc w:val="right"/>
              <w:rPr/>
            </w:pPr>
            <w:r>
              <w:rPr/>
              <w:t> </w:t>
            </w:r>
          </w:p>
        </w:tc>
        <w:tc>
          <w:tcPr>
            <w:tcW w:w="153" w:type="dxa"/>
            <w:tcBorders/>
            <w:shd w:fill="auto" w:val="clear"/>
            <w:vAlign w:val="bottom"/>
          </w:tcPr>
          <w:p>
            <w:pPr>
              <w:pStyle w:val="TableContents"/>
              <w:spacing w:before="0" w:after="0"/>
              <w:ind w:left="0" w:right="0" w:hanging="0"/>
              <w:rPr/>
            </w:pPr>
            <w:r>
              <w:rPr/>
              <w:t> </w:t>
            </w:r>
          </w:p>
        </w:tc>
        <w:tc>
          <w:tcPr>
            <w:tcW w:w="1294"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1236"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r>
      <w:tr>
        <w:trPr/>
        <w:tc>
          <w:tcPr>
            <w:tcW w:w="282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Excluding Selected Items Impacting Comparability </w:t>
            </w:r>
          </w:p>
        </w:tc>
        <w:tc>
          <w:tcPr>
            <w:tcW w:w="99" w:type="dxa"/>
            <w:tcBorders/>
            <w:shd w:fill="CCEEFF" w:val="clear"/>
            <w:vAlign w:val="bottom"/>
          </w:tcPr>
          <w:p>
            <w:pPr>
              <w:pStyle w:val="TableContents"/>
              <w:spacing w:before="0" w:after="0"/>
              <w:ind w:left="0" w:right="0" w:hanging="0"/>
              <w:rPr/>
            </w:pPr>
            <w:r>
              <w:rPr/>
              <w:t> </w:t>
            </w:r>
          </w:p>
        </w:tc>
        <w:tc>
          <w:tcPr>
            <w:tcW w:w="2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0.45</w:t>
            </w:r>
          </w:p>
        </w:tc>
        <w:tc>
          <w:tcPr>
            <w:tcW w:w="153" w:type="dxa"/>
            <w:tcBorders/>
            <w:shd w:fill="CCEEFF" w:val="clear"/>
            <w:vAlign w:val="bottom"/>
          </w:tcPr>
          <w:p>
            <w:pPr>
              <w:pStyle w:val="TableContents"/>
              <w:spacing w:before="0" w:after="0"/>
              <w:ind w:left="0" w:right="0" w:hanging="0"/>
              <w:rPr/>
            </w:pPr>
            <w:r>
              <w:rPr/>
              <w:t> </w:t>
            </w:r>
          </w:p>
        </w:tc>
        <w:tc>
          <w:tcPr>
            <w:tcW w:w="2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0.40</w:t>
            </w:r>
          </w:p>
        </w:tc>
        <w:tc>
          <w:tcPr>
            <w:tcW w:w="191"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9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0.45</w:t>
            </w:r>
          </w:p>
        </w:tc>
        <w:tc>
          <w:tcPr>
            <w:tcW w:w="191"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2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0.44</w:t>
            </w:r>
          </w:p>
        </w:tc>
        <w:tc>
          <w:tcPr>
            <w:tcW w:w="20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r>
      <w:tr>
        <w:trPr/>
        <w:tc>
          <w:tcPr>
            <w:tcW w:w="2822"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aggregate of multiple systems in the respective areas.</w:t>
      </w:r>
    </w:p>
    <w:p>
      <w:pPr>
        <w:pStyle w:val="TextBody"/>
        <w:spacing w:before="0" w:after="0"/>
        <w:ind w:left="0" w:right="0" w:hanging="0"/>
        <w:rPr>
          <w:rFonts w:ascii="Times New Roman" w:hAnsi="Times New Roman"/>
        </w:rPr>
      </w:pPr>
      <w:r>
        <w:rPr>
          <w:rFonts w:ascii="Times New Roman" w:hAnsi="Times New Roman"/>
          <w:sz w:val="11"/>
        </w:rPr>
        <w:t xml:space="preserve">(2) </w:t>
      </w:r>
      <w:r>
        <w:rPr>
          <w:rFonts w:ascii="Times New Roman" w:hAnsi="Times New Roman"/>
        </w:rPr>
        <w:t xml:space="preserve">           </w:t>
      </w:r>
      <w:r>
        <w:rPr>
          <w:rFonts w:ascii="Times New Roman" w:hAnsi="Times New Roman"/>
          <w:sz w:val="17"/>
        </w:rPr>
        <w:t>With the completion of the new expansion in March 2009, reported volumes will increase approximately 40,000 Bbl/d.  However, not all of the increase is incremental volume.</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i/>
          <w:sz w:val="17"/>
        </w:rPr>
        <w:t>Facilities</w:t>
      </w:r>
      <w:r>
        <w:rPr>
          <w:rFonts w:ascii="Times New Roman" w:hAnsi="Times New Roman"/>
          <w:sz w:val="17"/>
        </w:rPr>
        <w:t>.  Our facilities segment operations generally consist of fee-based activities associated with providing storage, terminalling and throughput services for crude oil, refined products and LPG, as well as LPG fractionation and isomerization services. We generate revenue through a combination of month-to-month and multi-year leases and processing arrangements. This segment also includes our equity earnings from our 50% investment in PAA/Vulcan Gas Storage, LLC, which owns and operates approximately 40 Bcf of underground natural gas storage capacity and is constructing an additional 8 Bcf of salt dome storage capacity at its Pine Prairie facility.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Segment profit is forecast using the volume assumptions in the table below, priced at forecasted rates, less estimated field operating costs and G&amp;A expenses. Field operating costs do not include depreciation.</w:t>
      </w:r>
    </w:p>
    <w:p>
      <w:pPr>
        <w:pStyle w:val="TextBody"/>
        <w:spacing w:before="0" w:after="0"/>
        <w:ind w:left="0" w:right="0" w:hanging="0"/>
        <w:rPr/>
      </w:pPr>
      <w:r>
        <w:rPr/>
        <w:t> </w:t>
      </w:r>
    </w:p>
    <w:tbl>
      <w:tblPr>
        <w:tblW w:w="4350" w:type="pct"/>
        <w:jc w:val="left"/>
        <w:tblInd w:w="0" w:type="dxa"/>
        <w:tblCellMar>
          <w:top w:w="0" w:type="dxa"/>
          <w:left w:w="0" w:type="dxa"/>
          <w:bottom w:w="0" w:type="dxa"/>
          <w:right w:w="0" w:type="dxa"/>
        </w:tblCellMar>
      </w:tblPr>
      <w:tblGrid>
        <w:gridCol w:w="2709"/>
        <w:gridCol w:w="156"/>
        <w:gridCol w:w="213"/>
        <w:gridCol w:w="1095"/>
        <w:gridCol w:w="156"/>
        <w:gridCol w:w="213"/>
        <w:gridCol w:w="1095"/>
        <w:gridCol w:w="240"/>
        <w:gridCol w:w="185"/>
        <w:gridCol w:w="1009"/>
        <w:gridCol w:w="193"/>
        <w:gridCol w:w="228"/>
        <w:gridCol w:w="1137"/>
        <w:gridCol w:w="249"/>
      </w:tblGrid>
      <w:tr>
        <w:trPr/>
        <w:tc>
          <w:tcPr>
            <w:tcW w:w="2709"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jc w:val="center"/>
              <w:rPr/>
            </w:pPr>
            <w:r>
              <w:rPr/>
              <w:t> </w:t>
            </w:r>
          </w:p>
        </w:tc>
        <w:tc>
          <w:tcPr>
            <w:tcW w:w="130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56" w:type="dxa"/>
            <w:tcBorders/>
            <w:shd w:fill="auto" w:val="clear"/>
            <w:vAlign w:val="bottom"/>
          </w:tcPr>
          <w:p>
            <w:pPr>
              <w:pStyle w:val="TableContents"/>
              <w:spacing w:before="0" w:after="0"/>
              <w:ind w:left="0" w:right="0" w:hanging="0"/>
              <w:jc w:val="center"/>
              <w:rPr/>
            </w:pPr>
            <w:r>
              <w:rPr/>
              <w:t> </w:t>
            </w:r>
          </w:p>
        </w:tc>
        <w:tc>
          <w:tcPr>
            <w:tcW w:w="4300"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 Guidance</w:t>
            </w:r>
          </w:p>
        </w:tc>
        <w:tc>
          <w:tcPr>
            <w:tcW w:w="249" w:type="dxa"/>
            <w:tcBorders/>
            <w:shd w:fill="auto" w:val="clear"/>
            <w:vAlign w:val="bottom"/>
          </w:tcPr>
          <w:p>
            <w:pPr>
              <w:pStyle w:val="TableContents"/>
              <w:spacing w:before="0" w:after="0"/>
              <w:ind w:left="0" w:right="0" w:hanging="0"/>
              <w:jc w:val="center"/>
              <w:rPr/>
            </w:pPr>
            <w:r>
              <w:rPr/>
              <w:t> </w:t>
            </w:r>
          </w:p>
        </w:tc>
      </w:tr>
      <w:tr>
        <w:trPr/>
        <w:tc>
          <w:tcPr>
            <w:tcW w:w="2709"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jc w:val="center"/>
              <w:rPr/>
            </w:pPr>
            <w:r>
              <w:rPr/>
              <w:t> </w:t>
            </w:r>
          </w:p>
        </w:tc>
        <w:tc>
          <w:tcPr>
            <w:tcW w:w="130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56" w:type="dxa"/>
            <w:tcBorders/>
            <w:shd w:fill="auto" w:val="clear"/>
            <w:vAlign w:val="bottom"/>
          </w:tcPr>
          <w:p>
            <w:pPr>
              <w:pStyle w:val="TableContents"/>
              <w:spacing w:before="0" w:after="0"/>
              <w:ind w:left="0" w:right="0" w:hanging="0"/>
              <w:jc w:val="center"/>
              <w:rPr/>
            </w:pPr>
            <w:r>
              <w:rPr/>
              <w:t> </w:t>
            </w:r>
          </w:p>
        </w:tc>
        <w:tc>
          <w:tcPr>
            <w:tcW w:w="130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40" w:type="dxa"/>
            <w:tcBorders/>
            <w:shd w:fill="auto" w:val="clear"/>
            <w:vAlign w:val="bottom"/>
          </w:tcPr>
          <w:p>
            <w:pPr>
              <w:pStyle w:val="TableContents"/>
              <w:spacing w:before="0" w:after="0"/>
              <w:ind w:left="0" w:right="0" w:hanging="0"/>
              <w:jc w:val="center"/>
              <w:rPr/>
            </w:pPr>
            <w:r>
              <w:rPr/>
              <w:t> </w:t>
            </w:r>
          </w:p>
        </w:tc>
        <w:tc>
          <w:tcPr>
            <w:tcW w:w="119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93" w:type="dxa"/>
            <w:tcBorders/>
            <w:shd w:fill="auto" w:val="clear"/>
            <w:vAlign w:val="bottom"/>
          </w:tcPr>
          <w:p>
            <w:pPr>
              <w:pStyle w:val="TableContents"/>
              <w:spacing w:before="0" w:after="0"/>
              <w:ind w:left="0" w:right="0" w:hanging="0"/>
              <w:jc w:val="center"/>
              <w:rPr/>
            </w:pPr>
            <w:r>
              <w:rPr/>
              <w:t> </w:t>
            </w:r>
          </w:p>
        </w:tc>
        <w:tc>
          <w:tcPr>
            <w:tcW w:w="136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249" w:type="dxa"/>
            <w:tcBorders/>
            <w:shd w:fill="auto" w:val="clear"/>
            <w:vAlign w:val="bottom"/>
          </w:tcPr>
          <w:p>
            <w:pPr>
              <w:pStyle w:val="TableContents"/>
              <w:spacing w:before="0" w:after="0"/>
              <w:ind w:left="0" w:right="0" w:hanging="0"/>
              <w:jc w:val="center"/>
              <w:rPr/>
            </w:pPr>
            <w:r>
              <w:rPr/>
              <w:t> </w:t>
            </w:r>
          </w:p>
        </w:tc>
      </w:tr>
      <w:tr>
        <w:trPr/>
        <w:tc>
          <w:tcPr>
            <w:tcW w:w="2709"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jc w:val="center"/>
              <w:rPr/>
            </w:pPr>
            <w:r>
              <w:rPr/>
              <w:t> </w:t>
            </w:r>
          </w:p>
        </w:tc>
        <w:tc>
          <w:tcPr>
            <w:tcW w:w="130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56" w:type="dxa"/>
            <w:tcBorders/>
            <w:shd w:fill="auto" w:val="clear"/>
            <w:vAlign w:val="bottom"/>
          </w:tcPr>
          <w:p>
            <w:pPr>
              <w:pStyle w:val="TableContents"/>
              <w:spacing w:before="0" w:after="0"/>
              <w:ind w:left="0" w:right="0" w:hanging="0"/>
              <w:jc w:val="center"/>
              <w:rPr/>
            </w:pPr>
            <w:r>
              <w:rPr/>
              <w:t> </w:t>
            </w:r>
          </w:p>
        </w:tc>
        <w:tc>
          <w:tcPr>
            <w:tcW w:w="130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40" w:type="dxa"/>
            <w:tcBorders/>
            <w:shd w:fill="auto" w:val="clear"/>
            <w:vAlign w:val="bottom"/>
          </w:tcPr>
          <w:p>
            <w:pPr>
              <w:pStyle w:val="TableContents"/>
              <w:spacing w:before="0" w:after="0"/>
              <w:ind w:left="0" w:right="0" w:hanging="0"/>
              <w:jc w:val="center"/>
              <w:rPr/>
            </w:pPr>
            <w:r>
              <w:rPr/>
              <w:t> </w:t>
            </w:r>
          </w:p>
        </w:tc>
        <w:tc>
          <w:tcPr>
            <w:tcW w:w="119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93" w:type="dxa"/>
            <w:tcBorders/>
            <w:shd w:fill="auto" w:val="clear"/>
            <w:vAlign w:val="bottom"/>
          </w:tcPr>
          <w:p>
            <w:pPr>
              <w:pStyle w:val="TableContents"/>
              <w:spacing w:before="0" w:after="0"/>
              <w:ind w:left="0" w:right="0" w:hanging="0"/>
              <w:jc w:val="center"/>
              <w:rPr/>
            </w:pPr>
            <w:r>
              <w:rPr/>
              <w:t> </w:t>
            </w:r>
          </w:p>
        </w:tc>
        <w:tc>
          <w:tcPr>
            <w:tcW w:w="136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49" w:type="dxa"/>
            <w:tcBorders/>
            <w:shd w:fill="auto" w:val="clear"/>
            <w:vAlign w:val="bottom"/>
          </w:tcPr>
          <w:p>
            <w:pPr>
              <w:pStyle w:val="TableContents"/>
              <w:spacing w:before="0" w:after="0"/>
              <w:ind w:left="0" w:right="0" w:hanging="0"/>
              <w:jc w:val="center"/>
              <w:rPr/>
            </w:pPr>
            <w:r>
              <w:rPr/>
              <w:t> </w:t>
            </w:r>
          </w:p>
        </w:tc>
      </w:tr>
      <w:tr>
        <w:trPr/>
        <w:tc>
          <w:tcPr>
            <w:tcW w:w="2709" w:type="dxa"/>
            <w:tcBorders/>
            <w:shd w:fill="auto" w:val="clear"/>
          </w:tcPr>
          <w:p>
            <w:pPr>
              <w:pStyle w:val="TableContents"/>
              <w:spacing w:before="0" w:after="0"/>
              <w:ind w:left="0" w:right="0" w:hanging="0"/>
              <w:jc w:val="center"/>
              <w:rPr/>
            </w:pPr>
            <w:r>
              <w:rPr/>
              <w:t> </w:t>
            </w:r>
          </w:p>
        </w:tc>
        <w:tc>
          <w:tcPr>
            <w:tcW w:w="156" w:type="dxa"/>
            <w:tcBorders/>
            <w:shd w:fill="auto" w:val="clear"/>
            <w:vAlign w:val="bottom"/>
          </w:tcPr>
          <w:p>
            <w:pPr>
              <w:pStyle w:val="TableContents"/>
              <w:spacing w:before="0" w:after="0"/>
              <w:ind w:left="0" w:right="0" w:hanging="0"/>
              <w:jc w:val="center"/>
              <w:rPr/>
            </w:pPr>
            <w:r>
              <w:rPr/>
              <w:t> </w:t>
            </w:r>
          </w:p>
        </w:tc>
        <w:tc>
          <w:tcPr>
            <w:tcW w:w="130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56" w:type="dxa"/>
            <w:tcBorders/>
            <w:shd w:fill="auto" w:val="clear"/>
            <w:vAlign w:val="bottom"/>
          </w:tcPr>
          <w:p>
            <w:pPr>
              <w:pStyle w:val="TableContents"/>
              <w:spacing w:before="0" w:after="0"/>
              <w:ind w:left="0" w:right="0" w:hanging="0"/>
              <w:jc w:val="center"/>
              <w:rPr/>
            </w:pPr>
            <w:r>
              <w:rPr/>
              <w:t> </w:t>
            </w:r>
          </w:p>
        </w:tc>
        <w:tc>
          <w:tcPr>
            <w:tcW w:w="130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40" w:type="dxa"/>
            <w:tcBorders/>
            <w:shd w:fill="auto" w:val="clear"/>
            <w:vAlign w:val="bottom"/>
          </w:tcPr>
          <w:p>
            <w:pPr>
              <w:pStyle w:val="TableContents"/>
              <w:spacing w:before="0" w:after="0"/>
              <w:ind w:left="0" w:right="0" w:hanging="0"/>
              <w:jc w:val="center"/>
              <w:rPr/>
            </w:pPr>
            <w:r>
              <w:rPr/>
              <w:t> </w:t>
            </w:r>
          </w:p>
        </w:tc>
        <w:tc>
          <w:tcPr>
            <w:tcW w:w="119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93" w:type="dxa"/>
            <w:tcBorders/>
            <w:shd w:fill="auto" w:val="clear"/>
            <w:vAlign w:val="bottom"/>
          </w:tcPr>
          <w:p>
            <w:pPr>
              <w:pStyle w:val="TableContents"/>
              <w:spacing w:before="0" w:after="0"/>
              <w:ind w:left="0" w:right="0" w:hanging="0"/>
              <w:jc w:val="center"/>
              <w:rPr/>
            </w:pPr>
            <w:r>
              <w:rPr/>
              <w:t> </w:t>
            </w:r>
          </w:p>
        </w:tc>
        <w:tc>
          <w:tcPr>
            <w:tcW w:w="13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49" w:type="dxa"/>
            <w:tcBorders/>
            <w:shd w:fill="auto" w:val="clear"/>
            <w:vAlign w:val="bottom"/>
          </w:tcPr>
          <w:p>
            <w:pPr>
              <w:pStyle w:val="TableContents"/>
              <w:spacing w:before="0" w:after="0"/>
              <w:ind w:left="0" w:right="0" w:hanging="0"/>
              <w:jc w:val="center"/>
              <w:rPr/>
            </w:pPr>
            <w:r>
              <w:rPr/>
              <w:t> </w:t>
            </w:r>
          </w:p>
        </w:tc>
      </w:tr>
      <w:tr>
        <w:trPr/>
        <w:tc>
          <w:tcPr>
            <w:tcW w:w="27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Operating Data</w:t>
            </w:r>
          </w:p>
        </w:tc>
        <w:tc>
          <w:tcPr>
            <w:tcW w:w="156" w:type="dxa"/>
            <w:tcBorders/>
            <w:shd w:fill="CCEEFF" w:val="clear"/>
            <w:vAlign w:val="bottom"/>
          </w:tcPr>
          <w:p>
            <w:pPr>
              <w:pStyle w:val="TableContents"/>
              <w:spacing w:before="0" w:after="0"/>
              <w:ind w:left="0" w:right="0" w:hanging="0"/>
              <w:rPr/>
            </w:pPr>
            <w:r>
              <w:rPr/>
              <w:t> </w:t>
            </w:r>
          </w:p>
        </w:tc>
        <w:tc>
          <w:tcPr>
            <w:tcW w:w="1308" w:type="dxa"/>
            <w:gridSpan w:val="2"/>
            <w:tcBorders/>
            <w:shd w:fill="CCEEFF" w:val="clear"/>
            <w:vAlign w:val="bottom"/>
          </w:tcPr>
          <w:p>
            <w:pPr>
              <w:pStyle w:val="TableContents"/>
              <w:spacing w:before="0" w:after="0"/>
              <w:ind w:left="0" w:right="0" w:hanging="0"/>
              <w:jc w:val="right"/>
              <w:rPr/>
            </w:pPr>
            <w:r>
              <w:rPr/>
              <w:t> </w:t>
            </w:r>
          </w:p>
        </w:tc>
        <w:tc>
          <w:tcPr>
            <w:tcW w:w="156" w:type="dxa"/>
            <w:tcBorders/>
            <w:shd w:fill="CCEEFF" w:val="clear"/>
            <w:vAlign w:val="bottom"/>
          </w:tcPr>
          <w:p>
            <w:pPr>
              <w:pStyle w:val="TableContents"/>
              <w:spacing w:before="0" w:after="0"/>
              <w:ind w:left="0" w:right="0" w:hanging="0"/>
              <w:rPr/>
            </w:pPr>
            <w:r>
              <w:rPr/>
              <w:t> </w:t>
            </w:r>
          </w:p>
        </w:tc>
        <w:tc>
          <w:tcPr>
            <w:tcW w:w="1308" w:type="dxa"/>
            <w:gridSpan w:val="2"/>
            <w:tcBorders/>
            <w:shd w:fill="CCEEFF" w:val="clear"/>
            <w:vAlign w:val="bottom"/>
          </w:tcPr>
          <w:p>
            <w:pPr>
              <w:pStyle w:val="TableContents"/>
              <w:spacing w:before="0" w:after="0"/>
              <w:ind w:left="0" w:right="0" w:hanging="0"/>
              <w:jc w:val="right"/>
              <w:rPr/>
            </w:pPr>
            <w:r>
              <w:rPr/>
              <w:t> </w:t>
            </w:r>
          </w:p>
        </w:tc>
        <w:tc>
          <w:tcPr>
            <w:tcW w:w="240" w:type="dxa"/>
            <w:tcBorders/>
            <w:shd w:fill="CCEEFF" w:val="clear"/>
            <w:vAlign w:val="bottom"/>
          </w:tcPr>
          <w:p>
            <w:pPr>
              <w:pStyle w:val="TableContents"/>
              <w:spacing w:before="0" w:after="0"/>
              <w:ind w:left="0" w:right="0" w:hanging="0"/>
              <w:rPr/>
            </w:pPr>
            <w:r>
              <w:rPr/>
              <w:t> </w:t>
            </w:r>
          </w:p>
        </w:tc>
        <w:tc>
          <w:tcPr>
            <w:tcW w:w="1194"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65" w:type="dxa"/>
            <w:gridSpan w:val="2"/>
            <w:tcBorders/>
            <w:shd w:fill="CCEEFF" w:val="clear"/>
            <w:vAlign w:val="bottom"/>
          </w:tcPr>
          <w:p>
            <w:pPr>
              <w:pStyle w:val="TableContents"/>
              <w:spacing w:before="0" w:after="0"/>
              <w:ind w:left="0" w:right="0" w:hanging="0"/>
              <w:jc w:val="right"/>
              <w:rPr/>
            </w:pPr>
            <w:r>
              <w:rPr/>
              <w:t> </w:t>
            </w:r>
          </w:p>
        </w:tc>
        <w:tc>
          <w:tcPr>
            <w:tcW w:w="249" w:type="dxa"/>
            <w:tcBorders/>
            <w:shd w:fill="CCEEFF" w:val="clear"/>
            <w:vAlign w:val="bottom"/>
          </w:tcPr>
          <w:p>
            <w:pPr>
              <w:pStyle w:val="TableContents"/>
              <w:spacing w:before="0" w:after="0"/>
              <w:ind w:left="0" w:right="0" w:hanging="0"/>
              <w:rPr/>
            </w:pPr>
            <w:r>
              <w:rPr/>
              <w:t> </w:t>
            </w:r>
          </w:p>
        </w:tc>
      </w:tr>
      <w:tr>
        <w:trPr/>
        <w:tc>
          <w:tcPr>
            <w:tcW w:w="27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refined products and LPG storage (MMBbls/Mo.) </w:t>
            </w:r>
          </w:p>
        </w:tc>
        <w:tc>
          <w:tcPr>
            <w:tcW w:w="156" w:type="dxa"/>
            <w:tcBorders/>
            <w:shd w:fill="auto" w:val="clear"/>
            <w:vAlign w:val="bottom"/>
          </w:tcPr>
          <w:p>
            <w:pPr>
              <w:pStyle w:val="TableContents"/>
              <w:spacing w:before="0" w:after="0"/>
              <w:ind w:left="0" w:right="0" w:hanging="0"/>
              <w:rPr/>
            </w:pPr>
            <w:r>
              <w:rPr/>
              <w:t> </w:t>
            </w:r>
          </w:p>
        </w:tc>
        <w:tc>
          <w:tcPr>
            <w:tcW w:w="130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56" w:type="dxa"/>
            <w:tcBorders/>
            <w:shd w:fill="auto" w:val="clear"/>
            <w:vAlign w:val="bottom"/>
          </w:tcPr>
          <w:p>
            <w:pPr>
              <w:pStyle w:val="TableContents"/>
              <w:spacing w:before="0" w:after="0"/>
              <w:ind w:left="0" w:right="0" w:hanging="0"/>
              <w:rPr/>
            </w:pPr>
            <w:r>
              <w:rPr/>
              <w:t> </w:t>
            </w:r>
          </w:p>
        </w:tc>
        <w:tc>
          <w:tcPr>
            <w:tcW w:w="130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40" w:type="dxa"/>
            <w:tcBorders/>
            <w:shd w:fill="auto" w:val="clear"/>
            <w:vAlign w:val="bottom"/>
          </w:tcPr>
          <w:p>
            <w:pPr>
              <w:pStyle w:val="TableContents"/>
              <w:spacing w:before="0" w:after="0"/>
              <w:ind w:left="0" w:right="0" w:hanging="0"/>
              <w:rPr/>
            </w:pPr>
            <w:r>
              <w:rPr/>
              <w:t> </w:t>
            </w:r>
          </w:p>
        </w:tc>
        <w:tc>
          <w:tcPr>
            <w:tcW w:w="119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93" w:type="dxa"/>
            <w:tcBorders/>
            <w:shd w:fill="auto" w:val="clear"/>
            <w:vAlign w:val="bottom"/>
          </w:tcPr>
          <w:p>
            <w:pPr>
              <w:pStyle w:val="TableContents"/>
              <w:spacing w:before="0" w:after="0"/>
              <w:ind w:left="0" w:right="0" w:hanging="0"/>
              <w:rPr/>
            </w:pPr>
            <w:r>
              <w:rPr/>
              <w:t> </w:t>
            </w:r>
          </w:p>
        </w:tc>
        <w:tc>
          <w:tcPr>
            <w:tcW w:w="136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49" w:type="dxa"/>
            <w:tcBorders/>
            <w:shd w:fill="auto" w:val="clear"/>
            <w:vAlign w:val="bottom"/>
          </w:tcPr>
          <w:p>
            <w:pPr>
              <w:pStyle w:val="TableContents"/>
              <w:spacing w:before="0" w:after="0"/>
              <w:ind w:left="0" w:right="0" w:hanging="0"/>
              <w:rPr/>
            </w:pPr>
            <w:r>
              <w:rPr/>
              <w:t> </w:t>
            </w:r>
          </w:p>
        </w:tc>
      </w:tr>
      <w:tr>
        <w:trPr/>
        <w:tc>
          <w:tcPr>
            <w:tcW w:w="27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Natural Gas Storage (Bcf/Mo.)</w:t>
            </w:r>
          </w:p>
        </w:tc>
        <w:tc>
          <w:tcPr>
            <w:tcW w:w="156" w:type="dxa"/>
            <w:tcBorders/>
            <w:shd w:fill="CCEEFF" w:val="clear"/>
            <w:vAlign w:val="bottom"/>
          </w:tcPr>
          <w:p>
            <w:pPr>
              <w:pStyle w:val="TableContents"/>
              <w:spacing w:before="0" w:after="0"/>
              <w:ind w:left="0" w:right="0" w:hanging="0"/>
              <w:rPr/>
            </w:pPr>
            <w:r>
              <w:rPr/>
              <w:t> </w:t>
            </w:r>
          </w:p>
        </w:tc>
        <w:tc>
          <w:tcPr>
            <w:tcW w:w="130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56" w:type="dxa"/>
            <w:tcBorders/>
            <w:shd w:fill="CCEEFF" w:val="clear"/>
            <w:vAlign w:val="bottom"/>
          </w:tcPr>
          <w:p>
            <w:pPr>
              <w:pStyle w:val="TableContents"/>
              <w:spacing w:before="0" w:after="0"/>
              <w:ind w:left="0" w:right="0" w:hanging="0"/>
              <w:rPr/>
            </w:pPr>
            <w:r>
              <w:rPr/>
              <w:t> </w:t>
            </w:r>
          </w:p>
        </w:tc>
        <w:tc>
          <w:tcPr>
            <w:tcW w:w="130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40" w:type="dxa"/>
            <w:tcBorders/>
            <w:shd w:fill="CCEEFF" w:val="clear"/>
            <w:vAlign w:val="bottom"/>
          </w:tcPr>
          <w:p>
            <w:pPr>
              <w:pStyle w:val="TableContents"/>
              <w:spacing w:before="0" w:after="0"/>
              <w:ind w:left="0" w:right="0" w:hanging="0"/>
              <w:rPr/>
            </w:pPr>
            <w:r>
              <w:rPr/>
              <w:t> </w:t>
            </w:r>
          </w:p>
        </w:tc>
        <w:tc>
          <w:tcPr>
            <w:tcW w:w="119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93" w:type="dxa"/>
            <w:tcBorders/>
            <w:shd w:fill="CCEEFF" w:val="clear"/>
            <w:vAlign w:val="bottom"/>
          </w:tcPr>
          <w:p>
            <w:pPr>
              <w:pStyle w:val="TableContents"/>
              <w:spacing w:before="0" w:after="0"/>
              <w:ind w:left="0" w:right="0" w:hanging="0"/>
              <w:rPr/>
            </w:pPr>
            <w:r>
              <w:rPr/>
              <w:t> </w:t>
            </w:r>
          </w:p>
        </w:tc>
        <w:tc>
          <w:tcPr>
            <w:tcW w:w="136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49" w:type="dxa"/>
            <w:tcBorders/>
            <w:shd w:fill="CCEEFF" w:val="clear"/>
            <w:vAlign w:val="bottom"/>
          </w:tcPr>
          <w:p>
            <w:pPr>
              <w:pStyle w:val="TableContents"/>
              <w:spacing w:before="0" w:after="0"/>
              <w:ind w:left="0" w:right="0" w:hanging="0"/>
              <w:rPr/>
            </w:pPr>
            <w:r>
              <w:rPr/>
              <w:t> </w:t>
            </w:r>
          </w:p>
        </w:tc>
      </w:tr>
      <w:tr>
        <w:trPr/>
        <w:tc>
          <w:tcPr>
            <w:tcW w:w="27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LPG Processing (MBbl/d)</w:t>
            </w:r>
          </w:p>
        </w:tc>
        <w:tc>
          <w:tcPr>
            <w:tcW w:w="156" w:type="dxa"/>
            <w:tcBorders/>
            <w:shd w:fill="auto" w:val="clear"/>
            <w:vAlign w:val="bottom"/>
          </w:tcPr>
          <w:p>
            <w:pPr>
              <w:pStyle w:val="TableContents"/>
              <w:spacing w:before="0" w:after="0"/>
              <w:ind w:left="0" w:right="0" w:hanging="0"/>
              <w:rPr/>
            </w:pPr>
            <w:r>
              <w:rPr/>
              <w:t> </w:t>
            </w:r>
          </w:p>
        </w:tc>
        <w:tc>
          <w:tcPr>
            <w:tcW w:w="130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56" w:type="dxa"/>
            <w:tcBorders/>
            <w:shd w:fill="auto" w:val="clear"/>
            <w:vAlign w:val="bottom"/>
          </w:tcPr>
          <w:p>
            <w:pPr>
              <w:pStyle w:val="TableContents"/>
              <w:spacing w:before="0" w:after="0"/>
              <w:ind w:left="0" w:right="0" w:hanging="0"/>
              <w:rPr/>
            </w:pPr>
            <w:r>
              <w:rPr/>
              <w:t> </w:t>
            </w:r>
          </w:p>
        </w:tc>
        <w:tc>
          <w:tcPr>
            <w:tcW w:w="130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40" w:type="dxa"/>
            <w:tcBorders/>
            <w:shd w:fill="auto" w:val="clear"/>
            <w:vAlign w:val="bottom"/>
          </w:tcPr>
          <w:p>
            <w:pPr>
              <w:pStyle w:val="TableContents"/>
              <w:spacing w:before="0" w:after="0"/>
              <w:ind w:left="0" w:right="0" w:hanging="0"/>
              <w:rPr/>
            </w:pPr>
            <w:r>
              <w:rPr/>
              <w:t> </w:t>
            </w:r>
          </w:p>
        </w:tc>
        <w:tc>
          <w:tcPr>
            <w:tcW w:w="119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93" w:type="dxa"/>
            <w:tcBorders/>
            <w:shd w:fill="auto" w:val="clear"/>
            <w:vAlign w:val="bottom"/>
          </w:tcPr>
          <w:p>
            <w:pPr>
              <w:pStyle w:val="TableContents"/>
              <w:spacing w:before="0" w:after="0"/>
              <w:ind w:left="0" w:right="0" w:hanging="0"/>
              <w:rPr/>
            </w:pPr>
            <w:r>
              <w:rPr/>
              <w:t> </w:t>
            </w:r>
          </w:p>
        </w:tc>
        <w:tc>
          <w:tcPr>
            <w:tcW w:w="136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49" w:type="dxa"/>
            <w:tcBorders/>
            <w:shd w:fill="auto" w:val="clear"/>
            <w:vAlign w:val="bottom"/>
          </w:tcPr>
          <w:p>
            <w:pPr>
              <w:pStyle w:val="TableContents"/>
              <w:spacing w:before="0" w:after="0"/>
              <w:ind w:left="0" w:right="0" w:hanging="0"/>
              <w:rPr/>
            </w:pPr>
            <w:r>
              <w:rPr/>
              <w:t> </w:t>
            </w:r>
          </w:p>
        </w:tc>
      </w:tr>
      <w:tr>
        <w:trPr/>
        <w:tc>
          <w:tcPr>
            <w:tcW w:w="2709" w:type="dxa"/>
            <w:tcBorders/>
            <w:shd w:fill="CCEEFF" w:val="clear"/>
          </w:tcPr>
          <w:p>
            <w:pPr>
              <w:pStyle w:val="TableContents"/>
              <w:spacing w:before="0" w:after="0"/>
              <w:ind w:left="0" w:right="0" w:hanging="0"/>
              <w:rPr/>
            </w:pPr>
            <w:r>
              <w:rPr>
                <w:rFonts w:ascii="Times New Roman" w:hAnsi="Times New Roman"/>
                <w:sz w:val="17"/>
              </w:rPr>
              <w:t xml:space="preserve">Facilities Activities Total </w:t>
            </w:r>
            <w:r>
              <w:rPr/>
              <w:t> </w:t>
            </w:r>
            <w:r>
              <w:rPr>
                <w:sz w:val="11"/>
              </w:rPr>
              <w:t>(1)</w:t>
            </w:r>
          </w:p>
        </w:tc>
        <w:tc>
          <w:tcPr>
            <w:tcW w:w="156" w:type="dxa"/>
            <w:tcBorders/>
            <w:shd w:fill="CCEEFF" w:val="clear"/>
            <w:vAlign w:val="bottom"/>
          </w:tcPr>
          <w:p>
            <w:pPr>
              <w:pStyle w:val="TableContents"/>
              <w:spacing w:before="0" w:after="0"/>
              <w:ind w:left="0" w:right="0" w:hanging="0"/>
              <w:rPr/>
            </w:pPr>
            <w:r>
              <w:rPr/>
              <w:t> </w:t>
            </w:r>
          </w:p>
        </w:tc>
        <w:tc>
          <w:tcPr>
            <w:tcW w:w="1308" w:type="dxa"/>
            <w:gridSpan w:val="2"/>
            <w:tcBorders/>
            <w:shd w:fill="CCEEFF" w:val="clear"/>
            <w:vAlign w:val="bottom"/>
          </w:tcPr>
          <w:p>
            <w:pPr>
              <w:pStyle w:val="TableContents"/>
              <w:spacing w:before="0" w:after="0"/>
              <w:ind w:left="0" w:right="0" w:hanging="0"/>
              <w:jc w:val="right"/>
              <w:rPr/>
            </w:pPr>
            <w:r>
              <w:rPr/>
              <w:t> </w:t>
            </w:r>
          </w:p>
        </w:tc>
        <w:tc>
          <w:tcPr>
            <w:tcW w:w="156" w:type="dxa"/>
            <w:tcBorders/>
            <w:shd w:fill="CCEEFF" w:val="clear"/>
            <w:vAlign w:val="bottom"/>
          </w:tcPr>
          <w:p>
            <w:pPr>
              <w:pStyle w:val="TableContents"/>
              <w:spacing w:before="0" w:after="0"/>
              <w:ind w:left="0" w:right="0" w:hanging="0"/>
              <w:rPr/>
            </w:pPr>
            <w:r>
              <w:rPr/>
              <w:t> </w:t>
            </w:r>
          </w:p>
        </w:tc>
        <w:tc>
          <w:tcPr>
            <w:tcW w:w="1308" w:type="dxa"/>
            <w:gridSpan w:val="2"/>
            <w:tcBorders/>
            <w:shd w:fill="CCEEFF" w:val="clear"/>
            <w:vAlign w:val="bottom"/>
          </w:tcPr>
          <w:p>
            <w:pPr>
              <w:pStyle w:val="TableContents"/>
              <w:spacing w:before="0" w:after="0"/>
              <w:ind w:left="0" w:right="0" w:hanging="0"/>
              <w:jc w:val="right"/>
              <w:rPr/>
            </w:pPr>
            <w:r>
              <w:rPr/>
              <w:t> </w:t>
            </w:r>
          </w:p>
        </w:tc>
        <w:tc>
          <w:tcPr>
            <w:tcW w:w="240" w:type="dxa"/>
            <w:tcBorders/>
            <w:shd w:fill="CCEEFF" w:val="clear"/>
            <w:vAlign w:val="bottom"/>
          </w:tcPr>
          <w:p>
            <w:pPr>
              <w:pStyle w:val="TableContents"/>
              <w:spacing w:before="0" w:after="0"/>
              <w:ind w:left="0" w:right="0" w:hanging="0"/>
              <w:rPr/>
            </w:pPr>
            <w:r>
              <w:rPr/>
              <w:t> </w:t>
            </w:r>
          </w:p>
        </w:tc>
        <w:tc>
          <w:tcPr>
            <w:tcW w:w="1194"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65" w:type="dxa"/>
            <w:gridSpan w:val="2"/>
            <w:tcBorders/>
            <w:shd w:fill="CCEEFF" w:val="clear"/>
            <w:vAlign w:val="bottom"/>
          </w:tcPr>
          <w:p>
            <w:pPr>
              <w:pStyle w:val="TableContents"/>
              <w:spacing w:before="0" w:after="0"/>
              <w:ind w:left="0" w:right="0" w:hanging="0"/>
              <w:jc w:val="right"/>
              <w:rPr/>
            </w:pPr>
            <w:r>
              <w:rPr/>
              <w:t> </w:t>
            </w:r>
          </w:p>
        </w:tc>
        <w:tc>
          <w:tcPr>
            <w:tcW w:w="249" w:type="dxa"/>
            <w:tcBorders/>
            <w:shd w:fill="CCEEFF" w:val="clear"/>
            <w:vAlign w:val="bottom"/>
          </w:tcPr>
          <w:p>
            <w:pPr>
              <w:pStyle w:val="TableContents"/>
              <w:spacing w:before="0" w:after="0"/>
              <w:ind w:left="0" w:right="0" w:hanging="0"/>
              <w:rPr/>
            </w:pPr>
            <w:r>
              <w:rPr/>
              <w:t> </w:t>
            </w:r>
          </w:p>
        </w:tc>
      </w:tr>
      <w:tr>
        <w:trPr/>
        <w:tc>
          <w:tcPr>
            <w:tcW w:w="27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Avg. Capacity (MMBbls/Mo.)</w:t>
            </w:r>
          </w:p>
        </w:tc>
        <w:tc>
          <w:tcPr>
            <w:tcW w:w="156" w:type="dxa"/>
            <w:tcBorders/>
            <w:shd w:fill="auto" w:val="clear"/>
            <w:vAlign w:val="bottom"/>
          </w:tcPr>
          <w:p>
            <w:pPr>
              <w:pStyle w:val="TableContents"/>
              <w:spacing w:before="0" w:after="0"/>
              <w:ind w:left="0" w:right="0" w:hanging="0"/>
              <w:rPr/>
            </w:pPr>
            <w:r>
              <w:rPr/>
              <w:t> </w:t>
            </w:r>
          </w:p>
        </w:tc>
        <w:tc>
          <w:tcPr>
            <w:tcW w:w="130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56" w:type="dxa"/>
            <w:tcBorders/>
            <w:shd w:fill="auto" w:val="clear"/>
            <w:vAlign w:val="bottom"/>
          </w:tcPr>
          <w:p>
            <w:pPr>
              <w:pStyle w:val="TableContents"/>
              <w:spacing w:before="0" w:after="0"/>
              <w:ind w:left="0" w:right="0" w:hanging="0"/>
              <w:rPr/>
            </w:pPr>
            <w:r>
              <w:rPr/>
              <w:t> </w:t>
            </w:r>
          </w:p>
        </w:tc>
        <w:tc>
          <w:tcPr>
            <w:tcW w:w="130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40" w:type="dxa"/>
            <w:tcBorders/>
            <w:shd w:fill="auto" w:val="clear"/>
            <w:vAlign w:val="bottom"/>
          </w:tcPr>
          <w:p>
            <w:pPr>
              <w:pStyle w:val="TableContents"/>
              <w:spacing w:before="0" w:after="0"/>
              <w:ind w:left="0" w:right="0" w:hanging="0"/>
              <w:rPr/>
            </w:pPr>
            <w:r>
              <w:rPr/>
              <w:t> </w:t>
            </w:r>
          </w:p>
        </w:tc>
        <w:tc>
          <w:tcPr>
            <w:tcW w:w="119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93" w:type="dxa"/>
            <w:tcBorders/>
            <w:shd w:fill="auto" w:val="clear"/>
            <w:vAlign w:val="bottom"/>
          </w:tcPr>
          <w:p>
            <w:pPr>
              <w:pStyle w:val="TableContents"/>
              <w:spacing w:before="0" w:after="0"/>
              <w:ind w:left="0" w:right="0" w:hanging="0"/>
              <w:rPr/>
            </w:pPr>
            <w:r>
              <w:rPr/>
              <w:t> </w:t>
            </w:r>
          </w:p>
        </w:tc>
        <w:tc>
          <w:tcPr>
            <w:tcW w:w="136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49" w:type="dxa"/>
            <w:tcBorders/>
            <w:shd w:fill="auto" w:val="clear"/>
            <w:vAlign w:val="bottom"/>
          </w:tcPr>
          <w:p>
            <w:pPr>
              <w:pStyle w:val="TableContents"/>
              <w:spacing w:before="0" w:after="0"/>
              <w:ind w:left="0" w:right="0" w:hanging="0"/>
              <w:rPr/>
            </w:pPr>
            <w:r>
              <w:rPr/>
              <w:t> </w:t>
            </w:r>
          </w:p>
        </w:tc>
      </w:tr>
      <w:tr>
        <w:trPr/>
        <w:tc>
          <w:tcPr>
            <w:tcW w:w="2709" w:type="dxa"/>
            <w:tcBorders/>
            <w:shd w:fill="CCEEFF" w:val="clear"/>
          </w:tcPr>
          <w:p>
            <w:pPr>
              <w:pStyle w:val="TableContents"/>
              <w:spacing w:before="0" w:after="0"/>
              <w:ind w:left="0" w:right="0" w:hanging="0"/>
              <w:rPr/>
            </w:pPr>
            <w:r>
              <w:rPr/>
              <w:t> </w:t>
            </w:r>
          </w:p>
        </w:tc>
        <w:tc>
          <w:tcPr>
            <w:tcW w:w="156" w:type="dxa"/>
            <w:tcBorders/>
            <w:shd w:fill="CCEEFF" w:val="clear"/>
            <w:vAlign w:val="bottom"/>
          </w:tcPr>
          <w:p>
            <w:pPr>
              <w:pStyle w:val="TableContents"/>
              <w:spacing w:before="0" w:after="0"/>
              <w:ind w:left="0" w:right="0" w:hanging="0"/>
              <w:rPr/>
            </w:pPr>
            <w:r>
              <w:rPr/>
              <w:t> </w:t>
            </w:r>
          </w:p>
        </w:tc>
        <w:tc>
          <w:tcPr>
            <w:tcW w:w="1308" w:type="dxa"/>
            <w:gridSpan w:val="2"/>
            <w:tcBorders/>
            <w:shd w:fill="CCEEFF" w:val="clear"/>
            <w:vAlign w:val="bottom"/>
          </w:tcPr>
          <w:p>
            <w:pPr>
              <w:pStyle w:val="TableContents"/>
              <w:spacing w:before="0" w:after="0"/>
              <w:ind w:left="0" w:right="0" w:hanging="0"/>
              <w:jc w:val="right"/>
              <w:rPr/>
            </w:pPr>
            <w:r>
              <w:rPr/>
              <w:t> </w:t>
            </w:r>
          </w:p>
        </w:tc>
        <w:tc>
          <w:tcPr>
            <w:tcW w:w="156" w:type="dxa"/>
            <w:tcBorders/>
            <w:shd w:fill="CCEEFF" w:val="clear"/>
            <w:vAlign w:val="bottom"/>
          </w:tcPr>
          <w:p>
            <w:pPr>
              <w:pStyle w:val="TableContents"/>
              <w:spacing w:before="0" w:after="0"/>
              <w:ind w:left="0" w:right="0" w:hanging="0"/>
              <w:rPr/>
            </w:pPr>
            <w:r>
              <w:rPr/>
              <w:t> </w:t>
            </w:r>
          </w:p>
        </w:tc>
        <w:tc>
          <w:tcPr>
            <w:tcW w:w="1308" w:type="dxa"/>
            <w:gridSpan w:val="2"/>
            <w:tcBorders/>
            <w:shd w:fill="CCEEFF" w:val="clear"/>
            <w:vAlign w:val="bottom"/>
          </w:tcPr>
          <w:p>
            <w:pPr>
              <w:pStyle w:val="TableContents"/>
              <w:spacing w:before="0" w:after="0"/>
              <w:ind w:left="0" w:right="0" w:hanging="0"/>
              <w:jc w:val="right"/>
              <w:rPr/>
            </w:pPr>
            <w:r>
              <w:rPr/>
              <w:t> </w:t>
            </w:r>
          </w:p>
        </w:tc>
        <w:tc>
          <w:tcPr>
            <w:tcW w:w="240" w:type="dxa"/>
            <w:tcBorders/>
            <w:shd w:fill="CCEEFF" w:val="clear"/>
            <w:vAlign w:val="bottom"/>
          </w:tcPr>
          <w:p>
            <w:pPr>
              <w:pStyle w:val="TableContents"/>
              <w:spacing w:before="0" w:after="0"/>
              <w:ind w:left="0" w:right="0" w:hanging="0"/>
              <w:rPr/>
            </w:pPr>
            <w:r>
              <w:rPr/>
              <w:t> </w:t>
            </w:r>
          </w:p>
        </w:tc>
        <w:tc>
          <w:tcPr>
            <w:tcW w:w="1194"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65" w:type="dxa"/>
            <w:gridSpan w:val="2"/>
            <w:tcBorders/>
            <w:shd w:fill="CCEEFF" w:val="clear"/>
            <w:vAlign w:val="bottom"/>
          </w:tcPr>
          <w:p>
            <w:pPr>
              <w:pStyle w:val="TableContents"/>
              <w:spacing w:before="0" w:after="0"/>
              <w:ind w:left="0" w:right="0" w:hanging="0"/>
              <w:jc w:val="right"/>
              <w:rPr/>
            </w:pPr>
            <w:r>
              <w:rPr/>
              <w:t> </w:t>
            </w:r>
          </w:p>
        </w:tc>
        <w:tc>
          <w:tcPr>
            <w:tcW w:w="249" w:type="dxa"/>
            <w:tcBorders/>
            <w:shd w:fill="CCEEFF" w:val="clear"/>
            <w:vAlign w:val="bottom"/>
          </w:tcPr>
          <w:p>
            <w:pPr>
              <w:pStyle w:val="TableContents"/>
              <w:spacing w:before="0" w:after="0"/>
              <w:ind w:left="0" w:right="0" w:hanging="0"/>
              <w:rPr/>
            </w:pPr>
            <w:r>
              <w:rPr/>
              <w:t> </w:t>
            </w:r>
          </w:p>
        </w:tc>
      </w:tr>
      <w:tr>
        <w:trPr/>
        <w:tc>
          <w:tcPr>
            <w:tcW w:w="27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 per Barrel ($/Bbl)</w:t>
            </w:r>
          </w:p>
        </w:tc>
        <w:tc>
          <w:tcPr>
            <w:tcW w:w="156" w:type="dxa"/>
            <w:tcBorders/>
            <w:shd w:fill="auto" w:val="clear"/>
            <w:vAlign w:val="bottom"/>
          </w:tcPr>
          <w:p>
            <w:pPr>
              <w:pStyle w:val="TableContents"/>
              <w:spacing w:before="0" w:after="0"/>
              <w:ind w:left="0" w:right="0" w:hanging="0"/>
              <w:rPr/>
            </w:pPr>
            <w:r>
              <w:rPr/>
              <w:t> </w:t>
            </w:r>
          </w:p>
        </w:tc>
        <w:tc>
          <w:tcPr>
            <w:tcW w:w="1308" w:type="dxa"/>
            <w:gridSpan w:val="2"/>
            <w:tcBorders/>
            <w:shd w:fill="auto" w:val="clear"/>
            <w:vAlign w:val="bottom"/>
          </w:tcPr>
          <w:p>
            <w:pPr>
              <w:pStyle w:val="TableContents"/>
              <w:spacing w:before="0" w:after="0"/>
              <w:ind w:left="0" w:right="0" w:hanging="0"/>
              <w:jc w:val="right"/>
              <w:rPr/>
            </w:pPr>
            <w:r>
              <w:rPr/>
              <w:t> </w:t>
            </w:r>
          </w:p>
        </w:tc>
        <w:tc>
          <w:tcPr>
            <w:tcW w:w="156" w:type="dxa"/>
            <w:tcBorders/>
            <w:shd w:fill="auto" w:val="clear"/>
            <w:vAlign w:val="bottom"/>
          </w:tcPr>
          <w:p>
            <w:pPr>
              <w:pStyle w:val="TableContents"/>
              <w:spacing w:before="0" w:after="0"/>
              <w:ind w:left="0" w:right="0" w:hanging="0"/>
              <w:rPr/>
            </w:pPr>
            <w:r>
              <w:rPr/>
              <w:t> </w:t>
            </w:r>
          </w:p>
        </w:tc>
        <w:tc>
          <w:tcPr>
            <w:tcW w:w="1308" w:type="dxa"/>
            <w:gridSpan w:val="2"/>
            <w:tcBorders/>
            <w:shd w:fill="auto" w:val="clear"/>
            <w:vAlign w:val="bottom"/>
          </w:tcPr>
          <w:p>
            <w:pPr>
              <w:pStyle w:val="TableContents"/>
              <w:spacing w:before="0" w:after="0"/>
              <w:ind w:left="0" w:right="0" w:hanging="0"/>
              <w:jc w:val="right"/>
              <w:rPr/>
            </w:pPr>
            <w:r>
              <w:rPr/>
              <w:t> </w:t>
            </w:r>
          </w:p>
        </w:tc>
        <w:tc>
          <w:tcPr>
            <w:tcW w:w="240" w:type="dxa"/>
            <w:tcBorders/>
            <w:shd w:fill="auto" w:val="clear"/>
            <w:vAlign w:val="bottom"/>
          </w:tcPr>
          <w:p>
            <w:pPr>
              <w:pStyle w:val="TableContents"/>
              <w:spacing w:before="0" w:after="0"/>
              <w:ind w:left="0" w:right="0" w:hanging="0"/>
              <w:rPr/>
            </w:pPr>
            <w:r>
              <w:rPr/>
              <w:t> </w:t>
            </w:r>
          </w:p>
        </w:tc>
        <w:tc>
          <w:tcPr>
            <w:tcW w:w="1194"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365" w:type="dxa"/>
            <w:gridSpan w:val="2"/>
            <w:tcBorders/>
            <w:shd w:fill="auto" w:val="clear"/>
            <w:vAlign w:val="bottom"/>
          </w:tcPr>
          <w:p>
            <w:pPr>
              <w:pStyle w:val="TableContents"/>
              <w:spacing w:before="0" w:after="0"/>
              <w:ind w:left="0" w:right="0" w:hanging="0"/>
              <w:jc w:val="right"/>
              <w:rPr/>
            </w:pPr>
            <w:r>
              <w:rPr/>
              <w:t> </w:t>
            </w:r>
          </w:p>
        </w:tc>
        <w:tc>
          <w:tcPr>
            <w:tcW w:w="249" w:type="dxa"/>
            <w:tcBorders/>
            <w:shd w:fill="auto" w:val="clear"/>
            <w:vAlign w:val="bottom"/>
          </w:tcPr>
          <w:p>
            <w:pPr>
              <w:pStyle w:val="TableContents"/>
              <w:spacing w:before="0" w:after="0"/>
              <w:ind w:left="0" w:right="0" w:hanging="0"/>
              <w:rPr/>
            </w:pPr>
            <w:r>
              <w:rPr/>
              <w:t> </w:t>
            </w:r>
          </w:p>
        </w:tc>
      </w:tr>
      <w:tr>
        <w:trPr/>
        <w:tc>
          <w:tcPr>
            <w:tcW w:w="27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Excluding Selected Items Impacting Comparability</w:t>
            </w:r>
          </w:p>
        </w:tc>
        <w:tc>
          <w:tcPr>
            <w:tcW w:w="156" w:type="dxa"/>
            <w:tcBorders/>
            <w:shd w:fill="CCEEFF" w:val="clear"/>
            <w:vAlign w:val="bottom"/>
          </w:tcPr>
          <w:p>
            <w:pPr>
              <w:pStyle w:val="TableContents"/>
              <w:spacing w:before="0" w:after="0"/>
              <w:ind w:left="0" w:right="0" w:hanging="0"/>
              <w:rPr/>
            </w:pPr>
            <w:r>
              <w:rPr/>
              <w:t> </w:t>
            </w:r>
          </w:p>
        </w:tc>
        <w:tc>
          <w:tcPr>
            <w:tcW w:w="2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156" w:type="dxa"/>
            <w:tcBorders/>
            <w:shd w:fill="CCEEFF" w:val="clear"/>
            <w:vAlign w:val="bottom"/>
          </w:tcPr>
          <w:p>
            <w:pPr>
              <w:pStyle w:val="TableContents"/>
              <w:spacing w:before="0" w:after="0"/>
              <w:ind w:left="0" w:right="0" w:hanging="0"/>
              <w:rPr/>
            </w:pPr>
            <w:r>
              <w:rPr/>
              <w:t> </w:t>
            </w:r>
          </w:p>
        </w:tc>
        <w:tc>
          <w:tcPr>
            <w:tcW w:w="2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0.25</w:t>
            </w:r>
          </w:p>
        </w:tc>
        <w:tc>
          <w:tcPr>
            <w:tcW w:w="240" w:type="dxa"/>
            <w:tcBorders/>
            <w:shd w:fill="CCEEFF" w:val="clear"/>
            <w:vAlign w:val="bottom"/>
          </w:tcPr>
          <w:p>
            <w:pPr>
              <w:pStyle w:val="TableContents"/>
              <w:spacing w:before="0" w:after="0"/>
              <w:ind w:left="0" w:right="0" w:hanging="0"/>
              <w:rPr/>
            </w:pPr>
            <w:r>
              <w:rPr/>
              <w:t> </w:t>
            </w:r>
            <w:r>
              <w:rPr>
                <w:rFonts w:ascii="Times New Roman" w:hAnsi="Times New Roman"/>
                <w:sz w:val="11"/>
              </w:rPr>
              <w:t>(2)</w:t>
            </w:r>
          </w:p>
        </w:tc>
        <w:tc>
          <w:tcPr>
            <w:tcW w:w="18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0.31</w:t>
            </w:r>
          </w:p>
        </w:tc>
        <w:tc>
          <w:tcPr>
            <w:tcW w:w="193"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2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249" w:type="dxa"/>
            <w:tcBorders/>
            <w:shd w:fill="CCEEFF" w:val="clear"/>
            <w:vAlign w:val="bottom"/>
          </w:tcPr>
          <w:p>
            <w:pPr>
              <w:pStyle w:val="TableContents"/>
              <w:spacing w:before="0" w:after="0"/>
              <w:ind w:left="0" w:right="0" w:hanging="0"/>
              <w:rPr/>
            </w:pPr>
            <w:r>
              <w:rPr/>
              <w:t> </w:t>
            </w:r>
            <w:r>
              <w:rPr>
                <w:rFonts w:ascii="Times New Roman" w:hAnsi="Times New Roman"/>
                <w:sz w:val="11"/>
              </w:rPr>
              <w:t>(2)</w:t>
            </w:r>
          </w:p>
        </w:tc>
      </w:tr>
      <w:tr>
        <w:trPr/>
        <w:tc>
          <w:tcPr>
            <w:tcW w:w="27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4350" w:type="pct"/>
        <w:jc w:val="left"/>
        <w:tblInd w:w="0" w:type="dxa"/>
        <w:tblCellMar>
          <w:top w:w="0" w:type="dxa"/>
          <w:left w:w="0" w:type="dxa"/>
          <w:bottom w:w="0" w:type="dxa"/>
          <w:right w:w="0" w:type="dxa"/>
        </w:tblCellMar>
      </w:tblPr>
      <w:tblGrid>
        <w:gridCol w:w="267"/>
        <w:gridCol w:w="8611"/>
      </w:tblGrid>
      <w:tr>
        <w:trPr/>
        <w:tc>
          <w:tcPr>
            <w:tcW w:w="267"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86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Calculated as the sum of: (i) crude oil, refined products and LPG storage capacity; (ii) natural gas storage capacity divided by 6 to account for the 6:1 mcf of gas to barrel of crude oil ratio; and (iii) LPG processing volumes multiplied by the number of days in the period and divided by the number of months in the period.</w:t>
            </w:r>
          </w:p>
        </w:tc>
      </w:tr>
      <w:tr>
        <w:trPr/>
        <w:tc>
          <w:tcPr>
            <w:tcW w:w="267"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86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Mid-point of guidance.</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i/>
          <w:sz w:val="17"/>
        </w:rPr>
        <w:t>Marketing</w:t>
      </w:r>
      <w:r>
        <w:rPr>
          <w:rFonts w:ascii="Times New Roman" w:hAnsi="Times New Roman"/>
          <w:sz w:val="17"/>
        </w:rPr>
        <w:t>.  Our marketing segment operations generally consist of the following merchant activities:</w:t>
      </w:r>
    </w:p>
    <w:p>
      <w:pPr>
        <w:pStyle w:val="TextBody"/>
        <w:spacing w:before="0" w:after="0"/>
        <w:ind w:left="0" w:right="0" w:hanging="0"/>
        <w:rPr/>
      </w:pPr>
      <w:r>
        <w:rPr/>
        <w:t> </w:t>
      </w:r>
    </w:p>
    <w:tbl>
      <w:tblPr>
        <w:tblW w:w="4400" w:type="pct"/>
        <w:jc w:val="left"/>
        <w:tblInd w:w="0" w:type="dxa"/>
        <w:tblCellMar>
          <w:top w:w="0" w:type="dxa"/>
          <w:left w:w="0" w:type="dxa"/>
          <w:bottom w:w="0" w:type="dxa"/>
          <w:right w:w="0" w:type="dxa"/>
        </w:tblCellMar>
      </w:tblPr>
      <w:tblGrid>
        <w:gridCol w:w="452"/>
        <w:gridCol w:w="8528"/>
      </w:tblGrid>
      <w:tr>
        <w:trPr/>
        <w:tc>
          <w:tcPr>
            <w:tcW w:w="452"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85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purchase of U.S. and Canadian crude oil at the wellhead and the bulk purchase of crude oil at pipeline and terminal facilities, as well as the purchase of foreign cargoes at their load port and various other locations in transit;</w:t>
            </w:r>
          </w:p>
        </w:tc>
      </w:tr>
      <w:tr>
        <w:trPr/>
        <w:tc>
          <w:tcPr>
            <w:tcW w:w="452" w:type="dxa"/>
            <w:tcBorders/>
            <w:shd w:fill="auto" w:val="clear"/>
          </w:tcPr>
          <w:p>
            <w:pPr>
              <w:pStyle w:val="TableContents"/>
              <w:spacing w:before="0" w:after="0"/>
              <w:ind w:left="0" w:right="0" w:hanging="0"/>
              <w:rPr/>
            </w:pPr>
            <w:r>
              <w:rPr/>
              <w:t> </w:t>
            </w:r>
          </w:p>
        </w:tc>
        <w:tc>
          <w:tcPr>
            <w:tcW w:w="8528" w:type="dxa"/>
            <w:tcBorders/>
            <w:shd w:fill="auto" w:val="clear"/>
          </w:tcPr>
          <w:p>
            <w:pPr>
              <w:pStyle w:val="TableContents"/>
              <w:spacing w:before="0" w:after="0"/>
              <w:ind w:left="0" w:right="0" w:hanging="0"/>
              <w:rPr/>
            </w:pPr>
            <w:r>
              <w:rPr/>
              <w:t> </w:t>
            </w:r>
          </w:p>
        </w:tc>
      </w:tr>
      <w:tr>
        <w:trPr/>
        <w:tc>
          <w:tcPr>
            <w:tcW w:w="452"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85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storage of inventory during contango market conditions and the seasonal storage of LPG;</w:t>
            </w:r>
          </w:p>
        </w:tc>
      </w:tr>
      <w:tr>
        <w:trPr/>
        <w:tc>
          <w:tcPr>
            <w:tcW w:w="452" w:type="dxa"/>
            <w:tcBorders/>
            <w:shd w:fill="auto" w:val="clear"/>
          </w:tcPr>
          <w:p>
            <w:pPr>
              <w:pStyle w:val="TableContents"/>
              <w:spacing w:before="0" w:after="0"/>
              <w:ind w:left="0" w:right="0" w:hanging="0"/>
              <w:rPr/>
            </w:pPr>
            <w:r>
              <w:rPr/>
              <w:t> </w:t>
            </w:r>
          </w:p>
        </w:tc>
        <w:tc>
          <w:tcPr>
            <w:tcW w:w="8528" w:type="dxa"/>
            <w:tcBorders/>
            <w:shd w:fill="auto" w:val="clear"/>
          </w:tcPr>
          <w:p>
            <w:pPr>
              <w:pStyle w:val="TableContents"/>
              <w:spacing w:before="0" w:after="0"/>
              <w:ind w:left="0" w:right="0" w:hanging="0"/>
              <w:rPr/>
            </w:pPr>
            <w:r>
              <w:rPr/>
              <w:t> </w:t>
            </w:r>
          </w:p>
        </w:tc>
      </w:tr>
      <w:tr>
        <w:trPr/>
        <w:tc>
          <w:tcPr>
            <w:tcW w:w="452"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85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purchase of refined products and LPG from producers, refiners and other marketers;</w:t>
            </w:r>
          </w:p>
        </w:tc>
      </w:tr>
      <w:tr>
        <w:trPr/>
        <w:tc>
          <w:tcPr>
            <w:tcW w:w="452" w:type="dxa"/>
            <w:tcBorders/>
            <w:shd w:fill="auto" w:val="clear"/>
          </w:tcPr>
          <w:p>
            <w:pPr>
              <w:pStyle w:val="TableContents"/>
              <w:spacing w:before="0" w:after="0"/>
              <w:ind w:left="0" w:right="0" w:hanging="0"/>
              <w:rPr/>
            </w:pPr>
            <w:r>
              <w:rPr/>
              <w:t> </w:t>
            </w:r>
          </w:p>
        </w:tc>
        <w:tc>
          <w:tcPr>
            <w:tcW w:w="8528" w:type="dxa"/>
            <w:tcBorders/>
            <w:shd w:fill="auto" w:val="clear"/>
          </w:tcPr>
          <w:p>
            <w:pPr>
              <w:pStyle w:val="TableContents"/>
              <w:spacing w:before="0" w:after="0"/>
              <w:ind w:left="0" w:right="0" w:hanging="0"/>
              <w:rPr/>
            </w:pPr>
            <w:r>
              <w:rPr/>
              <w:t> </w:t>
            </w:r>
          </w:p>
        </w:tc>
      </w:tr>
      <w:tr>
        <w:trPr/>
        <w:tc>
          <w:tcPr>
            <w:tcW w:w="452"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85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resale or exchange of crude oil, refined products and LPG at various points along the distribution chain to refiners or other resellers to maximize profits; and</w:t>
            </w:r>
          </w:p>
        </w:tc>
      </w:tr>
      <w:tr>
        <w:trPr/>
        <w:tc>
          <w:tcPr>
            <w:tcW w:w="452" w:type="dxa"/>
            <w:tcBorders/>
            <w:shd w:fill="auto" w:val="clear"/>
          </w:tcPr>
          <w:p>
            <w:pPr>
              <w:pStyle w:val="TableContents"/>
              <w:spacing w:before="0" w:after="0"/>
              <w:ind w:left="0" w:right="0" w:hanging="0"/>
              <w:rPr/>
            </w:pPr>
            <w:r>
              <w:rPr/>
              <w:t> </w:t>
            </w:r>
          </w:p>
        </w:tc>
        <w:tc>
          <w:tcPr>
            <w:tcW w:w="8528" w:type="dxa"/>
            <w:tcBorders/>
            <w:shd w:fill="auto" w:val="clear"/>
          </w:tcPr>
          <w:p>
            <w:pPr>
              <w:pStyle w:val="TableContents"/>
              <w:spacing w:before="0" w:after="0"/>
              <w:ind w:left="0" w:right="0" w:hanging="0"/>
              <w:rPr/>
            </w:pPr>
            <w:r>
              <w:rPr/>
              <w:t> </w:t>
            </w:r>
          </w:p>
        </w:tc>
      </w:tr>
      <w:tr>
        <w:trPr/>
        <w:tc>
          <w:tcPr>
            <w:tcW w:w="452"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85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transportation of crude oil, refined products and LPG on trucks, barges, railcars, pipelines and ocean-going vessels to our terminals and third-party terminals.</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level of profit in the marketing segment is influenced by overall market structure and the degree of volatility in the crude oil market as well as variable operating expenses. Forecasted operating results for the three-month period ending June 30, 2009 reflect the current market structure and seasonal, weather-related variations in LPG sales. The second half of 2009 reflects our expectation of an oil market structure that is slightly contango, and normal winter weather for our LPG business. Variations in weather, market structure or volatility could cause actual results to differ materially from forecasted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forecast segment profit using the volume assumptions stated below, as well as estimates of unit margins, field operating costs, G&amp;A expenses and carrying costs for contango inventory, based on current and anticipated market conditions.  Field operating costs do not include depreciation. Realized unit margins for any given lease-gathered barrel could vary significantly based on a variety of factors including location, quality and contract structure.  Accordingly, the projected segment profit per barrel can vary significantly even if aggregate volumes are in line with the forecasted levels.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tbl>
      <w:tblPr>
        <w:tblW w:w="4400" w:type="pct"/>
        <w:jc w:val="left"/>
        <w:tblInd w:w="0" w:type="dxa"/>
        <w:tblCellMar>
          <w:top w:w="0" w:type="dxa"/>
          <w:left w:w="0" w:type="dxa"/>
          <w:bottom w:w="0" w:type="dxa"/>
          <w:right w:w="0" w:type="dxa"/>
        </w:tblCellMar>
      </w:tblPr>
      <w:tblGrid>
        <w:gridCol w:w="3256"/>
        <w:gridCol w:w="158"/>
        <w:gridCol w:w="213"/>
        <w:gridCol w:w="990"/>
        <w:gridCol w:w="158"/>
        <w:gridCol w:w="213"/>
        <w:gridCol w:w="990"/>
        <w:gridCol w:w="196"/>
        <w:gridCol w:w="198"/>
        <w:gridCol w:w="948"/>
        <w:gridCol w:w="196"/>
        <w:gridCol w:w="227"/>
        <w:gridCol w:w="1032"/>
        <w:gridCol w:w="205"/>
      </w:tblGrid>
      <w:tr>
        <w:trPr/>
        <w:tc>
          <w:tcPr>
            <w:tcW w:w="3256"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jc w:val="center"/>
              <w:rPr/>
            </w:pPr>
            <w:r>
              <w:rPr/>
              <w:t> </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58" w:type="dxa"/>
            <w:tcBorders/>
            <w:shd w:fill="auto" w:val="clear"/>
            <w:vAlign w:val="bottom"/>
          </w:tcPr>
          <w:p>
            <w:pPr>
              <w:pStyle w:val="TableContents"/>
              <w:spacing w:before="0" w:after="0"/>
              <w:ind w:left="0" w:right="0" w:hanging="0"/>
              <w:jc w:val="center"/>
              <w:rPr/>
            </w:pPr>
            <w:r>
              <w:rPr/>
              <w:t> </w:t>
            </w:r>
          </w:p>
        </w:tc>
        <w:tc>
          <w:tcPr>
            <w:tcW w:w="4000"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 Guidance</w:t>
            </w:r>
          </w:p>
        </w:tc>
        <w:tc>
          <w:tcPr>
            <w:tcW w:w="205" w:type="dxa"/>
            <w:tcBorders/>
            <w:shd w:fill="auto" w:val="clear"/>
            <w:vAlign w:val="bottom"/>
          </w:tcPr>
          <w:p>
            <w:pPr>
              <w:pStyle w:val="TableContents"/>
              <w:spacing w:before="0" w:after="0"/>
              <w:ind w:left="0" w:right="0" w:hanging="0"/>
              <w:jc w:val="center"/>
              <w:rPr/>
            </w:pPr>
            <w:r>
              <w:rPr/>
              <w:t> </w:t>
            </w:r>
          </w:p>
        </w:tc>
      </w:tr>
      <w:tr>
        <w:trPr/>
        <w:tc>
          <w:tcPr>
            <w:tcW w:w="3256"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jc w:val="center"/>
              <w:rPr/>
            </w:pPr>
            <w:r>
              <w:rPr/>
              <w:t> </w:t>
            </w:r>
          </w:p>
        </w:tc>
        <w:tc>
          <w:tcPr>
            <w:tcW w:w="120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58" w:type="dxa"/>
            <w:tcBorders/>
            <w:shd w:fill="auto" w:val="clear"/>
            <w:vAlign w:val="bottom"/>
          </w:tcPr>
          <w:p>
            <w:pPr>
              <w:pStyle w:val="TableContents"/>
              <w:spacing w:before="0" w:after="0"/>
              <w:ind w:left="0" w:right="0" w:hanging="0"/>
              <w:jc w:val="center"/>
              <w:rPr/>
            </w:pPr>
            <w:r>
              <w:rPr/>
              <w:t> </w:t>
            </w:r>
          </w:p>
        </w:tc>
        <w:tc>
          <w:tcPr>
            <w:tcW w:w="120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9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4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9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5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205" w:type="dxa"/>
            <w:tcBorders/>
            <w:shd w:fill="auto" w:val="clear"/>
            <w:vAlign w:val="bottom"/>
          </w:tcPr>
          <w:p>
            <w:pPr>
              <w:pStyle w:val="TableContents"/>
              <w:spacing w:before="0" w:after="0"/>
              <w:ind w:left="0" w:right="0" w:hanging="0"/>
              <w:jc w:val="center"/>
              <w:rPr/>
            </w:pPr>
            <w:r>
              <w:rPr/>
              <w:t> </w:t>
            </w:r>
          </w:p>
        </w:tc>
      </w:tr>
      <w:tr>
        <w:trPr/>
        <w:tc>
          <w:tcPr>
            <w:tcW w:w="3256"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jc w:val="center"/>
              <w:rPr/>
            </w:pPr>
            <w:r>
              <w:rPr/>
              <w:t> </w:t>
            </w:r>
          </w:p>
        </w:tc>
        <w:tc>
          <w:tcPr>
            <w:tcW w:w="120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58" w:type="dxa"/>
            <w:tcBorders/>
            <w:shd w:fill="auto" w:val="clear"/>
            <w:vAlign w:val="bottom"/>
          </w:tcPr>
          <w:p>
            <w:pPr>
              <w:pStyle w:val="TableContents"/>
              <w:spacing w:before="0" w:after="0"/>
              <w:ind w:left="0" w:right="0" w:hanging="0"/>
              <w:jc w:val="center"/>
              <w:rPr/>
            </w:pPr>
            <w:r>
              <w:rPr/>
              <w:t> </w:t>
            </w:r>
          </w:p>
        </w:tc>
        <w:tc>
          <w:tcPr>
            <w:tcW w:w="120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96" w:type="dxa"/>
            <w:tcBorders/>
            <w:shd w:fill="auto" w:val="clear"/>
            <w:vAlign w:val="bottom"/>
          </w:tcPr>
          <w:p>
            <w:pPr>
              <w:pStyle w:val="TableContents"/>
              <w:spacing w:before="0" w:after="0"/>
              <w:ind w:left="0" w:right="0" w:hanging="0"/>
              <w:jc w:val="center"/>
              <w:rPr/>
            </w:pPr>
            <w:r>
              <w:rPr/>
              <w:t> </w:t>
            </w:r>
          </w:p>
        </w:tc>
        <w:tc>
          <w:tcPr>
            <w:tcW w:w="114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96" w:type="dxa"/>
            <w:tcBorders/>
            <w:shd w:fill="auto" w:val="clear"/>
            <w:vAlign w:val="bottom"/>
          </w:tcPr>
          <w:p>
            <w:pPr>
              <w:pStyle w:val="TableContents"/>
              <w:spacing w:before="0" w:after="0"/>
              <w:ind w:left="0" w:right="0" w:hanging="0"/>
              <w:jc w:val="center"/>
              <w:rPr/>
            </w:pPr>
            <w:r>
              <w:rPr/>
              <w:t> </w:t>
            </w:r>
          </w:p>
        </w:tc>
        <w:tc>
          <w:tcPr>
            <w:tcW w:w="125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05" w:type="dxa"/>
            <w:tcBorders/>
            <w:shd w:fill="auto" w:val="clear"/>
            <w:vAlign w:val="bottom"/>
          </w:tcPr>
          <w:p>
            <w:pPr>
              <w:pStyle w:val="TableContents"/>
              <w:spacing w:before="0" w:after="0"/>
              <w:ind w:left="0" w:right="0" w:hanging="0"/>
              <w:jc w:val="center"/>
              <w:rPr/>
            </w:pPr>
            <w:r>
              <w:rPr/>
              <w:t> </w:t>
            </w:r>
          </w:p>
        </w:tc>
      </w:tr>
      <w:tr>
        <w:trPr/>
        <w:tc>
          <w:tcPr>
            <w:tcW w:w="3256"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jc w:val="center"/>
              <w:rPr/>
            </w:pPr>
            <w:r>
              <w:rPr/>
              <w:t> </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58" w:type="dxa"/>
            <w:tcBorders/>
            <w:shd w:fill="auto" w:val="clear"/>
            <w:vAlign w:val="bottom"/>
          </w:tcPr>
          <w:p>
            <w:pPr>
              <w:pStyle w:val="TableContents"/>
              <w:spacing w:before="0" w:after="0"/>
              <w:ind w:left="0" w:right="0" w:hanging="0"/>
              <w:jc w:val="center"/>
              <w:rPr/>
            </w:pPr>
            <w:r>
              <w:rPr/>
              <w:t> </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96" w:type="dxa"/>
            <w:tcBorders/>
            <w:shd w:fill="auto" w:val="clear"/>
            <w:vAlign w:val="bottom"/>
          </w:tcPr>
          <w:p>
            <w:pPr>
              <w:pStyle w:val="TableContents"/>
              <w:spacing w:before="0" w:after="0"/>
              <w:ind w:left="0" w:right="0" w:hanging="0"/>
              <w:jc w:val="center"/>
              <w:rPr/>
            </w:pPr>
            <w:r>
              <w:rPr/>
              <w:t> </w:t>
            </w:r>
          </w:p>
        </w:tc>
        <w:tc>
          <w:tcPr>
            <w:tcW w:w="114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96" w:type="dxa"/>
            <w:tcBorders/>
            <w:shd w:fill="auto" w:val="clear"/>
            <w:vAlign w:val="bottom"/>
          </w:tcPr>
          <w:p>
            <w:pPr>
              <w:pStyle w:val="TableContents"/>
              <w:spacing w:before="0" w:after="0"/>
              <w:ind w:left="0" w:right="0" w:hanging="0"/>
              <w:jc w:val="center"/>
              <w:rPr/>
            </w:pPr>
            <w:r>
              <w:rPr/>
              <w:t> </w:t>
            </w:r>
          </w:p>
        </w:tc>
        <w:tc>
          <w:tcPr>
            <w:tcW w:w="12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05" w:type="dxa"/>
            <w:tcBorders/>
            <w:shd w:fill="auto" w:val="clear"/>
            <w:vAlign w:val="bottom"/>
          </w:tcPr>
          <w:p>
            <w:pPr>
              <w:pStyle w:val="TableContents"/>
              <w:spacing w:before="0" w:after="0"/>
              <w:ind w:left="0" w:right="0" w:hanging="0"/>
              <w:jc w:val="center"/>
              <w:rPr/>
            </w:pPr>
            <w:r>
              <w:rPr/>
              <w:t> </w:t>
            </w:r>
          </w:p>
        </w:tc>
      </w:tr>
      <w:tr>
        <w:trPr/>
        <w:tc>
          <w:tcPr>
            <w:tcW w:w="325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Average Daily Volumes (MBbl/d)</w:t>
            </w:r>
          </w:p>
        </w:tc>
        <w:tc>
          <w:tcPr>
            <w:tcW w:w="158"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pPr>
            <w:r>
              <w:rPr/>
              <w:t> </w:t>
            </w:r>
          </w:p>
        </w:tc>
        <w:tc>
          <w:tcPr>
            <w:tcW w:w="158"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146"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259"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r>
      <w:tr>
        <w:trPr/>
        <w:tc>
          <w:tcPr>
            <w:tcW w:w="32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Crude Oil Lease Gathering</w:t>
            </w:r>
          </w:p>
        </w:tc>
        <w:tc>
          <w:tcPr>
            <w:tcW w:w="158"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631</w:t>
            </w:r>
          </w:p>
        </w:tc>
        <w:tc>
          <w:tcPr>
            <w:tcW w:w="158"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630</w:t>
            </w:r>
          </w:p>
        </w:tc>
        <w:tc>
          <w:tcPr>
            <w:tcW w:w="196" w:type="dxa"/>
            <w:tcBorders/>
            <w:shd w:fill="auto" w:val="clear"/>
            <w:vAlign w:val="bottom"/>
          </w:tcPr>
          <w:p>
            <w:pPr>
              <w:pStyle w:val="TableContents"/>
              <w:spacing w:before="0" w:after="0"/>
              <w:ind w:left="0" w:right="0" w:hanging="0"/>
              <w:rPr/>
            </w:pPr>
            <w:r>
              <w:rPr/>
              <w:t> </w:t>
            </w:r>
          </w:p>
        </w:tc>
        <w:tc>
          <w:tcPr>
            <w:tcW w:w="11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625</w:t>
            </w:r>
          </w:p>
        </w:tc>
        <w:tc>
          <w:tcPr>
            <w:tcW w:w="196" w:type="dxa"/>
            <w:tcBorders/>
            <w:shd w:fill="auto" w:val="clear"/>
            <w:vAlign w:val="bottom"/>
          </w:tcPr>
          <w:p>
            <w:pPr>
              <w:pStyle w:val="TableContents"/>
              <w:spacing w:before="0" w:after="0"/>
              <w:ind w:left="0" w:right="0" w:hanging="0"/>
              <w:rPr/>
            </w:pPr>
            <w:r>
              <w:rPr/>
              <w:t> </w:t>
            </w:r>
          </w:p>
        </w:tc>
        <w:tc>
          <w:tcPr>
            <w:tcW w:w="12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628</w:t>
            </w:r>
          </w:p>
        </w:tc>
        <w:tc>
          <w:tcPr>
            <w:tcW w:w="205" w:type="dxa"/>
            <w:tcBorders/>
            <w:shd w:fill="auto" w:val="clear"/>
            <w:vAlign w:val="bottom"/>
          </w:tcPr>
          <w:p>
            <w:pPr>
              <w:pStyle w:val="TableContents"/>
              <w:spacing w:before="0" w:after="0"/>
              <w:ind w:left="0" w:right="0" w:hanging="0"/>
              <w:rPr/>
            </w:pPr>
            <w:r>
              <w:rPr/>
              <w:t> </w:t>
            </w:r>
          </w:p>
        </w:tc>
      </w:tr>
      <w:tr>
        <w:trPr/>
        <w:tc>
          <w:tcPr>
            <w:tcW w:w="325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LPG Sales</w:t>
            </w:r>
          </w:p>
        </w:tc>
        <w:tc>
          <w:tcPr>
            <w:tcW w:w="158"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58"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96" w:type="dxa"/>
            <w:tcBorders/>
            <w:shd w:fill="CCEEFF" w:val="clear"/>
            <w:vAlign w:val="bottom"/>
          </w:tcPr>
          <w:p>
            <w:pPr>
              <w:pStyle w:val="TableContents"/>
              <w:spacing w:before="0" w:after="0"/>
              <w:ind w:left="0" w:right="0" w:hanging="0"/>
              <w:rPr/>
            </w:pPr>
            <w:r>
              <w:rPr/>
              <w:t> </w:t>
            </w:r>
          </w:p>
        </w:tc>
        <w:tc>
          <w:tcPr>
            <w:tcW w:w="11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96" w:type="dxa"/>
            <w:tcBorders/>
            <w:shd w:fill="CCEEFF" w:val="clear"/>
            <w:vAlign w:val="bottom"/>
          </w:tcPr>
          <w:p>
            <w:pPr>
              <w:pStyle w:val="TableContents"/>
              <w:spacing w:before="0" w:after="0"/>
              <w:ind w:left="0" w:right="0" w:hanging="0"/>
              <w:rPr/>
            </w:pPr>
            <w:r>
              <w:rPr/>
              <w:t> </w:t>
            </w:r>
          </w:p>
        </w:tc>
        <w:tc>
          <w:tcPr>
            <w:tcW w:w="12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205" w:type="dxa"/>
            <w:tcBorders/>
            <w:shd w:fill="CCEEFF" w:val="clear"/>
            <w:vAlign w:val="bottom"/>
          </w:tcPr>
          <w:p>
            <w:pPr>
              <w:pStyle w:val="TableContents"/>
              <w:spacing w:before="0" w:after="0"/>
              <w:ind w:left="0" w:right="0" w:hanging="0"/>
              <w:rPr/>
            </w:pPr>
            <w:r>
              <w:rPr/>
              <w:t> </w:t>
            </w:r>
          </w:p>
        </w:tc>
      </w:tr>
      <w:tr>
        <w:trPr/>
        <w:tc>
          <w:tcPr>
            <w:tcW w:w="32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158"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58"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96" w:type="dxa"/>
            <w:tcBorders/>
            <w:shd w:fill="auto" w:val="clear"/>
            <w:vAlign w:val="bottom"/>
          </w:tcPr>
          <w:p>
            <w:pPr>
              <w:pStyle w:val="TableContents"/>
              <w:spacing w:before="0" w:after="0"/>
              <w:ind w:left="0" w:right="0" w:hanging="0"/>
              <w:rPr/>
            </w:pPr>
            <w:r>
              <w:rPr/>
              <w:t> </w:t>
            </w:r>
          </w:p>
        </w:tc>
        <w:tc>
          <w:tcPr>
            <w:tcW w:w="11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96" w:type="dxa"/>
            <w:tcBorders/>
            <w:shd w:fill="auto" w:val="clear"/>
            <w:vAlign w:val="bottom"/>
          </w:tcPr>
          <w:p>
            <w:pPr>
              <w:pStyle w:val="TableContents"/>
              <w:spacing w:before="0" w:after="0"/>
              <w:ind w:left="0" w:right="0" w:hanging="0"/>
              <w:rPr/>
            </w:pPr>
            <w:r>
              <w:rPr/>
              <w:t> </w:t>
            </w:r>
          </w:p>
        </w:tc>
        <w:tc>
          <w:tcPr>
            <w:tcW w:w="12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05" w:type="dxa"/>
            <w:tcBorders/>
            <w:shd w:fill="auto" w:val="clear"/>
            <w:vAlign w:val="bottom"/>
          </w:tcPr>
          <w:p>
            <w:pPr>
              <w:pStyle w:val="TableContents"/>
              <w:spacing w:before="0" w:after="0"/>
              <w:ind w:left="0" w:right="0" w:hanging="0"/>
              <w:rPr/>
            </w:pPr>
            <w:r>
              <w:rPr/>
              <w:t> </w:t>
            </w:r>
          </w:p>
        </w:tc>
      </w:tr>
      <w:tr>
        <w:trPr/>
        <w:tc>
          <w:tcPr>
            <w:tcW w:w="325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Waterborne foreign crude imported</w:t>
            </w:r>
          </w:p>
        </w:tc>
        <w:tc>
          <w:tcPr>
            <w:tcW w:w="158" w:type="dxa"/>
            <w:tcBorders/>
            <w:shd w:fill="CCEEFF" w:val="clear"/>
            <w:vAlign w:val="bottom"/>
          </w:tcPr>
          <w:p>
            <w:pPr>
              <w:pStyle w:val="TableContents"/>
              <w:spacing w:before="0" w:after="0"/>
              <w:ind w:left="0" w:right="0" w:hanging="0"/>
              <w:rPr/>
            </w:pPr>
            <w:r>
              <w:rPr/>
              <w:t> </w:t>
            </w:r>
          </w:p>
        </w:tc>
        <w:tc>
          <w:tcPr>
            <w:tcW w:w="12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58" w:type="dxa"/>
            <w:tcBorders/>
            <w:shd w:fill="CCEEFF" w:val="clear"/>
            <w:vAlign w:val="bottom"/>
          </w:tcPr>
          <w:p>
            <w:pPr>
              <w:pStyle w:val="TableContents"/>
              <w:spacing w:before="0" w:after="0"/>
              <w:ind w:left="0" w:right="0" w:hanging="0"/>
              <w:rPr/>
            </w:pPr>
            <w:r>
              <w:rPr/>
              <w:t> </w:t>
            </w:r>
          </w:p>
        </w:tc>
        <w:tc>
          <w:tcPr>
            <w:tcW w:w="12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96" w:type="dxa"/>
            <w:tcBorders/>
            <w:shd w:fill="CCEEFF" w:val="clear"/>
            <w:vAlign w:val="bottom"/>
          </w:tcPr>
          <w:p>
            <w:pPr>
              <w:pStyle w:val="TableContents"/>
              <w:spacing w:before="0" w:after="0"/>
              <w:ind w:left="0" w:right="0" w:hanging="0"/>
              <w:rPr/>
            </w:pPr>
            <w:r>
              <w:rPr/>
              <w:t> </w:t>
            </w:r>
          </w:p>
        </w:tc>
        <w:tc>
          <w:tcPr>
            <w:tcW w:w="114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96" w:type="dxa"/>
            <w:tcBorders/>
            <w:shd w:fill="CCEEFF" w:val="clear"/>
            <w:vAlign w:val="bottom"/>
          </w:tcPr>
          <w:p>
            <w:pPr>
              <w:pStyle w:val="TableContents"/>
              <w:spacing w:before="0" w:after="0"/>
              <w:ind w:left="0" w:right="0" w:hanging="0"/>
              <w:rPr/>
            </w:pPr>
            <w:r>
              <w:rPr/>
              <w:t> </w:t>
            </w:r>
          </w:p>
        </w:tc>
        <w:tc>
          <w:tcPr>
            <w:tcW w:w="12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05" w:type="dxa"/>
            <w:tcBorders/>
            <w:shd w:fill="CCEEFF" w:val="clear"/>
            <w:vAlign w:val="bottom"/>
          </w:tcPr>
          <w:p>
            <w:pPr>
              <w:pStyle w:val="TableContents"/>
              <w:spacing w:before="0" w:after="0"/>
              <w:ind w:left="0" w:right="0" w:hanging="0"/>
              <w:rPr/>
            </w:pPr>
            <w:r>
              <w:rPr/>
              <w:t> </w:t>
            </w:r>
          </w:p>
        </w:tc>
      </w:tr>
      <w:tr>
        <w:trPr/>
        <w:tc>
          <w:tcPr>
            <w:tcW w:w="3256" w:type="dxa"/>
            <w:tcBorders/>
            <w:shd w:fill="auto" w:val="clear"/>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pPr>
            <w:r>
              <w:rPr/>
              <w:t> </w:t>
            </w:r>
          </w:p>
        </w:tc>
        <w:tc>
          <w:tcPr>
            <w:tcW w:w="1203" w:type="dxa"/>
            <w:gridSpan w:val="2"/>
            <w:tcBorders>
              <w:bottom w:val="double" w:sz="6" w:space="0" w:color="000000"/>
            </w:tcBorders>
            <w:shd w:fill="auto" w:val="clear"/>
            <w:tcMar>
              <w:bottom w:w="28"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869</w:t>
            </w:r>
          </w:p>
        </w:tc>
        <w:tc>
          <w:tcPr>
            <w:tcW w:w="158" w:type="dxa"/>
            <w:tcBorders/>
            <w:shd w:fill="auto" w:val="clear"/>
            <w:vAlign w:val="bottom"/>
          </w:tcPr>
          <w:p>
            <w:pPr>
              <w:pStyle w:val="TableContents"/>
              <w:spacing w:before="0" w:after="0"/>
              <w:ind w:left="0" w:right="0" w:hanging="0"/>
              <w:rPr/>
            </w:pPr>
            <w:r>
              <w:rPr/>
              <w:t> </w:t>
            </w:r>
          </w:p>
        </w:tc>
        <w:tc>
          <w:tcPr>
            <w:tcW w:w="120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760</w:t>
            </w:r>
          </w:p>
        </w:tc>
        <w:tc>
          <w:tcPr>
            <w:tcW w:w="196" w:type="dxa"/>
            <w:tcBorders/>
            <w:shd w:fill="auto" w:val="clear"/>
            <w:vAlign w:val="bottom"/>
          </w:tcPr>
          <w:p>
            <w:pPr>
              <w:pStyle w:val="TableContents"/>
              <w:spacing w:before="0" w:after="0"/>
              <w:ind w:left="0" w:right="0" w:hanging="0"/>
              <w:rPr/>
            </w:pPr>
            <w:r>
              <w:rPr/>
              <w:t> </w:t>
            </w:r>
          </w:p>
        </w:tc>
        <w:tc>
          <w:tcPr>
            <w:tcW w:w="114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830</w:t>
            </w:r>
          </w:p>
        </w:tc>
        <w:tc>
          <w:tcPr>
            <w:tcW w:w="196" w:type="dxa"/>
            <w:tcBorders/>
            <w:shd w:fill="auto" w:val="clear"/>
            <w:vAlign w:val="bottom"/>
          </w:tcPr>
          <w:p>
            <w:pPr>
              <w:pStyle w:val="TableContents"/>
              <w:spacing w:before="0" w:after="0"/>
              <w:ind w:left="0" w:right="0" w:hanging="0"/>
              <w:rPr/>
            </w:pPr>
            <w:r>
              <w:rPr/>
              <w:t> </w:t>
            </w:r>
          </w:p>
        </w:tc>
        <w:tc>
          <w:tcPr>
            <w:tcW w:w="125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823</w:t>
            </w:r>
          </w:p>
        </w:tc>
        <w:tc>
          <w:tcPr>
            <w:tcW w:w="205" w:type="dxa"/>
            <w:tcBorders/>
            <w:shd w:fill="auto" w:val="clear"/>
            <w:vAlign w:val="bottom"/>
          </w:tcPr>
          <w:p>
            <w:pPr>
              <w:pStyle w:val="TableContents"/>
              <w:spacing w:before="0" w:after="0"/>
              <w:ind w:left="0" w:right="0" w:hanging="0"/>
              <w:rPr/>
            </w:pPr>
            <w:r>
              <w:rPr/>
              <w:t> </w:t>
            </w:r>
          </w:p>
        </w:tc>
      </w:tr>
      <w:tr>
        <w:trPr/>
        <w:tc>
          <w:tcPr>
            <w:tcW w:w="3256" w:type="dxa"/>
            <w:tcBorders/>
            <w:shd w:fill="CCEEFF" w:val="clear"/>
          </w:tcPr>
          <w:p>
            <w:pPr>
              <w:pStyle w:val="TableContents"/>
              <w:spacing w:before="0" w:after="0"/>
              <w:ind w:left="0" w:right="0" w:hanging="0"/>
              <w:rPr/>
            </w:pPr>
            <w:r>
              <w:rPr/>
              <w:t> </w:t>
            </w:r>
          </w:p>
        </w:tc>
        <w:tc>
          <w:tcPr>
            <w:tcW w:w="158"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pPr>
            <w:r>
              <w:rPr/>
              <w:t> </w:t>
            </w:r>
          </w:p>
        </w:tc>
        <w:tc>
          <w:tcPr>
            <w:tcW w:w="158"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146"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259"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r>
      <w:tr>
        <w:trPr/>
        <w:tc>
          <w:tcPr>
            <w:tcW w:w="32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 per Barrel ($/Bbl)</w:t>
            </w:r>
          </w:p>
        </w:tc>
        <w:tc>
          <w:tcPr>
            <w:tcW w:w="158"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pPr>
            <w:r>
              <w:rPr/>
              <w:t> </w:t>
            </w:r>
          </w:p>
        </w:tc>
        <w:tc>
          <w:tcPr>
            <w:tcW w:w="158"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146"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259"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r>
      <w:tr>
        <w:trPr/>
        <w:tc>
          <w:tcPr>
            <w:tcW w:w="325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Excluding Selected Items Impacting Comparability</w:t>
            </w:r>
          </w:p>
        </w:tc>
        <w:tc>
          <w:tcPr>
            <w:tcW w:w="158" w:type="dxa"/>
            <w:tcBorders/>
            <w:shd w:fill="CCEEFF" w:val="clear"/>
            <w:vAlign w:val="bottom"/>
          </w:tcPr>
          <w:p>
            <w:pPr>
              <w:pStyle w:val="TableContents"/>
              <w:spacing w:before="0" w:after="0"/>
              <w:ind w:left="0" w:right="0" w:hanging="0"/>
              <w:rPr/>
            </w:pPr>
            <w:r>
              <w:rPr/>
              <w:t> </w:t>
            </w:r>
          </w:p>
        </w:tc>
        <w:tc>
          <w:tcPr>
            <w:tcW w:w="2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58" w:type="dxa"/>
            <w:tcBorders/>
            <w:shd w:fill="CCEEFF" w:val="clear"/>
            <w:vAlign w:val="bottom"/>
          </w:tcPr>
          <w:p>
            <w:pPr>
              <w:pStyle w:val="TableContents"/>
              <w:spacing w:before="0" w:after="0"/>
              <w:ind w:left="0" w:right="0" w:hanging="0"/>
              <w:rPr/>
            </w:pPr>
            <w:r>
              <w:rPr/>
              <w:t> </w:t>
            </w:r>
          </w:p>
        </w:tc>
        <w:tc>
          <w:tcPr>
            <w:tcW w:w="2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0.99</w:t>
            </w:r>
          </w:p>
        </w:tc>
        <w:tc>
          <w:tcPr>
            <w:tcW w:w="196"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9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0.75</w:t>
            </w:r>
          </w:p>
        </w:tc>
        <w:tc>
          <w:tcPr>
            <w:tcW w:w="196"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0.96</w:t>
            </w:r>
          </w:p>
        </w:tc>
        <w:tc>
          <w:tcPr>
            <w:tcW w:w="205"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r>
      <w:tr>
        <w:trPr/>
        <w:tc>
          <w:tcPr>
            <w:tcW w:w="325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4500" w:type="pct"/>
        <w:jc w:val="left"/>
        <w:tblInd w:w="0" w:type="dxa"/>
        <w:tblCellMar>
          <w:top w:w="0" w:type="dxa"/>
          <w:left w:w="0" w:type="dxa"/>
          <w:bottom w:w="0" w:type="dxa"/>
          <w:right w:w="0" w:type="dxa"/>
        </w:tblCellMar>
      </w:tblPr>
      <w:tblGrid>
        <w:gridCol w:w="276"/>
        <w:gridCol w:w="8908"/>
      </w:tblGrid>
      <w:tr>
        <w:trPr/>
        <w:tc>
          <w:tcPr>
            <w:tcW w:w="276"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89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Mid-point of guidance.</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i/>
          <w:sz w:val="17"/>
        </w:rPr>
        <w:t>Depreciation and Amortization.</w:t>
      </w:r>
      <w:r>
        <w:rPr>
          <w:rFonts w:ascii="Times New Roman" w:hAnsi="Times New Roman"/>
        </w:rPr>
        <w:t xml:space="preserve"> </w:t>
      </w:r>
      <w:r>
        <w:rPr>
          <w:rFonts w:ascii="Times New Roman" w:hAnsi="Times New Roman"/>
          <w:sz w:val="17"/>
        </w:rPr>
        <w:t>We forecast depreciation and amortization based on our existing depreciable assets, forecasted capital expenditures and projected in-service dates. Depreciation is computed using the straight-line method over estimated useful lives, which range from 3 years (for office furniture and equipment) to 40 years (for certain pipelines, crude oil terminals and facilities). Depreciation may vary during any one period due to gains and losses on intermittent sales of assets, asset retirement obligations, or asset impairments.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i/>
          <w:sz w:val="17"/>
        </w:rPr>
        <w:t>Selected Items Impacting Comparability.</w:t>
      </w:r>
      <w:r>
        <w:rPr>
          <w:rFonts w:ascii="Times New Roman" w:hAnsi="Times New Roman"/>
        </w:rPr>
        <w:t xml:space="preserve">  </w:t>
      </w:r>
      <w:r>
        <w:rPr>
          <w:rFonts w:ascii="Times New Roman" w:hAnsi="Times New Roman"/>
          <w:sz w:val="17"/>
        </w:rPr>
        <w:t>Our operating results are impacted by items that affect comparability between reporting periods, such as the equity compensation benefit or charge associated with our long-term incentive programs.  In addition, our actual results will reflect certain mark-to-market items such as gains and losses related to derivative activities, gains and losses from unrealized foreign currency transactions, and inventory revaluation adjustments.  Our adjusted results exclude these selected items impacting comparability until such time as the underlying and offsetting physical transaction settles.  Although the economics of these transactions as a whole are embedded in our guidance presented here, our selected items impacting comparability do not reflect these items as there is no accurate way to forecast the timing and magnitude.  The timing of when these items will impact our results is primarily dependent on the timing of the purchase or sale of the underlying inventory which is dependent on market variables and other factors.  The magnitude of these items is dependent on market prices and exchange rates at a point in time.  As such, our actual results could differ materially from our projections.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i/>
          <w:sz w:val="17"/>
        </w:rPr>
        <w:t>Acquisitions and Other Capital Expenditures.</w:t>
      </w:r>
      <w:r>
        <w:rPr>
          <w:rFonts w:ascii="Times New Roman" w:hAnsi="Times New Roman"/>
        </w:rPr>
        <w:t xml:space="preserve">  </w:t>
      </w:r>
      <w:r>
        <w:rPr>
          <w:rFonts w:ascii="Times New Roman" w:hAnsi="Times New Roman"/>
          <w:sz w:val="17"/>
        </w:rPr>
        <w:t>In April, we completed the purchase of a small bolt-on acquisition in Canada that complements our Rangeland Pipe Line system.  In early May, we entered into a definitive agreement to acquire an entity that owns certain assets in South Louisiana.  The aggregate purchase price for these two transactions totals approximately $60 million. Although acquisitions constitute a key element of our growth strategy, the forecasted results and associated estimates do not include any forecasts for acquisitions that may be committed to after the date hereof. Capital expenditures during calendar 2009 are forecasted to be approximately $350 million for expansion projects with an additional $80 million for maintenance projects. During the first three months of 2009, we spent $80 million and $22 million, respectively, for expansion and maintenance capital projects.  Following are some of the more notable projects and forecasted expenditures for the year:</w:t>
      </w:r>
    </w:p>
    <w:p>
      <w:pPr>
        <w:pStyle w:val="TextBody"/>
        <w:rPr/>
      </w:pPr>
      <w:r>
        <w:rPr/>
        <w:t> </w:t>
      </w:r>
    </w:p>
    <w:p>
      <w:pPr>
        <w:pStyle w:val="TextBody"/>
        <w:spacing w:before="0" w:after="0"/>
        <w:ind w:left="0" w:right="0" w:hanging="0"/>
        <w:rPr/>
      </w:pPr>
      <w:r>
        <w:rPr/>
        <w:t> </w:t>
      </w:r>
    </w:p>
    <w:tbl>
      <w:tblPr>
        <w:tblW w:w="3650" w:type="pct"/>
        <w:jc w:val="left"/>
        <w:tblInd w:w="0" w:type="dxa"/>
        <w:tblCellMar>
          <w:top w:w="0" w:type="dxa"/>
          <w:left w:w="0" w:type="dxa"/>
          <w:bottom w:w="0" w:type="dxa"/>
          <w:right w:w="0" w:type="dxa"/>
        </w:tblCellMar>
      </w:tblPr>
      <w:tblGrid>
        <w:gridCol w:w="5487"/>
        <w:gridCol w:w="229"/>
        <w:gridCol w:w="254"/>
        <w:gridCol w:w="1367"/>
        <w:gridCol w:w="112"/>
      </w:tblGrid>
      <w:tr>
        <w:trPr/>
        <w:tc>
          <w:tcPr>
            <w:tcW w:w="5487" w:type="dxa"/>
            <w:tcBorders/>
            <w:shd w:fill="auto" w:val="clear"/>
            <w:vAlign w:val="bottom"/>
          </w:tcPr>
          <w:p>
            <w:pPr>
              <w:pStyle w:val="TableContents"/>
              <w:spacing w:before="0" w:after="0"/>
              <w:ind w:left="0" w:right="0" w:hanging="0"/>
              <w:rPr/>
            </w:pPr>
            <w:r>
              <w:rPr/>
              <w:t> </w:t>
            </w:r>
          </w:p>
        </w:tc>
        <w:tc>
          <w:tcPr>
            <w:tcW w:w="229" w:type="dxa"/>
            <w:tcBorders/>
            <w:shd w:fill="auto" w:val="clear"/>
            <w:vAlign w:val="bottom"/>
          </w:tcPr>
          <w:p>
            <w:pPr>
              <w:pStyle w:val="TableContents"/>
              <w:spacing w:before="0" w:after="0"/>
              <w:ind w:left="0" w:right="0" w:hanging="0"/>
              <w:jc w:val="center"/>
              <w:rPr/>
            </w:pPr>
            <w:r>
              <w:rPr/>
              <w:t> </w:t>
            </w:r>
          </w:p>
        </w:tc>
        <w:tc>
          <w:tcPr>
            <w:tcW w:w="162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Calendar 2009</w:t>
            </w:r>
          </w:p>
        </w:tc>
        <w:tc>
          <w:tcPr>
            <w:tcW w:w="112" w:type="dxa"/>
            <w:tcBorders/>
            <w:shd w:fill="auto" w:val="clear"/>
            <w:vAlign w:val="bottom"/>
          </w:tcPr>
          <w:p>
            <w:pPr>
              <w:pStyle w:val="TableContents"/>
              <w:spacing w:before="0" w:after="0"/>
              <w:ind w:left="0" w:right="0" w:hanging="0"/>
              <w:jc w:val="center"/>
              <w:rPr/>
            </w:pPr>
            <w:r>
              <w:rPr/>
              <w:t> </w:t>
            </w:r>
          </w:p>
        </w:tc>
      </w:tr>
      <w:tr>
        <w:trPr/>
        <w:tc>
          <w:tcPr>
            <w:tcW w:w="5487" w:type="dxa"/>
            <w:tcBorders/>
            <w:shd w:fill="auto" w:val="clear"/>
            <w:vAlign w:val="bottom"/>
          </w:tcPr>
          <w:p>
            <w:pPr>
              <w:pStyle w:val="TableContents"/>
              <w:spacing w:before="0" w:after="0"/>
              <w:ind w:left="0" w:right="0" w:hanging="0"/>
              <w:rPr/>
            </w:pPr>
            <w:r>
              <w:rPr/>
              <w:t> </w:t>
            </w:r>
          </w:p>
        </w:tc>
        <w:tc>
          <w:tcPr>
            <w:tcW w:w="229" w:type="dxa"/>
            <w:tcBorders/>
            <w:shd w:fill="auto" w:val="clear"/>
            <w:vAlign w:val="bottom"/>
          </w:tcPr>
          <w:p>
            <w:pPr>
              <w:pStyle w:val="TableContents"/>
              <w:spacing w:before="0" w:after="0"/>
              <w:ind w:left="0" w:right="0" w:hanging="0"/>
              <w:jc w:val="center"/>
              <w:rPr/>
            </w:pPr>
            <w:r>
              <w:rPr/>
              <w:t> </w:t>
            </w:r>
          </w:p>
        </w:tc>
        <w:tc>
          <w:tcPr>
            <w:tcW w:w="162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12" w:type="dxa"/>
            <w:tcBorders/>
            <w:shd w:fill="auto" w:val="clear"/>
            <w:vAlign w:val="bottom"/>
          </w:tcPr>
          <w:p>
            <w:pPr>
              <w:pStyle w:val="TableContents"/>
              <w:spacing w:before="0" w:after="0"/>
              <w:ind w:left="0" w:right="0" w:hanging="0"/>
              <w:jc w:val="center"/>
              <w:rPr/>
            </w:pPr>
            <w:r>
              <w:rPr/>
              <w:t> </w:t>
            </w:r>
          </w:p>
        </w:tc>
      </w:tr>
      <w:tr>
        <w:trPr/>
        <w:tc>
          <w:tcPr>
            <w:tcW w:w="548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Expansion Capital</w:t>
            </w:r>
          </w:p>
        </w:tc>
        <w:tc>
          <w:tcPr>
            <w:tcW w:w="229" w:type="dxa"/>
            <w:tcBorders/>
            <w:shd w:fill="CCEEFF" w:val="clear"/>
            <w:vAlign w:val="bottom"/>
          </w:tcPr>
          <w:p>
            <w:pPr>
              <w:pStyle w:val="TableContents"/>
              <w:spacing w:before="0" w:after="0"/>
              <w:ind w:left="0" w:right="0" w:hanging="0"/>
              <w:rPr/>
            </w:pPr>
            <w:r>
              <w:rPr/>
              <w:t> </w:t>
            </w:r>
          </w:p>
        </w:tc>
        <w:tc>
          <w:tcPr>
            <w:tcW w:w="1621" w:type="dxa"/>
            <w:gridSpan w:val="2"/>
            <w:tcBorders/>
            <w:shd w:fill="CCEEFF" w:val="clear"/>
            <w:vAlign w:val="bottom"/>
          </w:tcPr>
          <w:p>
            <w:pPr>
              <w:pStyle w:val="TableContents"/>
              <w:spacing w:before="0" w:after="0"/>
              <w:ind w:left="0" w:right="0" w:hanging="0"/>
              <w:jc w:val="right"/>
              <w:rPr/>
            </w:pPr>
            <w:r>
              <w:rPr/>
              <w:t> </w:t>
            </w:r>
          </w:p>
        </w:tc>
        <w:tc>
          <w:tcPr>
            <w:tcW w:w="112" w:type="dxa"/>
            <w:tcBorders/>
            <w:shd w:fill="CCEEFF" w:val="clear"/>
            <w:vAlign w:val="bottom"/>
          </w:tcPr>
          <w:p>
            <w:pPr>
              <w:pStyle w:val="TableContents"/>
              <w:spacing w:before="0" w:after="0"/>
              <w:ind w:left="0" w:right="0" w:hanging="0"/>
              <w:rPr/>
            </w:pPr>
            <w:r>
              <w:rPr/>
              <w:t> </w:t>
            </w:r>
          </w:p>
        </w:tc>
      </w:tr>
      <w:tr>
        <w:trPr/>
        <w:tc>
          <w:tcPr>
            <w:tcW w:w="5487" w:type="dxa"/>
            <w:tcBorders/>
            <w:shd w:fill="auto" w:val="clear"/>
          </w:tcPr>
          <w:p>
            <w:pPr>
              <w:pStyle w:val="TableContents"/>
              <w:spacing w:before="0" w:after="0"/>
              <w:ind w:left="0" w:right="0" w:hanging="0"/>
              <w:rPr/>
            </w:pPr>
            <w:r>
              <w:rPr>
                <w:rFonts w:ascii="Symbol" w:hAnsi="Symbol"/>
                <w:sz w:val="17"/>
              </w:rPr>
              <w:t>·</w:t>
            </w:r>
            <w:r>
              <w:rPr/>
              <w:t xml:space="preserve"> </w:t>
            </w:r>
            <w:r>
              <w:rPr>
                <w:sz w:val="17"/>
              </w:rPr>
              <w:t xml:space="preserve">St. James Phase III </w:t>
            </w:r>
            <w:r>
              <w:rPr>
                <w:sz w:val="11"/>
              </w:rPr>
              <w:t>(1)</w:t>
            </w:r>
          </w:p>
        </w:tc>
        <w:tc>
          <w:tcPr>
            <w:tcW w:w="229" w:type="dxa"/>
            <w:tcBorders/>
            <w:shd w:fill="auto" w:val="clear"/>
            <w:vAlign w:val="bottom"/>
          </w:tcPr>
          <w:p>
            <w:pPr>
              <w:pStyle w:val="TableContents"/>
              <w:spacing w:before="0" w:after="0"/>
              <w:ind w:left="0" w:right="0" w:hanging="0"/>
              <w:rPr/>
            </w:pPr>
            <w:r>
              <w:rPr/>
              <w:t> </w:t>
            </w:r>
          </w:p>
        </w:tc>
        <w:tc>
          <w:tcPr>
            <w:tcW w:w="2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112" w:type="dxa"/>
            <w:tcBorders/>
            <w:shd w:fill="auto" w:val="clear"/>
            <w:vAlign w:val="bottom"/>
          </w:tcPr>
          <w:p>
            <w:pPr>
              <w:pStyle w:val="TableContents"/>
              <w:spacing w:before="0" w:after="0"/>
              <w:ind w:left="0" w:right="0" w:hanging="0"/>
              <w:rPr/>
            </w:pPr>
            <w:r>
              <w:rPr/>
              <w:t> </w:t>
            </w:r>
          </w:p>
        </w:tc>
      </w:tr>
      <w:tr>
        <w:trPr/>
        <w:tc>
          <w:tcPr>
            <w:tcW w:w="5487"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Rangeland tankage and connections</w:t>
            </w:r>
          </w:p>
        </w:tc>
        <w:tc>
          <w:tcPr>
            <w:tcW w:w="229" w:type="dxa"/>
            <w:tcBorders/>
            <w:shd w:fill="CCEEFF" w:val="clear"/>
            <w:vAlign w:val="bottom"/>
          </w:tcPr>
          <w:p>
            <w:pPr>
              <w:pStyle w:val="TableContents"/>
              <w:spacing w:before="0" w:after="0"/>
              <w:ind w:left="0" w:right="0" w:hanging="0"/>
              <w:rPr/>
            </w:pPr>
            <w:r>
              <w:rPr/>
              <w:t> </w:t>
            </w:r>
          </w:p>
        </w:tc>
        <w:tc>
          <w:tcPr>
            <w:tcW w:w="16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12" w:type="dxa"/>
            <w:tcBorders/>
            <w:shd w:fill="CCEEFF" w:val="clear"/>
            <w:vAlign w:val="bottom"/>
          </w:tcPr>
          <w:p>
            <w:pPr>
              <w:pStyle w:val="TableContents"/>
              <w:spacing w:before="0" w:after="0"/>
              <w:ind w:left="0" w:right="0" w:hanging="0"/>
              <w:rPr/>
            </w:pPr>
            <w:r>
              <w:rPr/>
              <w:t> </w:t>
            </w:r>
          </w:p>
        </w:tc>
      </w:tr>
      <w:tr>
        <w:trPr/>
        <w:tc>
          <w:tcPr>
            <w:tcW w:w="5487" w:type="dxa"/>
            <w:tcBorders/>
            <w:shd w:fill="auto" w:val="clear"/>
          </w:tcPr>
          <w:p>
            <w:pPr>
              <w:pStyle w:val="TableContents"/>
              <w:spacing w:before="0" w:after="0"/>
              <w:ind w:left="0" w:right="0" w:hanging="0"/>
              <w:rPr/>
            </w:pPr>
            <w:r>
              <w:rPr/>
              <w:t> </w:t>
            </w:r>
            <w:r>
              <w:rPr>
                <w:rFonts w:ascii="Symbol" w:hAnsi="Symbol"/>
                <w:sz w:val="17"/>
              </w:rPr>
              <w:t>·</w:t>
            </w:r>
            <w:r>
              <w:rPr/>
              <w:t xml:space="preserve"> </w:t>
            </w:r>
            <w:r>
              <w:rPr>
                <w:sz w:val="17"/>
              </w:rPr>
              <w:t>Kerrobert pumping project</w:t>
            </w:r>
          </w:p>
        </w:tc>
        <w:tc>
          <w:tcPr>
            <w:tcW w:w="229" w:type="dxa"/>
            <w:tcBorders/>
            <w:shd w:fill="auto" w:val="clear"/>
            <w:vAlign w:val="bottom"/>
          </w:tcPr>
          <w:p>
            <w:pPr>
              <w:pStyle w:val="TableContents"/>
              <w:spacing w:before="0" w:after="0"/>
              <w:ind w:left="0" w:right="0" w:hanging="0"/>
              <w:rPr/>
            </w:pPr>
            <w:r>
              <w:rPr/>
              <w:t> </w:t>
            </w:r>
          </w:p>
        </w:tc>
        <w:tc>
          <w:tcPr>
            <w:tcW w:w="16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12" w:type="dxa"/>
            <w:tcBorders/>
            <w:shd w:fill="auto" w:val="clear"/>
            <w:vAlign w:val="bottom"/>
          </w:tcPr>
          <w:p>
            <w:pPr>
              <w:pStyle w:val="TableContents"/>
              <w:spacing w:before="0" w:after="0"/>
              <w:ind w:left="0" w:right="0" w:hanging="0"/>
              <w:rPr/>
            </w:pPr>
            <w:r>
              <w:rPr/>
              <w:t> </w:t>
            </w:r>
          </w:p>
        </w:tc>
      </w:tr>
      <w:tr>
        <w:trPr/>
        <w:tc>
          <w:tcPr>
            <w:tcW w:w="5487"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Cushing Phase VII</w:t>
            </w:r>
          </w:p>
        </w:tc>
        <w:tc>
          <w:tcPr>
            <w:tcW w:w="229" w:type="dxa"/>
            <w:tcBorders/>
            <w:shd w:fill="CCEEFF" w:val="clear"/>
            <w:vAlign w:val="bottom"/>
          </w:tcPr>
          <w:p>
            <w:pPr>
              <w:pStyle w:val="TableContents"/>
              <w:spacing w:before="0" w:after="0"/>
              <w:ind w:left="0" w:right="0" w:hanging="0"/>
              <w:rPr/>
            </w:pPr>
            <w:r>
              <w:rPr/>
              <w:t> </w:t>
            </w:r>
          </w:p>
        </w:tc>
        <w:tc>
          <w:tcPr>
            <w:tcW w:w="16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12" w:type="dxa"/>
            <w:tcBorders/>
            <w:shd w:fill="CCEEFF" w:val="clear"/>
            <w:vAlign w:val="bottom"/>
          </w:tcPr>
          <w:p>
            <w:pPr>
              <w:pStyle w:val="TableContents"/>
              <w:spacing w:before="0" w:after="0"/>
              <w:ind w:left="0" w:right="0" w:hanging="0"/>
              <w:rPr/>
            </w:pPr>
            <w:r>
              <w:rPr/>
              <w:t> </w:t>
            </w:r>
          </w:p>
        </w:tc>
      </w:tr>
      <w:tr>
        <w:trPr/>
        <w:tc>
          <w:tcPr>
            <w:tcW w:w="5487" w:type="dxa"/>
            <w:tcBorders/>
            <w:shd w:fill="auto" w:val="clear"/>
          </w:tcPr>
          <w:p>
            <w:pPr>
              <w:pStyle w:val="TableContents"/>
              <w:spacing w:before="0" w:after="0"/>
              <w:ind w:left="0" w:right="0" w:hanging="0"/>
              <w:rPr/>
            </w:pPr>
            <w:r>
              <w:rPr>
                <w:rFonts w:ascii="Symbol" w:hAnsi="Symbol"/>
                <w:sz w:val="17"/>
              </w:rPr>
              <w:t>·</w:t>
            </w:r>
            <w:r>
              <w:rPr/>
              <w:t xml:space="preserve"> </w:t>
            </w:r>
            <w:r>
              <w:rPr>
                <w:sz w:val="17"/>
              </w:rPr>
              <w:t>Nipisi storage and truck terminal</w:t>
            </w:r>
          </w:p>
        </w:tc>
        <w:tc>
          <w:tcPr>
            <w:tcW w:w="229" w:type="dxa"/>
            <w:tcBorders/>
            <w:shd w:fill="auto" w:val="clear"/>
            <w:vAlign w:val="bottom"/>
          </w:tcPr>
          <w:p>
            <w:pPr>
              <w:pStyle w:val="TableContents"/>
              <w:spacing w:before="0" w:after="0"/>
              <w:ind w:left="0" w:right="0" w:hanging="0"/>
              <w:rPr/>
            </w:pPr>
            <w:r>
              <w:rPr/>
              <w:t> </w:t>
            </w:r>
          </w:p>
        </w:tc>
        <w:tc>
          <w:tcPr>
            <w:tcW w:w="16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12" w:type="dxa"/>
            <w:tcBorders/>
            <w:shd w:fill="auto" w:val="clear"/>
            <w:vAlign w:val="bottom"/>
          </w:tcPr>
          <w:p>
            <w:pPr>
              <w:pStyle w:val="TableContents"/>
              <w:spacing w:before="0" w:after="0"/>
              <w:ind w:left="0" w:right="0" w:hanging="0"/>
              <w:rPr/>
            </w:pPr>
            <w:r>
              <w:rPr/>
              <w:t> </w:t>
            </w:r>
          </w:p>
        </w:tc>
      </w:tr>
      <w:tr>
        <w:trPr/>
        <w:tc>
          <w:tcPr>
            <w:tcW w:w="5487"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Patoka Phase II</w:t>
            </w:r>
          </w:p>
        </w:tc>
        <w:tc>
          <w:tcPr>
            <w:tcW w:w="229" w:type="dxa"/>
            <w:tcBorders/>
            <w:shd w:fill="CCEEFF" w:val="clear"/>
            <w:vAlign w:val="bottom"/>
          </w:tcPr>
          <w:p>
            <w:pPr>
              <w:pStyle w:val="TableContents"/>
              <w:spacing w:before="0" w:after="0"/>
              <w:ind w:left="0" w:right="0" w:hanging="0"/>
              <w:rPr/>
            </w:pPr>
            <w:r>
              <w:rPr/>
              <w:t> </w:t>
            </w:r>
          </w:p>
        </w:tc>
        <w:tc>
          <w:tcPr>
            <w:tcW w:w="16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12" w:type="dxa"/>
            <w:tcBorders/>
            <w:shd w:fill="CCEEFF" w:val="clear"/>
            <w:vAlign w:val="bottom"/>
          </w:tcPr>
          <w:p>
            <w:pPr>
              <w:pStyle w:val="TableContents"/>
              <w:spacing w:before="0" w:after="0"/>
              <w:ind w:left="0" w:right="0" w:hanging="0"/>
              <w:rPr/>
            </w:pPr>
            <w:r>
              <w:rPr/>
              <w:t> </w:t>
            </w:r>
          </w:p>
        </w:tc>
      </w:tr>
      <w:tr>
        <w:trPr/>
        <w:tc>
          <w:tcPr>
            <w:tcW w:w="5487" w:type="dxa"/>
            <w:tcBorders/>
            <w:shd w:fill="auto" w:val="clear"/>
          </w:tcPr>
          <w:p>
            <w:pPr>
              <w:pStyle w:val="TableContents"/>
              <w:spacing w:before="0" w:after="0"/>
              <w:ind w:left="0" w:right="0" w:hanging="0"/>
              <w:rPr/>
            </w:pPr>
            <w:r>
              <w:rPr>
                <w:rFonts w:ascii="Symbol" w:hAnsi="Symbol"/>
                <w:sz w:val="17"/>
              </w:rPr>
              <w:t>·</w:t>
            </w:r>
            <w:r>
              <w:rPr/>
              <w:t xml:space="preserve"> </w:t>
            </w:r>
            <w:r>
              <w:rPr>
                <w:sz w:val="17"/>
              </w:rPr>
              <w:t>Salt Lake City</w:t>
            </w:r>
          </w:p>
        </w:tc>
        <w:tc>
          <w:tcPr>
            <w:tcW w:w="229" w:type="dxa"/>
            <w:tcBorders/>
            <w:shd w:fill="auto" w:val="clear"/>
            <w:vAlign w:val="bottom"/>
          </w:tcPr>
          <w:p>
            <w:pPr>
              <w:pStyle w:val="TableContents"/>
              <w:spacing w:before="0" w:after="0"/>
              <w:ind w:left="0" w:right="0" w:hanging="0"/>
              <w:rPr/>
            </w:pPr>
            <w:r>
              <w:rPr/>
              <w:t> </w:t>
            </w:r>
          </w:p>
        </w:tc>
        <w:tc>
          <w:tcPr>
            <w:tcW w:w="16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12" w:type="dxa"/>
            <w:tcBorders/>
            <w:shd w:fill="auto" w:val="clear"/>
            <w:vAlign w:val="bottom"/>
          </w:tcPr>
          <w:p>
            <w:pPr>
              <w:pStyle w:val="TableContents"/>
              <w:spacing w:before="0" w:after="0"/>
              <w:ind w:left="0" w:right="0" w:hanging="0"/>
              <w:rPr/>
            </w:pPr>
            <w:r>
              <w:rPr/>
              <w:t> </w:t>
            </w:r>
          </w:p>
        </w:tc>
      </w:tr>
      <w:tr>
        <w:trPr/>
        <w:tc>
          <w:tcPr>
            <w:tcW w:w="5487"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Pier 400</w:t>
            </w:r>
          </w:p>
        </w:tc>
        <w:tc>
          <w:tcPr>
            <w:tcW w:w="229" w:type="dxa"/>
            <w:tcBorders/>
            <w:shd w:fill="CCEEFF" w:val="clear"/>
            <w:vAlign w:val="bottom"/>
          </w:tcPr>
          <w:p>
            <w:pPr>
              <w:pStyle w:val="TableContents"/>
              <w:spacing w:before="0" w:after="0"/>
              <w:ind w:left="0" w:right="0" w:hanging="0"/>
              <w:rPr/>
            </w:pPr>
            <w:r>
              <w:rPr/>
              <w:t> </w:t>
            </w:r>
          </w:p>
        </w:tc>
        <w:tc>
          <w:tcPr>
            <w:tcW w:w="16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12" w:type="dxa"/>
            <w:tcBorders/>
            <w:shd w:fill="CCEEFF" w:val="clear"/>
            <w:vAlign w:val="bottom"/>
          </w:tcPr>
          <w:p>
            <w:pPr>
              <w:pStyle w:val="TableContents"/>
              <w:spacing w:before="0" w:after="0"/>
              <w:ind w:left="0" w:right="0" w:hanging="0"/>
              <w:rPr/>
            </w:pPr>
            <w:r>
              <w:rPr/>
              <w:t> </w:t>
            </w:r>
          </w:p>
        </w:tc>
      </w:tr>
      <w:tr>
        <w:trPr/>
        <w:tc>
          <w:tcPr>
            <w:tcW w:w="5487" w:type="dxa"/>
            <w:tcBorders/>
            <w:shd w:fill="auto" w:val="clear"/>
          </w:tcPr>
          <w:p>
            <w:pPr>
              <w:pStyle w:val="TableContents"/>
              <w:spacing w:before="0" w:after="0"/>
              <w:ind w:left="0" w:right="0" w:hanging="0"/>
              <w:rPr/>
            </w:pPr>
            <w:r>
              <w:rPr>
                <w:rFonts w:ascii="Symbol" w:hAnsi="Symbol"/>
                <w:sz w:val="17"/>
              </w:rPr>
              <w:t>·</w:t>
            </w:r>
            <w:r>
              <w:rPr/>
              <w:t xml:space="preserve"> </w:t>
            </w:r>
            <w:r>
              <w:rPr>
                <w:sz w:val="17"/>
              </w:rPr>
              <w:t>Paulsboro</w:t>
            </w:r>
          </w:p>
        </w:tc>
        <w:tc>
          <w:tcPr>
            <w:tcW w:w="229" w:type="dxa"/>
            <w:tcBorders/>
            <w:shd w:fill="auto" w:val="clear"/>
            <w:vAlign w:val="bottom"/>
          </w:tcPr>
          <w:p>
            <w:pPr>
              <w:pStyle w:val="TableContents"/>
              <w:spacing w:before="0" w:after="0"/>
              <w:ind w:left="0" w:right="0" w:hanging="0"/>
              <w:rPr/>
            </w:pPr>
            <w:r>
              <w:rPr/>
              <w:t> </w:t>
            </w:r>
          </w:p>
        </w:tc>
        <w:tc>
          <w:tcPr>
            <w:tcW w:w="16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12" w:type="dxa"/>
            <w:tcBorders/>
            <w:shd w:fill="auto" w:val="clear"/>
            <w:vAlign w:val="bottom"/>
          </w:tcPr>
          <w:p>
            <w:pPr>
              <w:pStyle w:val="TableContents"/>
              <w:spacing w:before="0" w:after="0"/>
              <w:ind w:left="0" w:right="0" w:hanging="0"/>
              <w:rPr/>
            </w:pPr>
            <w:r>
              <w:rPr/>
              <w:t> </w:t>
            </w:r>
          </w:p>
        </w:tc>
      </w:tr>
      <w:tr>
        <w:trPr/>
        <w:tc>
          <w:tcPr>
            <w:tcW w:w="5487"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 xml:space="preserve">Other projects, including acquisition related expansion projects </w:t>
            </w:r>
            <w:r>
              <w:rPr>
                <w:sz w:val="11"/>
              </w:rPr>
              <w:t>(2)</w:t>
            </w:r>
          </w:p>
        </w:tc>
        <w:tc>
          <w:tcPr>
            <w:tcW w:w="229" w:type="dxa"/>
            <w:tcBorders/>
            <w:shd w:fill="CCEEFF" w:val="clear"/>
            <w:vAlign w:val="bottom"/>
          </w:tcPr>
          <w:p>
            <w:pPr>
              <w:pStyle w:val="TableContents"/>
              <w:spacing w:before="0" w:after="0"/>
              <w:ind w:left="0" w:right="0" w:hanging="0"/>
              <w:rPr/>
            </w:pPr>
            <w:r>
              <w:rPr/>
              <w:t> </w:t>
            </w:r>
          </w:p>
        </w:tc>
        <w:tc>
          <w:tcPr>
            <w:tcW w:w="162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12" w:type="dxa"/>
            <w:tcBorders/>
            <w:shd w:fill="CCEEFF" w:val="clear"/>
            <w:vAlign w:val="bottom"/>
          </w:tcPr>
          <w:p>
            <w:pPr>
              <w:pStyle w:val="TableContents"/>
              <w:spacing w:before="0" w:after="0"/>
              <w:ind w:left="0" w:right="0" w:hanging="0"/>
              <w:rPr/>
            </w:pPr>
            <w:r>
              <w:rPr/>
              <w:t> </w:t>
            </w:r>
          </w:p>
        </w:tc>
      </w:tr>
      <w:tr>
        <w:trPr/>
        <w:tc>
          <w:tcPr>
            <w:tcW w:w="5487" w:type="dxa"/>
            <w:tcBorders/>
            <w:shd w:fill="auto" w:val="clear"/>
          </w:tcPr>
          <w:p>
            <w:pPr>
              <w:pStyle w:val="TableContents"/>
              <w:spacing w:before="0" w:after="0"/>
              <w:ind w:left="0" w:right="0" w:hanging="0"/>
              <w:rPr/>
            </w:pPr>
            <w:r>
              <w:rPr/>
              <w:t> </w:t>
            </w:r>
          </w:p>
        </w:tc>
        <w:tc>
          <w:tcPr>
            <w:tcW w:w="229" w:type="dxa"/>
            <w:tcBorders/>
            <w:shd w:fill="auto" w:val="clear"/>
            <w:vAlign w:val="bottom"/>
          </w:tcPr>
          <w:p>
            <w:pPr>
              <w:pStyle w:val="TableContents"/>
              <w:spacing w:before="0" w:after="0"/>
              <w:ind w:left="0" w:right="0" w:hanging="0"/>
              <w:rPr/>
            </w:pPr>
            <w:r>
              <w:rPr/>
              <w:t> </w:t>
            </w:r>
          </w:p>
        </w:tc>
        <w:tc>
          <w:tcPr>
            <w:tcW w:w="16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112" w:type="dxa"/>
            <w:tcBorders/>
            <w:shd w:fill="auto" w:val="clear"/>
            <w:vAlign w:val="bottom"/>
          </w:tcPr>
          <w:p>
            <w:pPr>
              <w:pStyle w:val="TableContents"/>
              <w:spacing w:before="0" w:after="0"/>
              <w:ind w:left="0" w:right="0" w:hanging="0"/>
              <w:rPr/>
            </w:pPr>
            <w:r>
              <w:rPr/>
              <w:t> </w:t>
            </w:r>
          </w:p>
        </w:tc>
      </w:tr>
      <w:tr>
        <w:trPr/>
        <w:tc>
          <w:tcPr>
            <w:tcW w:w="548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29" w:type="dxa"/>
            <w:tcBorders/>
            <w:shd w:fill="CCEEFF" w:val="clear"/>
            <w:vAlign w:val="bottom"/>
          </w:tcPr>
          <w:p>
            <w:pPr>
              <w:pStyle w:val="TableContents"/>
              <w:spacing w:before="0" w:after="0"/>
              <w:ind w:left="0" w:right="0" w:hanging="0"/>
              <w:rPr/>
            </w:pPr>
            <w:r>
              <w:rPr/>
              <w:t> </w:t>
            </w:r>
          </w:p>
        </w:tc>
        <w:tc>
          <w:tcPr>
            <w:tcW w:w="162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12" w:type="dxa"/>
            <w:tcBorders/>
            <w:shd w:fill="CCEEFF" w:val="clear"/>
            <w:vAlign w:val="bottom"/>
          </w:tcPr>
          <w:p>
            <w:pPr>
              <w:pStyle w:val="TableContents"/>
              <w:spacing w:before="0" w:after="0"/>
              <w:ind w:left="0" w:right="0" w:hanging="0"/>
              <w:rPr/>
            </w:pPr>
            <w:r>
              <w:rPr/>
              <w:t> </w:t>
            </w:r>
          </w:p>
        </w:tc>
      </w:tr>
      <w:tr>
        <w:trPr/>
        <w:tc>
          <w:tcPr>
            <w:tcW w:w="54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Projected Capital Expenditures (excluding acquisitions)</w:t>
            </w:r>
          </w:p>
        </w:tc>
        <w:tc>
          <w:tcPr>
            <w:tcW w:w="229" w:type="dxa"/>
            <w:tcBorders/>
            <w:shd w:fill="auto" w:val="clear"/>
            <w:vAlign w:val="bottom"/>
          </w:tcPr>
          <w:p>
            <w:pPr>
              <w:pStyle w:val="TableContents"/>
              <w:spacing w:before="0" w:after="0"/>
              <w:ind w:left="0" w:right="0" w:hanging="0"/>
              <w:rPr/>
            </w:pPr>
            <w:r>
              <w:rPr/>
              <w:t> </w:t>
            </w:r>
          </w:p>
        </w:tc>
        <w:tc>
          <w:tcPr>
            <w:tcW w:w="25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w:t>
            </w:r>
          </w:p>
        </w:tc>
        <w:tc>
          <w:tcPr>
            <w:tcW w:w="11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4500" w:type="pct"/>
        <w:jc w:val="left"/>
        <w:tblInd w:w="0" w:type="dxa"/>
        <w:tblCellMar>
          <w:top w:w="0" w:type="dxa"/>
          <w:left w:w="0" w:type="dxa"/>
          <w:bottom w:w="0" w:type="dxa"/>
          <w:right w:w="0" w:type="dxa"/>
        </w:tblCellMar>
      </w:tblPr>
      <w:tblGrid>
        <w:gridCol w:w="413"/>
        <w:gridCol w:w="6879"/>
        <w:gridCol w:w="1892"/>
      </w:tblGrid>
      <w:tr>
        <w:trPr/>
        <w:tc>
          <w:tcPr>
            <w:tcW w:w="413"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68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Includes a dock and condensate tanks.</w:t>
            </w:r>
          </w:p>
        </w:tc>
        <w:tc>
          <w:tcPr>
            <w:tcW w:w="1892" w:type="dxa"/>
            <w:tcBorders/>
            <w:shd w:fill="auto" w:val="clear"/>
            <w:vAlign w:val="center"/>
          </w:tcPr>
          <w:p>
            <w:pPr>
              <w:pStyle w:val="TableContents"/>
              <w:spacing w:before="0" w:after="0"/>
              <w:ind w:left="0" w:right="0" w:hanging="0"/>
              <w:rPr/>
            </w:pPr>
            <w:r>
              <w:rPr/>
              <w:t> </w:t>
            </w:r>
          </w:p>
        </w:tc>
      </w:tr>
      <w:tr>
        <w:trPr/>
        <w:tc>
          <w:tcPr>
            <w:tcW w:w="413"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877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Primarily pipeline connections, upgrades and truck stations, new tank construction and refurbishing, and carry-over of projects started in 2008.</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p>
    <w:p>
      <w:pPr>
        <w:pStyle w:val="HorizontalLine"/>
        <w:pBdr>
          <w:bottom w:val="single" w:sz="18" w:space="0" w:color="010101"/>
        </w:pBdr>
        <w:spacing w:before="0" w:after="0"/>
        <w:rPr/>
      </w:pPr>
      <w:r>
        <w:rPr/>
      </w:r>
      <w:r>
        <w:br w:type="page"/>
      </w:r>
    </w:p>
    <w:p>
      <w:pPr>
        <w:pStyle w:val="TextBody"/>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w:t>
      </w:r>
      <w:r>
        <w:rPr>
          <w:rFonts w:ascii="Times New Roman" w:hAnsi="Times New Roman"/>
        </w:rPr>
        <w:t xml:space="preserve">                                 </w:t>
      </w:r>
      <w:r>
        <w:rPr>
          <w:rFonts w:ascii="Times New Roman" w:hAnsi="Times New Roman"/>
          <w:i/>
          <w:sz w:val="17"/>
        </w:rPr>
        <w:t xml:space="preserve">Capital Structure. </w:t>
      </w:r>
      <w:r>
        <w:rPr>
          <w:rFonts w:ascii="Times New Roman" w:hAnsi="Times New Roman"/>
        </w:rPr>
        <w:t> </w:t>
      </w:r>
      <w:r>
        <w:rPr>
          <w:rFonts w:ascii="Times New Roman" w:hAnsi="Times New Roman"/>
          <w:sz w:val="17"/>
        </w:rPr>
        <w:t>This guidance is based on our capital structure as of March 31, 2009 as adjusted to give effect to the issuance on April 20, 2009 of $350 million of 10-year senior notes.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w:t>
      </w:r>
      <w:r>
        <w:rPr>
          <w:rFonts w:ascii="Times New Roman" w:hAnsi="Times New Roman"/>
        </w:rPr>
        <w:t xml:space="preserve">                                 </w:t>
      </w:r>
      <w:r>
        <w:rPr>
          <w:rFonts w:ascii="Times New Roman" w:hAnsi="Times New Roman"/>
          <w:i/>
          <w:sz w:val="17"/>
        </w:rPr>
        <w:t>Interest Expense</w:t>
      </w:r>
      <w:r>
        <w:rPr>
          <w:rFonts w:ascii="Times New Roman" w:hAnsi="Times New Roman"/>
          <w:sz w:val="17"/>
        </w:rPr>
        <w:t>.  Debt balances are projected based on estimated cash flows, estimated distribution rates, forecasted acquisitions and capital expenditures for maintenance and expansion projects, expected timing of collections and payments, and forecasted levels of inventory and other working capital sources and uses.  Interest rate assumptions for variable rate debt are based on the current forward LIBOR curve.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in interest expense are commitment fees, amortization of long-term debt discounts or premiums, deferred amounts associated with terminated interest-rate hedges and interest on short-term debt for non-contango inventory (primarily hedged LPG inventory and New York Mercantile Exchange and IntercontinentalExchange margin deposits). Interest expense is net of amounts capitalized for major expansion capital projects and does not include interest on borrowings for inventory stored in a contango market. We treat interest on contango-related borrowings as carrying costs of crude oil and include it in purchases and related costs.</w:t>
      </w:r>
    </w:p>
    <w:p>
      <w:pPr>
        <w:pStyle w:val="TextBody"/>
        <w:spacing w:before="0" w:after="0"/>
        <w:ind w:left="0" w:right="0" w:hanging="0"/>
        <w:rPr/>
      </w:pPr>
      <w:r>
        <w:rPr/>
        <w:t> </w:t>
      </w:r>
    </w:p>
    <w:p>
      <w:pPr>
        <w:pStyle w:val="TextBody"/>
        <w:rPr/>
      </w:pPr>
      <w:r>
        <w:rPr/>
        <w:t> </w:t>
      </w:r>
    </w:p>
    <w:p>
      <w:pPr>
        <w:pStyle w:val="TextBody"/>
        <w:spacing w:before="0" w:after="0"/>
        <w:ind w:left="0" w:right="0" w:hanging="0"/>
        <w:rPr>
          <w:rFonts w:ascii="Times New Roman" w:hAnsi="Times New Roman"/>
        </w:rPr>
      </w:pPr>
      <w:r>
        <w:rPr>
          <w:rFonts w:ascii="Times New Roman" w:hAnsi="Times New Roman"/>
          <w:sz w:val="17"/>
        </w:rPr>
        <w:t>8.</w:t>
      </w:r>
      <w:r>
        <w:rPr>
          <w:rFonts w:ascii="Times New Roman" w:hAnsi="Times New Roman"/>
        </w:rPr>
        <w:t xml:space="preserve">                                </w:t>
      </w:r>
      <w:r>
        <w:rPr>
          <w:rFonts w:ascii="Times New Roman" w:hAnsi="Times New Roman"/>
          <w:i/>
          <w:sz w:val="17"/>
        </w:rPr>
        <w:t xml:space="preserve">Net </w:t>
      </w:r>
      <w:r>
        <w:rPr>
          <w:rFonts w:ascii="Times New Roman" w:hAnsi="Times New Roman"/>
          <w:sz w:val="17"/>
        </w:rPr>
        <w:t xml:space="preserve">Income </w:t>
      </w:r>
      <w:r>
        <w:rPr>
          <w:rFonts w:ascii="Times New Roman" w:hAnsi="Times New Roman"/>
          <w:i/>
          <w:sz w:val="17"/>
        </w:rPr>
        <w:t>per Unit.</w:t>
      </w:r>
      <w:r>
        <w:rPr>
          <w:rFonts w:ascii="Times New Roman" w:hAnsi="Times New Roman"/>
          <w:sz w:val="17"/>
        </w:rPr>
        <w:t>  Basic net income per limited partner unit is calculated by dividing net income allocated to limited partners by the basic weighted average units outstanding during the period.</w:t>
      </w:r>
    </w:p>
    <w:p>
      <w:pPr>
        <w:pStyle w:val="TextBody"/>
        <w:spacing w:before="0" w:after="0"/>
        <w:ind w:left="0" w:right="0" w:hanging="0"/>
        <w:rPr/>
      </w:pPr>
      <w:r>
        <w:rPr/>
        <w:t> </w:t>
      </w:r>
    </w:p>
    <w:tbl>
      <w:tblPr>
        <w:tblW w:w="4700" w:type="pct"/>
        <w:jc w:val="left"/>
        <w:tblInd w:w="0" w:type="dxa"/>
        <w:tblCellMar>
          <w:top w:w="0" w:type="dxa"/>
          <w:left w:w="0" w:type="dxa"/>
          <w:bottom w:w="0" w:type="dxa"/>
          <w:right w:w="0" w:type="dxa"/>
        </w:tblCellMar>
      </w:tblPr>
      <w:tblGrid>
        <w:gridCol w:w="2820"/>
        <w:gridCol w:w="186"/>
        <w:gridCol w:w="110"/>
        <w:gridCol w:w="680"/>
        <w:gridCol w:w="190"/>
        <w:gridCol w:w="110"/>
        <w:gridCol w:w="680"/>
        <w:gridCol w:w="190"/>
        <w:gridCol w:w="110"/>
        <w:gridCol w:w="680"/>
        <w:gridCol w:w="190"/>
        <w:gridCol w:w="110"/>
        <w:gridCol w:w="679"/>
        <w:gridCol w:w="190"/>
        <w:gridCol w:w="110"/>
        <w:gridCol w:w="680"/>
        <w:gridCol w:w="190"/>
        <w:gridCol w:w="110"/>
        <w:gridCol w:w="680"/>
        <w:gridCol w:w="897"/>
      </w:tblGrid>
      <w:tr>
        <w:trPr/>
        <w:tc>
          <w:tcPr>
            <w:tcW w:w="2820" w:type="dxa"/>
            <w:tcBorders/>
            <w:shd w:fill="auto" w:val="clear"/>
            <w:vAlign w:val="bottom"/>
          </w:tcPr>
          <w:p>
            <w:pPr>
              <w:pStyle w:val="TableContents"/>
              <w:spacing w:before="0" w:after="0"/>
              <w:ind w:left="0" w:right="0" w:hanging="0"/>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5689" w:type="dxa"/>
            <w:gridSpan w:val="1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 (in millions, except per unit data)</w:t>
            </w:r>
          </w:p>
        </w:tc>
        <w:tc>
          <w:tcPr>
            <w:tcW w:w="897" w:type="dxa"/>
            <w:tcBorders/>
            <w:shd w:fill="auto" w:val="clear"/>
            <w:vAlign w:val="bottom"/>
          </w:tcPr>
          <w:p>
            <w:pPr>
              <w:pStyle w:val="TableContents"/>
              <w:spacing w:before="0" w:after="0"/>
              <w:ind w:left="0" w:right="0" w:hanging="0"/>
              <w:jc w:val="center"/>
              <w:rPr/>
            </w:pPr>
            <w:r>
              <w:rPr/>
              <w:t> </w:t>
            </w:r>
          </w:p>
        </w:tc>
      </w:tr>
      <w:tr>
        <w:trPr/>
        <w:tc>
          <w:tcPr>
            <w:tcW w:w="2820" w:type="dxa"/>
            <w:tcBorders/>
            <w:shd w:fill="auto" w:val="clear"/>
            <w:vAlign w:val="bottom"/>
          </w:tcPr>
          <w:p>
            <w:pPr>
              <w:pStyle w:val="TableContents"/>
              <w:spacing w:before="0" w:after="0"/>
              <w:ind w:left="0" w:right="0" w:hanging="0"/>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177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190" w:type="dxa"/>
            <w:tcBorders/>
            <w:shd w:fill="auto" w:val="clear"/>
            <w:vAlign w:val="bottom"/>
          </w:tcPr>
          <w:p>
            <w:pPr>
              <w:pStyle w:val="TableContents"/>
              <w:spacing w:before="0" w:after="0"/>
              <w:ind w:left="0" w:right="0" w:hanging="0"/>
              <w:jc w:val="center"/>
              <w:rPr/>
            </w:pPr>
            <w:r>
              <w:rPr/>
              <w:t> </w:t>
            </w:r>
          </w:p>
        </w:tc>
        <w:tc>
          <w:tcPr>
            <w:tcW w:w="176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6 Months Ending</w:t>
            </w:r>
          </w:p>
        </w:tc>
        <w:tc>
          <w:tcPr>
            <w:tcW w:w="190" w:type="dxa"/>
            <w:tcBorders/>
            <w:shd w:fill="auto" w:val="clear"/>
            <w:vAlign w:val="bottom"/>
          </w:tcPr>
          <w:p>
            <w:pPr>
              <w:pStyle w:val="TableContents"/>
              <w:spacing w:before="0" w:after="0"/>
              <w:ind w:left="0" w:right="0" w:hanging="0"/>
              <w:jc w:val="center"/>
              <w:rPr/>
            </w:pPr>
            <w:r>
              <w:rPr/>
              <w:t> </w:t>
            </w:r>
          </w:p>
        </w:tc>
        <w:tc>
          <w:tcPr>
            <w:tcW w:w="177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897" w:type="dxa"/>
            <w:tcBorders/>
            <w:shd w:fill="auto" w:val="clear"/>
            <w:vAlign w:val="bottom"/>
          </w:tcPr>
          <w:p>
            <w:pPr>
              <w:pStyle w:val="TableContents"/>
              <w:spacing w:before="0" w:after="0"/>
              <w:ind w:left="0" w:right="0" w:hanging="0"/>
              <w:jc w:val="center"/>
              <w:rPr/>
            </w:pPr>
            <w:r>
              <w:rPr/>
              <w:t> </w:t>
            </w:r>
          </w:p>
        </w:tc>
      </w:tr>
      <w:tr>
        <w:trPr/>
        <w:tc>
          <w:tcPr>
            <w:tcW w:w="2820" w:type="dxa"/>
            <w:tcBorders/>
            <w:shd w:fill="auto" w:val="clear"/>
            <w:vAlign w:val="bottom"/>
          </w:tcPr>
          <w:p>
            <w:pPr>
              <w:pStyle w:val="TableContents"/>
              <w:spacing w:before="0" w:after="0"/>
              <w:ind w:left="0" w:right="0" w:hanging="0"/>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177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2009</w:t>
            </w:r>
          </w:p>
        </w:tc>
        <w:tc>
          <w:tcPr>
            <w:tcW w:w="190" w:type="dxa"/>
            <w:tcBorders/>
            <w:shd w:fill="auto" w:val="clear"/>
            <w:vAlign w:val="bottom"/>
          </w:tcPr>
          <w:p>
            <w:pPr>
              <w:pStyle w:val="TableContents"/>
              <w:spacing w:before="0" w:after="0"/>
              <w:ind w:left="0" w:right="0" w:hanging="0"/>
              <w:jc w:val="center"/>
              <w:rPr/>
            </w:pPr>
            <w:r>
              <w:rPr/>
              <w:t> </w:t>
            </w:r>
          </w:p>
        </w:tc>
        <w:tc>
          <w:tcPr>
            <w:tcW w:w="176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2009</w:t>
            </w:r>
          </w:p>
        </w:tc>
        <w:tc>
          <w:tcPr>
            <w:tcW w:w="190" w:type="dxa"/>
            <w:tcBorders/>
            <w:shd w:fill="auto" w:val="clear"/>
            <w:vAlign w:val="bottom"/>
          </w:tcPr>
          <w:p>
            <w:pPr>
              <w:pStyle w:val="TableContents"/>
              <w:spacing w:before="0" w:after="0"/>
              <w:ind w:left="0" w:right="0" w:hanging="0"/>
              <w:jc w:val="center"/>
              <w:rPr/>
            </w:pPr>
            <w:r>
              <w:rPr/>
              <w:t> </w:t>
            </w:r>
          </w:p>
        </w:tc>
        <w:tc>
          <w:tcPr>
            <w:tcW w:w="177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2009</w:t>
            </w:r>
          </w:p>
        </w:tc>
        <w:tc>
          <w:tcPr>
            <w:tcW w:w="897" w:type="dxa"/>
            <w:tcBorders/>
            <w:shd w:fill="auto" w:val="clear"/>
            <w:vAlign w:val="bottom"/>
          </w:tcPr>
          <w:p>
            <w:pPr>
              <w:pStyle w:val="TableContents"/>
              <w:spacing w:before="0" w:after="0"/>
              <w:ind w:left="0" w:right="0" w:hanging="0"/>
              <w:jc w:val="center"/>
              <w:rPr/>
            </w:pPr>
            <w:r>
              <w:rPr/>
              <w:t> </w:t>
            </w:r>
          </w:p>
        </w:tc>
      </w:tr>
      <w:tr>
        <w:trPr/>
        <w:tc>
          <w:tcPr>
            <w:tcW w:w="2820" w:type="dxa"/>
            <w:tcBorders/>
            <w:shd w:fill="auto" w:val="clear"/>
            <w:vAlign w:val="bottom"/>
          </w:tcPr>
          <w:p>
            <w:pPr>
              <w:pStyle w:val="TableContents"/>
              <w:spacing w:before="0" w:after="0"/>
              <w:ind w:left="0" w:right="0" w:hanging="0"/>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7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90" w:type="dxa"/>
            <w:tcBorders/>
            <w:shd w:fill="auto" w:val="clear"/>
            <w:vAlign w:val="bottom"/>
          </w:tcPr>
          <w:p>
            <w:pPr>
              <w:pStyle w:val="TableContents"/>
              <w:spacing w:before="0" w:after="0"/>
              <w:ind w:left="0" w:right="0" w:hanging="0"/>
              <w:jc w:val="center"/>
              <w:rPr/>
            </w:pPr>
            <w:r>
              <w:rPr/>
              <w:t> </w:t>
            </w:r>
          </w:p>
        </w:tc>
        <w:tc>
          <w:tcPr>
            <w:tcW w:w="7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90" w:type="dxa"/>
            <w:tcBorders/>
            <w:shd w:fill="auto" w:val="clear"/>
            <w:vAlign w:val="bottom"/>
          </w:tcPr>
          <w:p>
            <w:pPr>
              <w:pStyle w:val="TableContents"/>
              <w:spacing w:before="0" w:after="0"/>
              <w:ind w:left="0" w:right="0" w:hanging="0"/>
              <w:jc w:val="center"/>
              <w:rPr/>
            </w:pPr>
            <w:r>
              <w:rPr/>
              <w:t> </w:t>
            </w:r>
          </w:p>
        </w:tc>
        <w:tc>
          <w:tcPr>
            <w:tcW w:w="7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90" w:type="dxa"/>
            <w:tcBorders/>
            <w:shd w:fill="auto" w:val="clear"/>
            <w:vAlign w:val="bottom"/>
          </w:tcPr>
          <w:p>
            <w:pPr>
              <w:pStyle w:val="TableContents"/>
              <w:spacing w:before="0" w:after="0"/>
              <w:ind w:left="0" w:right="0" w:hanging="0"/>
              <w:jc w:val="center"/>
              <w:rPr/>
            </w:pPr>
            <w:r>
              <w:rPr/>
              <w:t> </w:t>
            </w:r>
          </w:p>
        </w:tc>
        <w:tc>
          <w:tcPr>
            <w:tcW w:w="78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90" w:type="dxa"/>
            <w:tcBorders/>
            <w:shd w:fill="auto" w:val="clear"/>
            <w:vAlign w:val="bottom"/>
          </w:tcPr>
          <w:p>
            <w:pPr>
              <w:pStyle w:val="TableContents"/>
              <w:spacing w:before="0" w:after="0"/>
              <w:ind w:left="0" w:right="0" w:hanging="0"/>
              <w:jc w:val="center"/>
              <w:rPr/>
            </w:pPr>
            <w:r>
              <w:rPr/>
              <w:t> </w:t>
            </w:r>
          </w:p>
        </w:tc>
        <w:tc>
          <w:tcPr>
            <w:tcW w:w="7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90" w:type="dxa"/>
            <w:tcBorders/>
            <w:shd w:fill="auto" w:val="clear"/>
            <w:vAlign w:val="bottom"/>
          </w:tcPr>
          <w:p>
            <w:pPr>
              <w:pStyle w:val="TableContents"/>
              <w:spacing w:before="0" w:after="0"/>
              <w:ind w:left="0" w:right="0" w:hanging="0"/>
              <w:jc w:val="center"/>
              <w:rPr/>
            </w:pPr>
            <w:r>
              <w:rPr/>
              <w:t> </w:t>
            </w:r>
          </w:p>
        </w:tc>
        <w:tc>
          <w:tcPr>
            <w:tcW w:w="7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897" w:type="dxa"/>
            <w:tcBorders/>
            <w:shd w:fill="auto" w:val="clear"/>
            <w:vAlign w:val="bottom"/>
          </w:tcPr>
          <w:p>
            <w:pPr>
              <w:pStyle w:val="TableContents"/>
              <w:spacing w:before="0" w:after="0"/>
              <w:ind w:left="0" w:right="0" w:hanging="0"/>
              <w:jc w:val="center"/>
              <w:rPr/>
            </w:pPr>
            <w:r>
              <w:rPr/>
              <w:t> </w:t>
            </w:r>
          </w:p>
        </w:tc>
      </w:tr>
      <w:tr>
        <w:trPr/>
        <w:tc>
          <w:tcPr>
            <w:tcW w:w="28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Numerator for basic and diluted earnings per limited partner unit:</w:t>
            </w:r>
          </w:p>
        </w:tc>
        <w:tc>
          <w:tcPr>
            <w:tcW w:w="186"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78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pPr>
            <w:r>
              <w:rPr/>
              <w:t> </w:t>
            </w:r>
          </w:p>
        </w:tc>
        <w:tc>
          <w:tcPr>
            <w:tcW w:w="897" w:type="dxa"/>
            <w:tcBorders/>
            <w:shd w:fill="CCEEFF" w:val="clear"/>
            <w:vAlign w:val="bottom"/>
          </w:tcPr>
          <w:p>
            <w:pPr>
              <w:pStyle w:val="TableContents"/>
              <w:spacing w:before="0" w:after="0"/>
              <w:ind w:left="0" w:right="0" w:hanging="0"/>
              <w:rPr/>
            </w:pPr>
            <w:r>
              <w:rPr/>
              <w:t> </w:t>
            </w:r>
          </w:p>
        </w:tc>
      </w:tr>
      <w:tr>
        <w:trPr/>
        <w:tc>
          <w:tcPr>
            <w:tcW w:w="28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8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9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19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19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254</w:t>
            </w:r>
          </w:p>
        </w:tc>
        <w:tc>
          <w:tcPr>
            <w:tcW w:w="19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515</w:t>
            </w:r>
          </w:p>
        </w:tc>
        <w:tc>
          <w:tcPr>
            <w:tcW w:w="19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897" w:type="dxa"/>
            <w:tcBorders/>
            <w:shd w:fill="auto" w:val="clear"/>
            <w:vAlign w:val="bottom"/>
          </w:tcPr>
          <w:p>
            <w:pPr>
              <w:pStyle w:val="TableContents"/>
              <w:spacing w:before="0" w:after="0"/>
              <w:ind w:left="0" w:right="0" w:hanging="0"/>
              <w:rPr/>
            </w:pPr>
            <w:r>
              <w:rPr/>
              <w:t> </w:t>
            </w:r>
          </w:p>
        </w:tc>
      </w:tr>
      <w:tr>
        <w:trPr/>
        <w:tc>
          <w:tcPr>
            <w:tcW w:w="2820" w:type="dxa"/>
            <w:tcBorders/>
            <w:shd w:fill="CCEEFF" w:val="clear"/>
            <w:vAlign w:val="bottom"/>
          </w:tcPr>
          <w:p>
            <w:pPr>
              <w:pStyle w:val="TableContents"/>
              <w:spacing w:before="0" w:after="0"/>
              <w:ind w:left="0" w:right="0" w:hanging="0"/>
              <w:rPr/>
            </w:pPr>
            <w:r>
              <w:rPr>
                <w:rFonts w:ascii="Times New Roman" w:hAnsi="Times New Roman"/>
                <w:sz w:val="17"/>
              </w:rPr>
              <w:t>General partners incentive distribution</w:t>
            </w:r>
            <w:r>
              <w:rPr/>
              <w:t xml:space="preserve"> </w:t>
            </w:r>
            <w:r>
              <w:rPr>
                <w:sz w:val="11"/>
              </w:rPr>
              <w:t>(1)</w:t>
            </w:r>
          </w:p>
        </w:tc>
        <w:tc>
          <w:tcPr>
            <w:tcW w:w="186" w:type="dxa"/>
            <w:tcBorders/>
            <w:shd w:fill="CCEEFF" w:val="clear"/>
            <w:vAlign w:val="bottom"/>
          </w:tcPr>
          <w:p>
            <w:pPr>
              <w:pStyle w:val="TableContents"/>
              <w:spacing w:before="0" w:after="0"/>
              <w:ind w:left="0" w:right="0" w:hanging="0"/>
              <w:rPr/>
            </w:pPr>
            <w:r>
              <w:rPr/>
              <w:t> </w:t>
            </w:r>
          </w:p>
        </w:tc>
        <w:tc>
          <w:tcPr>
            <w:tcW w:w="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8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0" w:type="dxa"/>
            <w:tcBorders/>
            <w:shd w:fill="auto" w:val="clear"/>
            <w:vAlign w:val="bottom"/>
          </w:tcPr>
          <w:p>
            <w:pPr>
              <w:pStyle w:val="TableContents"/>
              <w:spacing w:before="0" w:after="0"/>
              <w:ind w:left="0" w:right="0" w:hanging="0"/>
              <w:rPr/>
            </w:pPr>
            <w:r>
              <w:rPr/>
              <w:t> </w:t>
            </w:r>
          </w:p>
        </w:tc>
        <w:tc>
          <w:tcPr>
            <w:tcW w:w="186"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90"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90"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90" w:type="dxa"/>
            <w:tcBorders/>
            <w:shd w:fill="auto" w:val="clear"/>
            <w:vAlign w:val="bottom"/>
          </w:tcPr>
          <w:p>
            <w:pPr>
              <w:pStyle w:val="TableContents"/>
              <w:spacing w:before="0" w:after="0"/>
              <w:ind w:left="0" w:right="0" w:hanging="0"/>
              <w:rPr/>
            </w:pPr>
            <w:r>
              <w:rPr/>
              <w:t> </w:t>
            </w:r>
          </w:p>
        </w:tc>
        <w:tc>
          <w:tcPr>
            <w:tcW w:w="7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190"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390</w:t>
            </w:r>
          </w:p>
        </w:tc>
        <w:tc>
          <w:tcPr>
            <w:tcW w:w="190"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455</w:t>
            </w:r>
          </w:p>
        </w:tc>
        <w:tc>
          <w:tcPr>
            <w:tcW w:w="897" w:type="dxa"/>
            <w:tcBorders/>
            <w:shd w:fill="auto" w:val="clear"/>
            <w:vAlign w:val="bottom"/>
          </w:tcPr>
          <w:p>
            <w:pPr>
              <w:pStyle w:val="TableContents"/>
              <w:spacing w:before="0" w:after="0"/>
              <w:ind w:left="0" w:right="0" w:hanging="0"/>
              <w:rPr/>
            </w:pPr>
            <w:r>
              <w:rPr/>
              <w:t> </w:t>
            </w:r>
          </w:p>
        </w:tc>
      </w:tr>
      <w:tr>
        <w:trPr/>
        <w:tc>
          <w:tcPr>
            <w:tcW w:w="2820" w:type="dxa"/>
            <w:tcBorders/>
            <w:shd w:fill="CCEEFF" w:val="clear"/>
            <w:vAlign w:val="bottom"/>
          </w:tcPr>
          <w:p>
            <w:pPr>
              <w:pStyle w:val="TableContents"/>
              <w:spacing w:before="0" w:after="0"/>
              <w:ind w:left="0" w:right="0" w:hanging="0"/>
              <w:rPr/>
            </w:pPr>
            <w:r>
              <w:rPr>
                <w:rFonts w:ascii="Times New Roman" w:hAnsi="Times New Roman"/>
                <w:sz w:val="17"/>
              </w:rPr>
              <w:t xml:space="preserve">General partner 2% ownership </w:t>
            </w:r>
            <w:r>
              <w:rPr>
                <w:sz w:val="11"/>
              </w:rPr>
              <w:t>(1)</w:t>
            </w:r>
          </w:p>
        </w:tc>
        <w:tc>
          <w:tcPr>
            <w:tcW w:w="186" w:type="dxa"/>
            <w:tcBorders/>
            <w:shd w:fill="CCEEFF" w:val="clear"/>
            <w:vAlign w:val="bottom"/>
          </w:tcPr>
          <w:p>
            <w:pPr>
              <w:pStyle w:val="TableContents"/>
              <w:spacing w:before="0" w:after="0"/>
              <w:ind w:left="0" w:right="0" w:hanging="0"/>
              <w:rPr/>
            </w:pPr>
            <w:r>
              <w:rPr/>
              <w:t> </w:t>
            </w:r>
          </w:p>
        </w:tc>
        <w:tc>
          <w:tcPr>
            <w:tcW w:w="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8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186"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90"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90"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190" w:type="dxa"/>
            <w:tcBorders/>
            <w:shd w:fill="auto" w:val="clear"/>
            <w:vAlign w:val="bottom"/>
          </w:tcPr>
          <w:p>
            <w:pPr>
              <w:pStyle w:val="TableContents"/>
              <w:spacing w:before="0" w:after="0"/>
              <w:ind w:left="0" w:right="0" w:hanging="0"/>
              <w:rPr/>
            </w:pPr>
            <w:r>
              <w:rPr/>
              <w:t> </w:t>
            </w:r>
          </w:p>
        </w:tc>
        <w:tc>
          <w:tcPr>
            <w:tcW w:w="7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190"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380</w:t>
            </w:r>
          </w:p>
        </w:tc>
        <w:tc>
          <w:tcPr>
            <w:tcW w:w="190"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897" w:type="dxa"/>
            <w:tcBorders/>
            <w:shd w:fill="auto" w:val="clear"/>
            <w:vAlign w:val="bottom"/>
          </w:tcPr>
          <w:p>
            <w:pPr>
              <w:pStyle w:val="TableContents"/>
              <w:spacing w:before="0" w:after="0"/>
              <w:ind w:left="0" w:right="0" w:hanging="0"/>
              <w:rPr/>
            </w:pPr>
            <w:r>
              <w:rPr/>
              <w:t> </w:t>
            </w:r>
          </w:p>
        </w:tc>
      </w:tr>
      <w:tr>
        <w:trPr/>
        <w:tc>
          <w:tcPr>
            <w:tcW w:w="2820" w:type="dxa"/>
            <w:tcBorders/>
            <w:shd w:fill="CCEEFF" w:val="clear"/>
            <w:vAlign w:val="bottom"/>
          </w:tcPr>
          <w:p>
            <w:pPr>
              <w:pStyle w:val="TableContents"/>
              <w:spacing w:before="0" w:after="0"/>
              <w:ind w:left="0" w:right="0" w:hanging="0"/>
              <w:rPr/>
            </w:pPr>
            <w:r>
              <w:rPr>
                <w:rFonts w:ascii="Times New Roman" w:hAnsi="Times New Roman"/>
                <w:sz w:val="17"/>
              </w:rPr>
              <w:t xml:space="preserve">Adjustment in accordance with EITF 07-04 </w:t>
            </w:r>
            <w:r>
              <w:rPr>
                <w:sz w:val="11"/>
              </w:rPr>
              <w:t>(1)</w:t>
            </w:r>
          </w:p>
        </w:tc>
        <w:tc>
          <w:tcPr>
            <w:tcW w:w="186" w:type="dxa"/>
            <w:tcBorders/>
            <w:shd w:fill="CCEEFF" w:val="clear"/>
            <w:vAlign w:val="bottom"/>
          </w:tcPr>
          <w:p>
            <w:pPr>
              <w:pStyle w:val="TableContents"/>
              <w:spacing w:before="0" w:after="0"/>
              <w:ind w:left="0" w:right="0" w:hanging="0"/>
              <w:rPr/>
            </w:pPr>
            <w:r>
              <w:rPr/>
              <w:t> </w:t>
            </w:r>
          </w:p>
        </w:tc>
        <w:tc>
          <w:tcPr>
            <w:tcW w:w="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8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under EITF 07-04</w:t>
            </w:r>
          </w:p>
        </w:tc>
        <w:tc>
          <w:tcPr>
            <w:tcW w:w="18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9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9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19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w:t>
            </w:r>
          </w:p>
        </w:tc>
        <w:tc>
          <w:tcPr>
            <w:tcW w:w="19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374</w:t>
            </w:r>
          </w:p>
        </w:tc>
        <w:tc>
          <w:tcPr>
            <w:tcW w:w="19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438</w:t>
            </w:r>
          </w:p>
        </w:tc>
        <w:tc>
          <w:tcPr>
            <w:tcW w:w="897" w:type="dxa"/>
            <w:tcBorders/>
            <w:shd w:fill="auto" w:val="clear"/>
            <w:vAlign w:val="bottom"/>
          </w:tcPr>
          <w:p>
            <w:pPr>
              <w:pStyle w:val="TableContents"/>
              <w:spacing w:before="0" w:after="0"/>
              <w:ind w:left="0" w:right="0" w:hanging="0"/>
              <w:rPr/>
            </w:pPr>
            <w:r>
              <w:rPr/>
              <w:t> </w:t>
            </w:r>
          </w:p>
        </w:tc>
      </w:tr>
      <w:tr>
        <w:trPr/>
        <w:tc>
          <w:tcPr>
            <w:tcW w:w="2820" w:type="dxa"/>
            <w:tcBorders/>
            <w:shd w:fill="CCEEFF" w:val="clear"/>
            <w:vAlign w:val="bottom"/>
          </w:tcPr>
          <w:p>
            <w:pPr>
              <w:pStyle w:val="TableContents"/>
              <w:spacing w:before="0" w:after="0"/>
              <w:ind w:left="0" w:right="0" w:hanging="0"/>
              <w:rPr/>
            </w:pPr>
            <w:r>
              <w:rPr/>
              <w:t> </w:t>
            </w:r>
          </w:p>
        </w:tc>
        <w:tc>
          <w:tcPr>
            <w:tcW w:w="186"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78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pPr>
            <w:r>
              <w:rPr/>
              <w:t> </w:t>
            </w:r>
          </w:p>
        </w:tc>
        <w:tc>
          <w:tcPr>
            <w:tcW w:w="897" w:type="dxa"/>
            <w:tcBorders/>
            <w:shd w:fill="CCEEFF" w:val="clear"/>
            <w:vAlign w:val="bottom"/>
          </w:tcPr>
          <w:p>
            <w:pPr>
              <w:pStyle w:val="TableContents"/>
              <w:spacing w:before="0" w:after="0"/>
              <w:ind w:left="0" w:right="0" w:hanging="0"/>
              <w:rPr/>
            </w:pPr>
            <w:r>
              <w:rPr/>
              <w:t> </w:t>
            </w:r>
          </w:p>
        </w:tc>
      </w:tr>
      <w:tr>
        <w:trPr/>
        <w:tc>
          <w:tcPr>
            <w:tcW w:w="28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Denominator:</w:t>
            </w:r>
          </w:p>
        </w:tc>
        <w:tc>
          <w:tcPr>
            <w:tcW w:w="186"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789"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pPr>
            <w:r>
              <w:rPr/>
              <w:t> </w:t>
            </w:r>
          </w:p>
        </w:tc>
        <w:tc>
          <w:tcPr>
            <w:tcW w:w="897" w:type="dxa"/>
            <w:tcBorders/>
            <w:shd w:fill="auto" w:val="clear"/>
            <w:vAlign w:val="bottom"/>
          </w:tcPr>
          <w:p>
            <w:pPr>
              <w:pStyle w:val="TableContents"/>
              <w:spacing w:before="0" w:after="0"/>
              <w:ind w:left="0" w:right="0" w:hanging="0"/>
              <w:rPr/>
            </w:pPr>
            <w:r>
              <w:rPr/>
              <w:t> </w:t>
            </w:r>
          </w:p>
        </w:tc>
      </w:tr>
      <w:tr>
        <w:trPr/>
        <w:tc>
          <w:tcPr>
            <w:tcW w:w="28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Denominator for basic earnings per limited partner unit-weighted average number of limited partner units</w:t>
            </w:r>
          </w:p>
        </w:tc>
        <w:tc>
          <w:tcPr>
            <w:tcW w:w="186"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90"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90"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90" w:type="dxa"/>
            <w:tcBorders/>
            <w:shd w:fill="CCEEFF" w:val="clear"/>
            <w:vAlign w:val="bottom"/>
          </w:tcPr>
          <w:p>
            <w:pPr>
              <w:pStyle w:val="TableContents"/>
              <w:spacing w:before="0" w:after="0"/>
              <w:ind w:left="0" w:right="0" w:hanging="0"/>
              <w:rPr/>
            </w:pPr>
            <w:r>
              <w:rPr/>
              <w:t> </w:t>
            </w:r>
          </w:p>
        </w:tc>
        <w:tc>
          <w:tcPr>
            <w:tcW w:w="7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90"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90"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897" w:type="dxa"/>
            <w:tcBorders/>
            <w:shd w:fill="CCEEFF" w:val="clear"/>
            <w:vAlign w:val="bottom"/>
          </w:tcPr>
          <w:p>
            <w:pPr>
              <w:pStyle w:val="TableContents"/>
              <w:spacing w:before="0" w:after="0"/>
              <w:ind w:left="0" w:right="0" w:hanging="0"/>
              <w:rPr/>
            </w:pPr>
            <w:r>
              <w:rPr/>
              <w:t> </w:t>
            </w:r>
          </w:p>
        </w:tc>
      </w:tr>
      <w:tr>
        <w:trPr/>
        <w:tc>
          <w:tcPr>
            <w:tcW w:w="28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w:t>
            </w:r>
          </w:p>
        </w:tc>
        <w:tc>
          <w:tcPr>
            <w:tcW w:w="186"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789"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pPr>
            <w:r>
              <w:rPr/>
              <w:t> </w:t>
            </w:r>
          </w:p>
        </w:tc>
        <w:tc>
          <w:tcPr>
            <w:tcW w:w="897" w:type="dxa"/>
            <w:tcBorders/>
            <w:shd w:fill="auto" w:val="clear"/>
            <w:vAlign w:val="bottom"/>
          </w:tcPr>
          <w:p>
            <w:pPr>
              <w:pStyle w:val="TableContents"/>
              <w:spacing w:before="0" w:after="0"/>
              <w:ind w:left="0" w:right="0" w:hanging="0"/>
              <w:rPr/>
            </w:pPr>
            <w:r>
              <w:rPr/>
              <w:t> </w:t>
            </w:r>
          </w:p>
        </w:tc>
      </w:tr>
      <w:tr>
        <w:trPr/>
        <w:tc>
          <w:tcPr>
            <w:tcW w:w="28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Weighted average LTIP units</w:t>
            </w:r>
          </w:p>
        </w:tc>
        <w:tc>
          <w:tcPr>
            <w:tcW w:w="186" w:type="dxa"/>
            <w:tcBorders/>
            <w:shd w:fill="CCEEFF" w:val="clear"/>
            <w:vAlign w:val="bottom"/>
          </w:tcPr>
          <w:p>
            <w:pPr>
              <w:pStyle w:val="TableContents"/>
              <w:spacing w:before="0" w:after="0"/>
              <w:ind w:left="0" w:right="0" w:hanging="0"/>
              <w:rPr/>
            </w:pPr>
            <w:r>
              <w:rPr/>
              <w:t> </w:t>
            </w:r>
          </w:p>
        </w:tc>
        <w:tc>
          <w:tcPr>
            <w:tcW w:w="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0" w:type="dxa"/>
            <w:tcBorders/>
            <w:shd w:fill="CCEEFF" w:val="clear"/>
            <w:vAlign w:val="bottom"/>
          </w:tcPr>
          <w:p>
            <w:pPr>
              <w:pStyle w:val="TableContents"/>
              <w:spacing w:before="0" w:after="0"/>
              <w:ind w:left="0" w:right="0" w:hanging="0"/>
              <w:rPr/>
            </w:pPr>
            <w:r>
              <w:rPr/>
              <w:t> </w:t>
            </w:r>
          </w:p>
        </w:tc>
        <w:tc>
          <w:tcPr>
            <w:tcW w:w="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0" w:type="dxa"/>
            <w:tcBorders/>
            <w:shd w:fill="CCEEFF" w:val="clear"/>
            <w:vAlign w:val="bottom"/>
          </w:tcPr>
          <w:p>
            <w:pPr>
              <w:pStyle w:val="TableContents"/>
              <w:spacing w:before="0" w:after="0"/>
              <w:ind w:left="0" w:right="0" w:hanging="0"/>
              <w:rPr/>
            </w:pPr>
            <w:r>
              <w:rPr/>
              <w:t> </w:t>
            </w:r>
          </w:p>
        </w:tc>
        <w:tc>
          <w:tcPr>
            <w:tcW w:w="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0" w:type="dxa"/>
            <w:tcBorders/>
            <w:shd w:fill="CCEEFF" w:val="clear"/>
            <w:vAlign w:val="bottom"/>
          </w:tcPr>
          <w:p>
            <w:pPr>
              <w:pStyle w:val="TableContents"/>
              <w:spacing w:before="0" w:after="0"/>
              <w:ind w:left="0" w:right="0" w:hanging="0"/>
              <w:rPr/>
            </w:pPr>
            <w:r>
              <w:rPr/>
              <w:t> </w:t>
            </w:r>
          </w:p>
        </w:tc>
        <w:tc>
          <w:tcPr>
            <w:tcW w:w="7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0" w:type="dxa"/>
            <w:tcBorders/>
            <w:shd w:fill="CCEEFF" w:val="clear"/>
            <w:vAlign w:val="bottom"/>
          </w:tcPr>
          <w:p>
            <w:pPr>
              <w:pStyle w:val="TableContents"/>
              <w:spacing w:before="0" w:after="0"/>
              <w:ind w:left="0" w:right="0" w:hanging="0"/>
              <w:rPr/>
            </w:pPr>
            <w:r>
              <w:rPr/>
              <w:t> </w:t>
            </w:r>
          </w:p>
        </w:tc>
        <w:tc>
          <w:tcPr>
            <w:tcW w:w="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0" w:type="dxa"/>
            <w:tcBorders/>
            <w:shd w:fill="CCEEFF" w:val="clear"/>
            <w:vAlign w:val="bottom"/>
          </w:tcPr>
          <w:p>
            <w:pPr>
              <w:pStyle w:val="TableContents"/>
              <w:spacing w:before="0" w:after="0"/>
              <w:ind w:left="0" w:right="0" w:hanging="0"/>
              <w:rPr/>
            </w:pPr>
            <w:r>
              <w:rPr/>
              <w:t> </w:t>
            </w:r>
          </w:p>
        </w:tc>
        <w:tc>
          <w:tcPr>
            <w:tcW w:w="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897" w:type="dxa"/>
            <w:tcBorders/>
            <w:shd w:fill="CCEEFF" w:val="clear"/>
            <w:vAlign w:val="bottom"/>
          </w:tcPr>
          <w:p>
            <w:pPr>
              <w:pStyle w:val="TableContents"/>
              <w:spacing w:before="0" w:after="0"/>
              <w:ind w:left="0" w:right="0" w:hanging="0"/>
              <w:rPr/>
            </w:pPr>
            <w:r>
              <w:rPr/>
              <w:t> </w:t>
            </w:r>
          </w:p>
        </w:tc>
      </w:tr>
      <w:tr>
        <w:trPr/>
        <w:tc>
          <w:tcPr>
            <w:tcW w:w="28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Denominator for diluted earnings per limited partner unit-weighted average number of limited partner units</w:t>
            </w:r>
          </w:p>
        </w:tc>
        <w:tc>
          <w:tcPr>
            <w:tcW w:w="186"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90"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90"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90" w:type="dxa"/>
            <w:tcBorders/>
            <w:shd w:fill="auto" w:val="clear"/>
            <w:vAlign w:val="bottom"/>
          </w:tcPr>
          <w:p>
            <w:pPr>
              <w:pStyle w:val="TableContents"/>
              <w:spacing w:before="0" w:after="0"/>
              <w:ind w:left="0" w:right="0" w:hanging="0"/>
              <w:rPr/>
            </w:pPr>
            <w:r>
              <w:rPr/>
              <w:t> </w:t>
            </w:r>
          </w:p>
        </w:tc>
        <w:tc>
          <w:tcPr>
            <w:tcW w:w="7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90"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90"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897" w:type="dxa"/>
            <w:tcBorders/>
            <w:shd w:fill="auto" w:val="clear"/>
            <w:vAlign w:val="bottom"/>
          </w:tcPr>
          <w:p>
            <w:pPr>
              <w:pStyle w:val="TableContents"/>
              <w:spacing w:before="0" w:after="0"/>
              <w:ind w:left="0" w:right="0" w:hanging="0"/>
              <w:rPr/>
            </w:pPr>
            <w:r>
              <w:rPr/>
              <w:t> </w:t>
            </w:r>
          </w:p>
        </w:tc>
      </w:tr>
      <w:tr>
        <w:trPr/>
        <w:tc>
          <w:tcPr>
            <w:tcW w:w="2820" w:type="dxa"/>
            <w:tcBorders/>
            <w:shd w:fill="CCEEFF" w:val="clear"/>
            <w:vAlign w:val="bottom"/>
          </w:tcPr>
          <w:p>
            <w:pPr>
              <w:pStyle w:val="TableContents"/>
              <w:spacing w:before="0" w:after="0"/>
              <w:ind w:left="0" w:right="0" w:hanging="0"/>
              <w:rPr/>
            </w:pPr>
            <w:r>
              <w:rPr/>
              <w:t> </w:t>
            </w:r>
          </w:p>
        </w:tc>
        <w:tc>
          <w:tcPr>
            <w:tcW w:w="186" w:type="dxa"/>
            <w:tcBorders/>
            <w:shd w:fill="CCEEFF" w:val="clear"/>
            <w:vAlign w:val="bottom"/>
          </w:tcPr>
          <w:p>
            <w:pPr>
              <w:pStyle w:val="TableContents"/>
              <w:spacing w:before="0" w:after="0"/>
              <w:ind w:left="0" w:right="0" w:hanging="0"/>
              <w:rPr/>
            </w:pPr>
            <w:r>
              <w:rPr/>
              <w:t> </w:t>
            </w:r>
          </w:p>
        </w:tc>
        <w:tc>
          <w:tcPr>
            <w:tcW w:w="790" w:type="dxa"/>
            <w:gridSpan w:val="2"/>
            <w:tcBorders>
              <w:top w:val="double" w:sz="6" w:space="0" w:color="000000"/>
            </w:tcBorders>
            <w:shd w:fill="CCEEFF" w:val="clear"/>
            <w:tcMar>
              <w:top w:w="28" w:type="dxa"/>
            </w:tcM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790" w:type="dxa"/>
            <w:gridSpan w:val="2"/>
            <w:tcBorders>
              <w:top w:val="double" w:sz="6" w:space="0" w:color="000000"/>
            </w:tcBorders>
            <w:shd w:fill="CCEEFF" w:val="clear"/>
            <w:tcMar>
              <w:top w:w="28" w:type="dxa"/>
            </w:tcM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790" w:type="dxa"/>
            <w:gridSpan w:val="2"/>
            <w:tcBorders>
              <w:top w:val="double" w:sz="6" w:space="0" w:color="000000"/>
            </w:tcBorders>
            <w:shd w:fill="CCEEFF" w:val="clear"/>
            <w:tcMar>
              <w:top w:w="28" w:type="dxa"/>
            </w:tcM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789" w:type="dxa"/>
            <w:gridSpan w:val="2"/>
            <w:tcBorders>
              <w:top w:val="double" w:sz="6" w:space="0" w:color="000000"/>
            </w:tcBorders>
            <w:shd w:fill="CCEEFF" w:val="clear"/>
            <w:tcMar>
              <w:top w:w="28" w:type="dxa"/>
            </w:tcM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790" w:type="dxa"/>
            <w:gridSpan w:val="2"/>
            <w:tcBorders>
              <w:top w:val="double" w:sz="6" w:space="0" w:color="000000"/>
            </w:tcBorders>
            <w:shd w:fill="CCEEFF" w:val="clear"/>
            <w:tcMar>
              <w:top w:w="28" w:type="dxa"/>
            </w:tcM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790" w:type="dxa"/>
            <w:gridSpan w:val="2"/>
            <w:tcBorders>
              <w:top w:val="double" w:sz="6" w:space="0" w:color="000000"/>
            </w:tcBorders>
            <w:shd w:fill="CCEEFF" w:val="clear"/>
            <w:tcMar>
              <w:top w:w="28" w:type="dxa"/>
            </w:tcMar>
            <w:vAlign w:val="bottom"/>
          </w:tcPr>
          <w:p>
            <w:pPr>
              <w:pStyle w:val="TableContents"/>
              <w:spacing w:before="0" w:after="0"/>
              <w:ind w:left="0" w:right="0" w:hanging="0"/>
              <w:jc w:val="right"/>
              <w:rPr/>
            </w:pPr>
            <w:r>
              <w:rPr/>
              <w:t> </w:t>
            </w:r>
          </w:p>
        </w:tc>
        <w:tc>
          <w:tcPr>
            <w:tcW w:w="897" w:type="dxa"/>
            <w:tcBorders/>
            <w:shd w:fill="CCEEFF" w:val="clear"/>
            <w:vAlign w:val="bottom"/>
          </w:tcPr>
          <w:p>
            <w:pPr>
              <w:pStyle w:val="TableContents"/>
              <w:spacing w:before="0" w:after="0"/>
              <w:ind w:left="0" w:right="0" w:hanging="0"/>
              <w:rPr/>
            </w:pPr>
            <w:r>
              <w:rPr/>
              <w:t> </w:t>
            </w:r>
          </w:p>
        </w:tc>
      </w:tr>
      <w:tr>
        <w:trPr/>
        <w:tc>
          <w:tcPr>
            <w:tcW w:w="28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18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0.43</w:t>
            </w:r>
          </w:p>
        </w:tc>
        <w:tc>
          <w:tcPr>
            <w:tcW w:w="19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0.62</w:t>
            </w:r>
          </w:p>
        </w:tc>
        <w:tc>
          <w:tcPr>
            <w:tcW w:w="19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19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19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w:t>
            </w:r>
          </w:p>
        </w:tc>
        <w:tc>
          <w:tcPr>
            <w:tcW w:w="19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897" w:type="dxa"/>
            <w:tcBorders/>
            <w:shd w:fill="auto" w:val="clear"/>
            <w:vAlign w:val="bottom"/>
          </w:tcPr>
          <w:p>
            <w:pPr>
              <w:pStyle w:val="TableContents"/>
              <w:spacing w:before="0" w:after="0"/>
              <w:ind w:left="0" w:right="0" w:hanging="0"/>
              <w:rPr/>
            </w:pPr>
            <w:r>
              <w:rPr/>
              <w:t> </w:t>
            </w:r>
          </w:p>
        </w:tc>
      </w:tr>
      <w:tr>
        <w:trPr/>
        <w:tc>
          <w:tcPr>
            <w:tcW w:w="28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18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0.43</w:t>
            </w:r>
          </w:p>
        </w:tc>
        <w:tc>
          <w:tcPr>
            <w:tcW w:w="19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0.61</w:t>
            </w:r>
          </w:p>
        </w:tc>
        <w:tc>
          <w:tcPr>
            <w:tcW w:w="19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9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9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w:t>
            </w:r>
          </w:p>
        </w:tc>
        <w:tc>
          <w:tcPr>
            <w:tcW w:w="19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w:t>
            </w:r>
          </w:p>
        </w:tc>
        <w:tc>
          <w:tcPr>
            <w:tcW w:w="89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4650" w:type="pct"/>
        <w:jc w:val="left"/>
        <w:tblInd w:w="0" w:type="dxa"/>
        <w:tblCellMar>
          <w:top w:w="0" w:type="dxa"/>
          <w:left w:w="0" w:type="dxa"/>
          <w:bottom w:w="0" w:type="dxa"/>
          <w:right w:w="0" w:type="dxa"/>
        </w:tblCellMar>
      </w:tblPr>
      <w:tblGrid>
        <w:gridCol w:w="286"/>
        <w:gridCol w:w="9204"/>
      </w:tblGrid>
      <w:tr>
        <w:trPr/>
        <w:tc>
          <w:tcPr>
            <w:tcW w:w="286"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920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 allocate net income to our general partner based on the distribution paid during the current quarter (including the incentive distribution interest in excess of the 2% general partner interest). EITF 07-04 requires that the distribution pertaining to the current periods net income, which is to be paid in the subsequent quarter, be utilized within the earnings per unit calculation. We reflect the impact of this deference as the Adjustment in accordance with EITF 07-04.</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conjunction with the Pacific and Rainbow acquisitions, the general partner reduced the amounts due it as incentive distributions by an aggregate amount of $75 million. Approximately $44 million of this reduction was realized as of March 31, 2009.  Incentive distributions will be reduced by $15 million for the balance of 2009, $11 million in 2010 and $5 million in 2011.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relative amount of the incentive distribution varies directionally with the number of units outstanding and the level of the distribution on the units. Based on the current number of units outstanding, each $0.05 per unit annual increase or decrease in the distribution relative to forecasted amounts decreases or increases, respectively, net income available for limited partners by approximately $7 million ($0.05 per unit) on an annualized basis.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9.</w:t>
      </w:r>
      <w:r>
        <w:rPr>
          <w:rFonts w:ascii="Times New Roman" w:hAnsi="Times New Roman"/>
        </w:rPr>
        <w:t xml:space="preserve">                               </w:t>
      </w:r>
      <w:r>
        <w:rPr>
          <w:rFonts w:ascii="Times New Roman" w:hAnsi="Times New Roman"/>
          <w:i/>
          <w:sz w:val="17"/>
        </w:rPr>
        <w:t>Equity Compensation Plans</w:t>
      </w:r>
      <w:r>
        <w:rPr>
          <w:rFonts w:ascii="Times New Roman" w:hAnsi="Times New Roman"/>
          <w:sz w:val="17"/>
        </w:rPr>
        <w:t xml:space="preserve">.  The majority of grants outstanding under our equity compensation plans (LTIP and Class B units) contain vesting criteria that are based on a combination of performance benchmarks and service period. The grants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will vest in various percentages, typically on the later to occur of specified earliest vesting dates and the dates on which minimum distribution levels are reached. Among the various grants outstanding as of May 5, 2009, estimated vesting dates range from May 2009 to January 2016 and annualized distribution levels range from $2.80 to $4.50. For some awards, a percentage of any remaining units will vest on a date certain in 2011 or 2012 and all others are forfeited.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April 8, 2009, we declared an annualized distribution of $3.62 payable on May 15, 2009 to our unitholders of record as of May 5, 2009. We have made the assessment that a $3.75 distribution level is probable of occurring and accordingly, for grants that vest at annualized distribution levels of $3.75 or less, guidance includes an accrual over the applicable service period at an assumed market price of approximately $37.00 per unit as well as the fair value associated with awards that will vest on a date certain The actual amount of equity compensation expense amortization in any given period will be directly influenced by (i) our unit price at the end of each reporting period, (ii) our unit price on the date of actual vesting, (iii) the amount of the amortization in the early years, (iv) the probability assessment of achieving future distribution rates, and (v) new equity compensation award grants. For example, a $3.00 change in the unit price assumption at June 30, 2009 would change the second-quarter equity compensation expense by approximately $6 million. Therefore, actual net income could differ materially from our projections.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10.</w:t>
      </w:r>
      <w:r>
        <w:rPr>
          <w:rFonts w:ascii="Times New Roman" w:hAnsi="Times New Roman"/>
        </w:rPr>
        <w:t xml:space="preserve">                           </w:t>
      </w:r>
      <w:r>
        <w:rPr>
          <w:rFonts w:ascii="Times New Roman" w:hAnsi="Times New Roman"/>
          <w:i/>
          <w:sz w:val="17"/>
        </w:rPr>
        <w:t>Reconciliation of EBITDA and EBIT to Net Income.</w:t>
      </w:r>
      <w:r>
        <w:rPr>
          <w:rFonts w:ascii="Times New Roman" w:hAnsi="Times New Roman"/>
        </w:rPr>
        <w:t xml:space="preserve">  </w:t>
      </w:r>
      <w:r>
        <w:rPr>
          <w:rFonts w:ascii="Times New Roman" w:hAnsi="Times New Roman"/>
          <w:sz w:val="17"/>
        </w:rPr>
        <w:t>The following table reconciles the three-month guidance range ending June 30, 2009 and six month and twelve month guidance ranges ending December 31, 2009 for EBITDA and EBIT to net income.</w:t>
      </w:r>
    </w:p>
    <w:p>
      <w:pPr>
        <w:pStyle w:val="TextBody"/>
        <w:spacing w:before="0" w:after="0"/>
        <w:ind w:left="0" w:right="0" w:hanging="0"/>
        <w:rPr/>
      </w:pPr>
      <w:r>
        <w:rPr/>
        <w:t> </w:t>
      </w:r>
    </w:p>
    <w:tbl>
      <w:tblPr>
        <w:tblW w:w="4700" w:type="pct"/>
        <w:jc w:val="left"/>
        <w:tblInd w:w="0" w:type="dxa"/>
        <w:tblCellMar>
          <w:top w:w="0" w:type="dxa"/>
          <w:left w:w="0" w:type="dxa"/>
          <w:bottom w:w="0" w:type="dxa"/>
          <w:right w:w="0" w:type="dxa"/>
        </w:tblCellMar>
      </w:tblPr>
      <w:tblGrid>
        <w:gridCol w:w="3116"/>
        <w:gridCol w:w="192"/>
        <w:gridCol w:w="134"/>
        <w:gridCol w:w="726"/>
        <w:gridCol w:w="197"/>
        <w:gridCol w:w="134"/>
        <w:gridCol w:w="727"/>
        <w:gridCol w:w="192"/>
        <w:gridCol w:w="134"/>
        <w:gridCol w:w="726"/>
        <w:gridCol w:w="197"/>
        <w:gridCol w:w="134"/>
        <w:gridCol w:w="726"/>
        <w:gridCol w:w="192"/>
        <w:gridCol w:w="131"/>
        <w:gridCol w:w="716"/>
        <w:gridCol w:w="195"/>
        <w:gridCol w:w="131"/>
        <w:gridCol w:w="774"/>
        <w:gridCol w:w="118"/>
      </w:tblGrid>
      <w:tr>
        <w:trPr/>
        <w:tc>
          <w:tcPr>
            <w:tcW w:w="3116"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6166" w:type="dxa"/>
            <w:gridSpan w:val="1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 Guidance (in millions)</w:t>
            </w:r>
          </w:p>
        </w:tc>
        <w:tc>
          <w:tcPr>
            <w:tcW w:w="118" w:type="dxa"/>
            <w:tcBorders/>
            <w:shd w:fill="auto" w:val="clear"/>
            <w:vAlign w:val="bottom"/>
          </w:tcPr>
          <w:p>
            <w:pPr>
              <w:pStyle w:val="TableContents"/>
              <w:spacing w:before="0" w:after="0"/>
              <w:ind w:left="0" w:right="0" w:hanging="0"/>
              <w:jc w:val="center"/>
              <w:rPr/>
            </w:pPr>
            <w:r>
              <w:rPr/>
              <w:t> </w:t>
            </w:r>
          </w:p>
        </w:tc>
      </w:tr>
      <w:tr>
        <w:trPr/>
        <w:tc>
          <w:tcPr>
            <w:tcW w:w="3116"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191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192" w:type="dxa"/>
            <w:tcBorders/>
            <w:shd w:fill="auto" w:val="clear"/>
            <w:vAlign w:val="bottom"/>
          </w:tcPr>
          <w:p>
            <w:pPr>
              <w:pStyle w:val="TableContents"/>
              <w:spacing w:before="0" w:after="0"/>
              <w:ind w:left="0" w:right="0" w:hanging="0"/>
              <w:jc w:val="center"/>
              <w:rPr/>
            </w:pPr>
            <w:r>
              <w:rPr/>
              <w:t> </w:t>
            </w:r>
          </w:p>
        </w:tc>
        <w:tc>
          <w:tcPr>
            <w:tcW w:w="191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6 Months Ending</w:t>
            </w:r>
          </w:p>
        </w:tc>
        <w:tc>
          <w:tcPr>
            <w:tcW w:w="192" w:type="dxa"/>
            <w:tcBorders/>
            <w:shd w:fill="auto" w:val="clear"/>
            <w:vAlign w:val="bottom"/>
          </w:tcPr>
          <w:p>
            <w:pPr>
              <w:pStyle w:val="TableContents"/>
              <w:spacing w:before="0" w:after="0"/>
              <w:ind w:left="0" w:right="0" w:hanging="0"/>
              <w:jc w:val="center"/>
              <w:rPr/>
            </w:pPr>
            <w:r>
              <w:rPr/>
              <w:t> </w:t>
            </w:r>
          </w:p>
        </w:tc>
        <w:tc>
          <w:tcPr>
            <w:tcW w:w="194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18" w:type="dxa"/>
            <w:tcBorders/>
            <w:shd w:fill="auto" w:val="clear"/>
            <w:vAlign w:val="bottom"/>
          </w:tcPr>
          <w:p>
            <w:pPr>
              <w:pStyle w:val="TableContents"/>
              <w:spacing w:before="0" w:after="0"/>
              <w:ind w:left="0" w:right="0" w:hanging="0"/>
              <w:jc w:val="center"/>
              <w:rPr/>
            </w:pPr>
            <w:r>
              <w:rPr/>
              <w:t> </w:t>
            </w:r>
          </w:p>
        </w:tc>
      </w:tr>
      <w:tr>
        <w:trPr/>
        <w:tc>
          <w:tcPr>
            <w:tcW w:w="3116"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191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2009</w:t>
            </w:r>
          </w:p>
        </w:tc>
        <w:tc>
          <w:tcPr>
            <w:tcW w:w="192" w:type="dxa"/>
            <w:tcBorders/>
            <w:shd w:fill="auto" w:val="clear"/>
            <w:vAlign w:val="bottom"/>
          </w:tcPr>
          <w:p>
            <w:pPr>
              <w:pStyle w:val="TableContents"/>
              <w:spacing w:before="0" w:after="0"/>
              <w:ind w:left="0" w:right="0" w:hanging="0"/>
              <w:jc w:val="center"/>
              <w:rPr/>
            </w:pPr>
            <w:r>
              <w:rPr/>
              <w:t> </w:t>
            </w:r>
          </w:p>
        </w:tc>
        <w:tc>
          <w:tcPr>
            <w:tcW w:w="191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92" w:type="dxa"/>
            <w:tcBorders/>
            <w:shd w:fill="auto" w:val="clear"/>
            <w:vAlign w:val="bottom"/>
          </w:tcPr>
          <w:p>
            <w:pPr>
              <w:pStyle w:val="TableContents"/>
              <w:spacing w:before="0" w:after="0"/>
              <w:ind w:left="0" w:right="0" w:hanging="0"/>
              <w:jc w:val="center"/>
              <w:rPr/>
            </w:pPr>
            <w:r>
              <w:rPr/>
              <w:t> </w:t>
            </w:r>
          </w:p>
        </w:tc>
        <w:tc>
          <w:tcPr>
            <w:tcW w:w="194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18" w:type="dxa"/>
            <w:tcBorders/>
            <w:shd w:fill="auto" w:val="clear"/>
            <w:vAlign w:val="bottom"/>
          </w:tcPr>
          <w:p>
            <w:pPr>
              <w:pStyle w:val="TableContents"/>
              <w:spacing w:before="0" w:after="0"/>
              <w:ind w:left="0" w:right="0" w:hanging="0"/>
              <w:jc w:val="center"/>
              <w:rPr/>
            </w:pPr>
            <w:r>
              <w:rPr/>
              <w:t> </w:t>
            </w:r>
          </w:p>
        </w:tc>
      </w:tr>
      <w:tr>
        <w:trPr/>
        <w:tc>
          <w:tcPr>
            <w:tcW w:w="3116"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97" w:type="dxa"/>
            <w:tcBorders/>
            <w:shd w:fill="auto" w:val="clear"/>
            <w:vAlign w:val="bottom"/>
          </w:tcPr>
          <w:p>
            <w:pPr>
              <w:pStyle w:val="TableContents"/>
              <w:spacing w:before="0" w:after="0"/>
              <w:ind w:left="0" w:right="0" w:hanging="0"/>
              <w:jc w:val="center"/>
              <w:rPr/>
            </w:pPr>
            <w:r>
              <w:rPr/>
              <w:t> </w:t>
            </w:r>
          </w:p>
        </w:tc>
        <w:tc>
          <w:tcPr>
            <w:tcW w:w="8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92" w:type="dxa"/>
            <w:tcBorders/>
            <w:shd w:fill="auto" w:val="clear"/>
            <w:vAlign w:val="bottom"/>
          </w:tcPr>
          <w:p>
            <w:pPr>
              <w:pStyle w:val="TableContents"/>
              <w:spacing w:before="0" w:after="0"/>
              <w:ind w:left="0" w:right="0" w:hanging="0"/>
              <w:jc w:val="center"/>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97" w:type="dxa"/>
            <w:tcBorders/>
            <w:shd w:fill="auto" w:val="clear"/>
            <w:vAlign w:val="bottom"/>
          </w:tcPr>
          <w:p>
            <w:pPr>
              <w:pStyle w:val="TableContents"/>
              <w:spacing w:before="0" w:after="0"/>
              <w:ind w:left="0" w:right="0" w:hanging="0"/>
              <w:jc w:val="center"/>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92" w:type="dxa"/>
            <w:tcBorders/>
            <w:shd w:fill="auto" w:val="clear"/>
            <w:vAlign w:val="bottom"/>
          </w:tcPr>
          <w:p>
            <w:pPr>
              <w:pStyle w:val="TableContents"/>
              <w:spacing w:before="0" w:after="0"/>
              <w:ind w:left="0" w:right="0" w:hanging="0"/>
              <w:jc w:val="center"/>
              <w:rPr/>
            </w:pPr>
            <w:r>
              <w:rPr/>
              <w:t> </w:t>
            </w:r>
          </w:p>
        </w:tc>
        <w:tc>
          <w:tcPr>
            <w:tcW w:w="84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95" w:type="dxa"/>
            <w:tcBorders/>
            <w:shd w:fill="auto" w:val="clear"/>
            <w:vAlign w:val="bottom"/>
          </w:tcPr>
          <w:p>
            <w:pPr>
              <w:pStyle w:val="TableContents"/>
              <w:spacing w:before="0" w:after="0"/>
              <w:ind w:left="0" w:right="0" w:hanging="0"/>
              <w:jc w:val="center"/>
              <w:rPr/>
            </w:pPr>
            <w:r>
              <w:rPr/>
              <w:t> </w:t>
            </w:r>
          </w:p>
        </w:tc>
        <w:tc>
          <w:tcPr>
            <w:tcW w:w="9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18" w:type="dxa"/>
            <w:tcBorders/>
            <w:shd w:fill="auto" w:val="clear"/>
            <w:vAlign w:val="bottom"/>
          </w:tcPr>
          <w:p>
            <w:pPr>
              <w:pStyle w:val="TableContents"/>
              <w:spacing w:before="0" w:after="0"/>
              <w:ind w:left="0" w:right="0" w:hanging="0"/>
              <w:jc w:val="center"/>
              <w:rPr/>
            </w:pPr>
            <w:r>
              <w:rPr/>
              <w:t> </w:t>
            </w:r>
          </w:p>
        </w:tc>
      </w:tr>
      <w:tr>
        <w:trPr/>
        <w:tc>
          <w:tcPr>
            <w:tcW w:w="3116" w:type="dxa"/>
            <w:tcBorders/>
            <w:shd w:fill="auto" w:val="clear"/>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861"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847"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905"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311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Reconciliation to Net Income</w:t>
            </w:r>
          </w:p>
        </w:tc>
        <w:tc>
          <w:tcPr>
            <w:tcW w:w="192"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861"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847"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905"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31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EBITDA </w:t>
            </w:r>
          </w:p>
        </w:tc>
        <w:tc>
          <w:tcPr>
            <w:tcW w:w="192"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197"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228</w:t>
            </w:r>
          </w:p>
        </w:tc>
        <w:tc>
          <w:tcPr>
            <w:tcW w:w="192"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454</w:t>
            </w:r>
          </w:p>
        </w:tc>
        <w:tc>
          <w:tcPr>
            <w:tcW w:w="197"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484</w:t>
            </w:r>
          </w:p>
        </w:tc>
        <w:tc>
          <w:tcPr>
            <w:tcW w:w="192" w:type="dxa"/>
            <w:tcBorders/>
            <w:shd w:fill="auto" w:val="clear"/>
            <w:vAlign w:val="bottom"/>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983</w:t>
            </w:r>
          </w:p>
        </w:tc>
        <w:tc>
          <w:tcPr>
            <w:tcW w:w="195" w:type="dxa"/>
            <w:tcBorders/>
            <w:shd w:fill="auto" w:val="clear"/>
            <w:vAlign w:val="bottom"/>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1,033</w:t>
            </w:r>
          </w:p>
        </w:tc>
        <w:tc>
          <w:tcPr>
            <w:tcW w:w="118" w:type="dxa"/>
            <w:tcBorders/>
            <w:shd w:fill="auto" w:val="clear"/>
            <w:vAlign w:val="bottom"/>
          </w:tcPr>
          <w:p>
            <w:pPr>
              <w:pStyle w:val="TableContents"/>
              <w:spacing w:before="0" w:after="0"/>
              <w:ind w:left="0" w:right="0" w:hanging="0"/>
              <w:rPr/>
            </w:pPr>
            <w:r>
              <w:rPr/>
              <w:t> </w:t>
            </w:r>
          </w:p>
        </w:tc>
      </w:tr>
      <w:tr>
        <w:trPr/>
        <w:tc>
          <w:tcPr>
            <w:tcW w:w="31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w:t>
            </w:r>
          </w:p>
        </w:tc>
        <w:tc>
          <w:tcPr>
            <w:tcW w:w="192" w:type="dxa"/>
            <w:tcBorders/>
            <w:shd w:fill="CCEEFF"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97" w:type="dxa"/>
            <w:tcBorders/>
            <w:shd w:fill="CCEEFF" w:val="clear"/>
            <w:vAlign w:val="bottom"/>
          </w:tcPr>
          <w:p>
            <w:pPr>
              <w:pStyle w:val="TableContents"/>
              <w:spacing w:before="0" w:after="0"/>
              <w:ind w:left="0" w:right="0" w:hanging="0"/>
              <w:rPr/>
            </w:pPr>
            <w:r>
              <w:rPr/>
              <w:t> </w:t>
            </w:r>
          </w:p>
        </w:tc>
        <w:tc>
          <w:tcPr>
            <w:tcW w:w="8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92" w:type="dxa"/>
            <w:tcBorders/>
            <w:shd w:fill="CCEEFF"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197" w:type="dxa"/>
            <w:tcBorders/>
            <w:shd w:fill="CCEEFF"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192" w:type="dxa"/>
            <w:tcBorders/>
            <w:shd w:fill="CCEEFF" w:val="clear"/>
            <w:vAlign w:val="bottom"/>
          </w:tcPr>
          <w:p>
            <w:pPr>
              <w:pStyle w:val="TableContents"/>
              <w:spacing w:before="0" w:after="0"/>
              <w:ind w:left="0" w:right="0" w:hanging="0"/>
              <w:rPr/>
            </w:pPr>
            <w:r>
              <w:rPr/>
              <w:t> </w:t>
            </w:r>
          </w:p>
        </w:tc>
        <w:tc>
          <w:tcPr>
            <w:tcW w:w="8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w:t>
            </w:r>
          </w:p>
        </w:tc>
        <w:tc>
          <w:tcPr>
            <w:tcW w:w="195" w:type="dxa"/>
            <w:tcBorders/>
            <w:shd w:fill="CCEEFF" w:val="clear"/>
            <w:vAlign w:val="bottom"/>
          </w:tcPr>
          <w:p>
            <w:pPr>
              <w:pStyle w:val="TableContents"/>
              <w:spacing w:before="0" w:after="0"/>
              <w:ind w:left="0" w:right="0" w:hanging="0"/>
              <w:rPr/>
            </w:pPr>
            <w:r>
              <w:rPr/>
              <w:t> </w:t>
            </w:r>
          </w:p>
        </w:tc>
        <w:tc>
          <w:tcPr>
            <w:tcW w:w="9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226</w:t>
            </w:r>
          </w:p>
        </w:tc>
        <w:tc>
          <w:tcPr>
            <w:tcW w:w="118" w:type="dxa"/>
            <w:tcBorders/>
            <w:shd w:fill="CCEEFF" w:val="clear"/>
            <w:vAlign w:val="bottom"/>
          </w:tcPr>
          <w:p>
            <w:pPr>
              <w:pStyle w:val="TableContents"/>
              <w:spacing w:before="0" w:after="0"/>
              <w:ind w:left="0" w:right="0" w:hanging="0"/>
              <w:rPr/>
            </w:pPr>
            <w:r>
              <w:rPr/>
              <w:t> </w:t>
            </w:r>
          </w:p>
        </w:tc>
      </w:tr>
      <w:tr>
        <w:trPr/>
        <w:tc>
          <w:tcPr>
            <w:tcW w:w="31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EBIT </w:t>
            </w:r>
          </w:p>
        </w:tc>
        <w:tc>
          <w:tcPr>
            <w:tcW w:w="192"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97" w:type="dxa"/>
            <w:tcBorders/>
            <w:shd w:fill="auto" w:val="clear"/>
            <w:vAlign w:val="bottom"/>
          </w:tcPr>
          <w:p>
            <w:pPr>
              <w:pStyle w:val="TableContents"/>
              <w:spacing w:before="0" w:after="0"/>
              <w:ind w:left="0" w:right="0" w:hanging="0"/>
              <w:rPr/>
            </w:pPr>
            <w:r>
              <w:rPr/>
              <w:t> </w:t>
            </w:r>
          </w:p>
        </w:tc>
        <w:tc>
          <w:tcPr>
            <w:tcW w:w="8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192"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337</w:t>
            </w:r>
          </w:p>
        </w:tc>
        <w:tc>
          <w:tcPr>
            <w:tcW w:w="197"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371</w:t>
            </w:r>
          </w:p>
        </w:tc>
        <w:tc>
          <w:tcPr>
            <w:tcW w:w="192" w:type="dxa"/>
            <w:tcBorders/>
            <w:shd w:fill="auto" w:val="clear"/>
            <w:vAlign w:val="bottom"/>
          </w:tcPr>
          <w:p>
            <w:pPr>
              <w:pStyle w:val="TableContents"/>
              <w:spacing w:before="0" w:after="0"/>
              <w:ind w:left="0" w:right="0" w:hanging="0"/>
              <w:rPr/>
            </w:pPr>
            <w:r>
              <w:rPr/>
              <w:t> </w:t>
            </w:r>
          </w:p>
        </w:tc>
        <w:tc>
          <w:tcPr>
            <w:tcW w:w="8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751</w:t>
            </w:r>
          </w:p>
        </w:tc>
        <w:tc>
          <w:tcPr>
            <w:tcW w:w="195" w:type="dxa"/>
            <w:tcBorders/>
            <w:shd w:fill="auto" w:val="clear"/>
            <w:vAlign w:val="bottom"/>
          </w:tcPr>
          <w:p>
            <w:pPr>
              <w:pStyle w:val="TableContents"/>
              <w:spacing w:before="0" w:after="0"/>
              <w:ind w:left="0" w:right="0" w:hanging="0"/>
              <w:rPr/>
            </w:pPr>
            <w:r>
              <w:rPr/>
              <w:t> </w:t>
            </w:r>
          </w:p>
        </w:tc>
        <w:tc>
          <w:tcPr>
            <w:tcW w:w="9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807</w:t>
            </w:r>
          </w:p>
        </w:tc>
        <w:tc>
          <w:tcPr>
            <w:tcW w:w="118" w:type="dxa"/>
            <w:tcBorders/>
            <w:shd w:fill="auto" w:val="clear"/>
            <w:vAlign w:val="bottom"/>
          </w:tcPr>
          <w:p>
            <w:pPr>
              <w:pStyle w:val="TableContents"/>
              <w:spacing w:before="0" w:after="0"/>
              <w:ind w:left="0" w:right="0" w:hanging="0"/>
              <w:rPr/>
            </w:pPr>
            <w:r>
              <w:rPr/>
              <w:t> </w:t>
            </w:r>
          </w:p>
        </w:tc>
      </w:tr>
      <w:tr>
        <w:trPr/>
        <w:tc>
          <w:tcPr>
            <w:tcW w:w="31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w:t>
            </w:r>
          </w:p>
        </w:tc>
        <w:tc>
          <w:tcPr>
            <w:tcW w:w="192"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97" w:type="dxa"/>
            <w:tcBorders/>
            <w:shd w:fill="CCEEFF" w:val="clear"/>
            <w:vAlign w:val="bottom"/>
          </w:tcPr>
          <w:p>
            <w:pPr>
              <w:pStyle w:val="TableContents"/>
              <w:spacing w:before="0" w:after="0"/>
              <w:ind w:left="0" w:right="0" w:hanging="0"/>
              <w:rPr/>
            </w:pPr>
            <w:r>
              <w:rPr/>
              <w:t> </w:t>
            </w:r>
          </w:p>
        </w:tc>
        <w:tc>
          <w:tcPr>
            <w:tcW w:w="8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92"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197"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192" w:type="dxa"/>
            <w:tcBorders/>
            <w:shd w:fill="CCEEFF" w:val="clear"/>
            <w:vAlign w:val="bottom"/>
          </w:tcPr>
          <w:p>
            <w:pPr>
              <w:pStyle w:val="TableContents"/>
              <w:spacing w:before="0" w:after="0"/>
              <w:ind w:left="0" w:right="0" w:hanging="0"/>
              <w:rPr/>
            </w:pPr>
            <w:r>
              <w:rPr/>
              <w:t> </w:t>
            </w:r>
          </w:p>
        </w:tc>
        <w:tc>
          <w:tcPr>
            <w:tcW w:w="8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226</w:t>
            </w:r>
          </w:p>
        </w:tc>
        <w:tc>
          <w:tcPr>
            <w:tcW w:w="195" w:type="dxa"/>
            <w:tcBorders/>
            <w:shd w:fill="CCEEFF" w:val="clear"/>
            <w:vAlign w:val="bottom"/>
          </w:tcPr>
          <w:p>
            <w:pPr>
              <w:pStyle w:val="TableContents"/>
              <w:spacing w:before="0" w:after="0"/>
              <w:ind w:left="0" w:right="0" w:hanging="0"/>
              <w:rPr/>
            </w:pPr>
            <w:r>
              <w:rPr/>
              <w:t> </w:t>
            </w:r>
          </w:p>
        </w:tc>
        <w:tc>
          <w:tcPr>
            <w:tcW w:w="9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118" w:type="dxa"/>
            <w:tcBorders/>
            <w:shd w:fill="CCEEFF" w:val="clear"/>
            <w:vAlign w:val="bottom"/>
          </w:tcPr>
          <w:p>
            <w:pPr>
              <w:pStyle w:val="TableContents"/>
              <w:spacing w:before="0" w:after="0"/>
              <w:ind w:left="0" w:right="0" w:hanging="0"/>
              <w:rPr/>
            </w:pPr>
            <w:r>
              <w:rPr/>
              <w:t> </w:t>
            </w:r>
          </w:p>
        </w:tc>
      </w:tr>
      <w:tr>
        <w:trPr/>
        <w:tc>
          <w:tcPr>
            <w:tcW w:w="31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Income tax expense </w:t>
            </w:r>
          </w:p>
        </w:tc>
        <w:tc>
          <w:tcPr>
            <w:tcW w:w="192" w:type="dxa"/>
            <w:tcBorders/>
            <w:shd w:fill="auto"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7" w:type="dxa"/>
            <w:tcBorders/>
            <w:shd w:fill="auto" w:val="clear"/>
            <w:vAlign w:val="bottom"/>
          </w:tcPr>
          <w:p>
            <w:pPr>
              <w:pStyle w:val="TableContents"/>
              <w:spacing w:before="0" w:after="0"/>
              <w:ind w:left="0" w:right="0" w:hanging="0"/>
              <w:rPr/>
            </w:pPr>
            <w:r>
              <w:rPr/>
              <w:t> </w:t>
            </w:r>
          </w:p>
        </w:tc>
        <w:tc>
          <w:tcPr>
            <w:tcW w:w="8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2" w:type="dxa"/>
            <w:tcBorders/>
            <w:shd w:fill="auto"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7" w:type="dxa"/>
            <w:tcBorders/>
            <w:shd w:fill="auto"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2" w:type="dxa"/>
            <w:tcBorders/>
            <w:shd w:fill="auto" w:val="clear"/>
            <w:vAlign w:val="bottom"/>
          </w:tcPr>
          <w:p>
            <w:pPr>
              <w:pStyle w:val="TableContents"/>
              <w:spacing w:before="0" w:after="0"/>
              <w:ind w:left="0" w:right="0" w:hanging="0"/>
              <w:rPr/>
            </w:pPr>
            <w:r>
              <w:rPr/>
              <w:t> </w:t>
            </w:r>
          </w:p>
        </w:tc>
        <w:tc>
          <w:tcPr>
            <w:tcW w:w="8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95" w:type="dxa"/>
            <w:tcBorders/>
            <w:shd w:fill="auto" w:val="clear"/>
            <w:vAlign w:val="bottom"/>
          </w:tcPr>
          <w:p>
            <w:pPr>
              <w:pStyle w:val="TableContents"/>
              <w:spacing w:before="0" w:after="0"/>
              <w:ind w:left="0" w:right="0" w:hanging="0"/>
              <w:rPr/>
            </w:pPr>
            <w:r>
              <w:rPr/>
              <w:t> </w:t>
            </w:r>
          </w:p>
        </w:tc>
        <w:tc>
          <w:tcPr>
            <w:tcW w:w="9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8" w:type="dxa"/>
            <w:tcBorders/>
            <w:shd w:fill="auto" w:val="clear"/>
            <w:vAlign w:val="bottom"/>
          </w:tcPr>
          <w:p>
            <w:pPr>
              <w:pStyle w:val="TableContents"/>
              <w:spacing w:before="0" w:after="0"/>
              <w:ind w:left="0" w:right="0" w:hanging="0"/>
              <w:rPr/>
            </w:pPr>
            <w:r>
              <w:rPr/>
              <w:t> </w:t>
            </w:r>
          </w:p>
        </w:tc>
      </w:tr>
      <w:tr>
        <w:trPr/>
        <w:tc>
          <w:tcPr>
            <w:tcW w:w="31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92"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97"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192"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197"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254</w:t>
            </w:r>
          </w:p>
        </w:tc>
        <w:tc>
          <w:tcPr>
            <w:tcW w:w="192" w:type="dxa"/>
            <w:tcBorders/>
            <w:shd w:fill="CCEEFF" w:val="clear"/>
            <w:vAlign w:val="bottom"/>
          </w:tcPr>
          <w:p>
            <w:pPr>
              <w:pStyle w:val="TableContents"/>
              <w:spacing w:before="0" w:after="0"/>
              <w:ind w:left="0" w:right="0" w:hanging="0"/>
              <w:rPr/>
            </w:pPr>
            <w:r>
              <w:rPr/>
              <w:t> </w:t>
            </w:r>
          </w:p>
        </w:tc>
        <w:tc>
          <w:tcPr>
            <w:tcW w:w="13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515</w:t>
            </w:r>
          </w:p>
        </w:tc>
        <w:tc>
          <w:tcPr>
            <w:tcW w:w="195" w:type="dxa"/>
            <w:tcBorders/>
            <w:shd w:fill="CCEEFF" w:val="clear"/>
            <w:vAlign w:val="bottom"/>
          </w:tcPr>
          <w:p>
            <w:pPr>
              <w:pStyle w:val="TableContents"/>
              <w:spacing w:before="0" w:after="0"/>
              <w:ind w:left="0" w:right="0" w:hanging="0"/>
              <w:rPr/>
            </w:pPr>
            <w:r>
              <w:rPr/>
              <w:t> </w:t>
            </w:r>
          </w:p>
        </w:tc>
        <w:tc>
          <w:tcPr>
            <w:tcW w:w="13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11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Forward-Looking Statements and Associated Risks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pStyle w:val="TextBody"/>
        <w:spacing w:before="0" w:after="0"/>
        <w:ind w:left="0" w:right="0" w:hanging="0"/>
        <w:rPr/>
      </w:pPr>
      <w:r>
        <w:rPr/>
        <w:t> </w:t>
      </w:r>
    </w:p>
    <w:tbl>
      <w:tblPr>
        <w:tblW w:w="4850" w:type="pct"/>
        <w:jc w:val="left"/>
        <w:tblInd w:w="0" w:type="dxa"/>
        <w:tblCellMar>
          <w:top w:w="0" w:type="dxa"/>
          <w:left w:w="0" w:type="dxa"/>
          <w:bottom w:w="0" w:type="dxa"/>
          <w:right w:w="0" w:type="dxa"/>
        </w:tblCellMar>
      </w:tblPr>
      <w:tblGrid>
        <w:gridCol w:w="302"/>
        <w:gridCol w:w="100"/>
        <w:gridCol w:w="9496"/>
      </w:tblGrid>
      <w:tr>
        <w:trPr/>
        <w:tc>
          <w:tcPr>
            <w:tcW w:w="302"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100" w:type="dxa"/>
            <w:tcBorders/>
            <w:shd w:fill="auto" w:val="clear"/>
            <w:vAlign w:val="bottom"/>
          </w:tcPr>
          <w:p>
            <w:pPr>
              <w:pStyle w:val="TableContents"/>
              <w:spacing w:before="0" w:after="0"/>
              <w:ind w:left="0" w:right="0" w:hanging="0"/>
              <w:rPr/>
            </w:pPr>
            <w:r>
              <w:rPr/>
              <w:t> </w:t>
            </w:r>
          </w:p>
        </w:tc>
        <w:tc>
          <w:tcPr>
            <w:tcW w:w="949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failure to implement or capitalize on planned internal growth projects;</w:t>
            </w:r>
          </w:p>
        </w:tc>
      </w:tr>
      <w:tr>
        <w:trPr/>
        <w:tc>
          <w:tcPr>
            <w:tcW w:w="302"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496" w:type="dxa"/>
            <w:tcBorders/>
            <w:shd w:fill="auto" w:val="clear"/>
          </w:tcPr>
          <w:p>
            <w:pPr>
              <w:pStyle w:val="TableContents"/>
              <w:spacing w:before="0" w:after="0"/>
              <w:ind w:left="0" w:right="0" w:hanging="0"/>
              <w:rPr/>
            </w:pPr>
            <w:r>
              <w:rPr/>
              <w:t> </w:t>
            </w:r>
          </w:p>
        </w:tc>
      </w:tr>
      <w:tr>
        <w:trPr/>
        <w:tc>
          <w:tcPr>
            <w:tcW w:w="302"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100" w:type="dxa"/>
            <w:tcBorders/>
            <w:shd w:fill="auto" w:val="clear"/>
            <w:vAlign w:val="bottom"/>
          </w:tcPr>
          <w:p>
            <w:pPr>
              <w:pStyle w:val="TableContents"/>
              <w:spacing w:before="0" w:after="0"/>
              <w:ind w:left="0" w:right="0" w:hanging="0"/>
              <w:rPr/>
            </w:pPr>
            <w:r>
              <w:rPr/>
              <w:t> </w:t>
            </w:r>
          </w:p>
        </w:tc>
        <w:tc>
          <w:tcPr>
            <w:tcW w:w="949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of our credit rating and ability to receive open credit from our suppliers and trade counterparties;</w:t>
            </w:r>
          </w:p>
        </w:tc>
      </w:tr>
      <w:tr>
        <w:trPr/>
        <w:tc>
          <w:tcPr>
            <w:tcW w:w="302"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496" w:type="dxa"/>
            <w:tcBorders/>
            <w:shd w:fill="auto" w:val="clear"/>
          </w:tcPr>
          <w:p>
            <w:pPr>
              <w:pStyle w:val="TableContents"/>
              <w:spacing w:before="0" w:after="0"/>
              <w:ind w:left="0" w:right="0" w:hanging="0"/>
              <w:rPr/>
            </w:pPr>
            <w:r>
              <w:rPr/>
              <w:t> </w:t>
            </w:r>
          </w:p>
        </w:tc>
      </w:tr>
      <w:tr>
        <w:trPr/>
        <w:tc>
          <w:tcPr>
            <w:tcW w:w="302"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100" w:type="dxa"/>
            <w:tcBorders/>
            <w:shd w:fill="auto" w:val="clear"/>
            <w:vAlign w:val="bottom"/>
          </w:tcPr>
          <w:p>
            <w:pPr>
              <w:pStyle w:val="TableContents"/>
              <w:spacing w:before="0" w:after="0"/>
              <w:ind w:left="0" w:right="0" w:hanging="0"/>
              <w:rPr/>
            </w:pPr>
            <w:r>
              <w:rPr/>
              <w:t> </w:t>
            </w:r>
          </w:p>
        </w:tc>
        <w:tc>
          <w:tcPr>
            <w:tcW w:w="949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continued creditworthiness of, and performance by, our counterparties, including financial institutions and trading companies with which we do business;</w:t>
            </w:r>
          </w:p>
        </w:tc>
      </w:tr>
      <w:tr>
        <w:trPr/>
        <w:tc>
          <w:tcPr>
            <w:tcW w:w="302"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496" w:type="dxa"/>
            <w:tcBorders/>
            <w:shd w:fill="auto" w:val="clear"/>
          </w:tcPr>
          <w:p>
            <w:pPr>
              <w:pStyle w:val="TableContents"/>
              <w:spacing w:before="0" w:after="0"/>
              <w:ind w:left="0" w:right="0" w:hanging="0"/>
              <w:rPr/>
            </w:pPr>
            <w:r>
              <w:rPr/>
              <w:t> </w:t>
            </w:r>
          </w:p>
        </w:tc>
      </w:tr>
      <w:tr>
        <w:trPr/>
        <w:tc>
          <w:tcPr>
            <w:tcW w:w="302"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100" w:type="dxa"/>
            <w:tcBorders/>
            <w:shd w:fill="auto" w:val="clear"/>
            <w:vAlign w:val="bottom"/>
          </w:tcPr>
          <w:p>
            <w:pPr>
              <w:pStyle w:val="TableContents"/>
              <w:spacing w:before="0" w:after="0"/>
              <w:ind w:left="0" w:right="0" w:hanging="0"/>
              <w:rPr/>
            </w:pPr>
            <w:r>
              <w:rPr/>
              <w:t> </w:t>
            </w:r>
          </w:p>
        </w:tc>
        <w:tc>
          <w:tcPr>
            <w:tcW w:w="949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success of our risk management activities;</w:t>
            </w:r>
          </w:p>
        </w:tc>
      </w:tr>
      <w:tr>
        <w:trPr/>
        <w:tc>
          <w:tcPr>
            <w:tcW w:w="302"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496" w:type="dxa"/>
            <w:tcBorders/>
            <w:shd w:fill="auto" w:val="clear"/>
          </w:tcPr>
          <w:p>
            <w:pPr>
              <w:pStyle w:val="TableContents"/>
              <w:spacing w:before="0" w:after="0"/>
              <w:ind w:left="0" w:right="0" w:hanging="0"/>
              <w:rPr/>
            </w:pPr>
            <w:r>
              <w:rPr/>
              <w:t> </w:t>
            </w:r>
          </w:p>
        </w:tc>
      </w:tr>
      <w:tr>
        <w:trPr/>
        <w:tc>
          <w:tcPr>
            <w:tcW w:w="302"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100" w:type="dxa"/>
            <w:tcBorders/>
            <w:shd w:fill="auto" w:val="clear"/>
            <w:vAlign w:val="bottom"/>
          </w:tcPr>
          <w:p>
            <w:pPr>
              <w:pStyle w:val="TableContents"/>
              <w:spacing w:before="0" w:after="0"/>
              <w:ind w:left="0" w:right="0" w:hanging="0"/>
              <w:rPr/>
            </w:pPr>
            <w:r>
              <w:rPr/>
              <w:t> </w:t>
            </w:r>
          </w:p>
        </w:tc>
        <w:tc>
          <w:tcPr>
            <w:tcW w:w="949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environmental liabilities or events that are not covered by an indemnity, insurance or existing reserves;</w:t>
            </w:r>
          </w:p>
        </w:tc>
      </w:tr>
      <w:tr>
        <w:trPr/>
        <w:tc>
          <w:tcPr>
            <w:tcW w:w="302"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496" w:type="dxa"/>
            <w:tcBorders/>
            <w:shd w:fill="auto" w:val="clear"/>
          </w:tcPr>
          <w:p>
            <w:pPr>
              <w:pStyle w:val="TableContents"/>
              <w:spacing w:before="0" w:after="0"/>
              <w:ind w:left="0" w:right="0" w:hanging="0"/>
              <w:rPr/>
            </w:pPr>
            <w:r>
              <w:rPr/>
              <w:t> </w:t>
            </w:r>
          </w:p>
        </w:tc>
      </w:tr>
      <w:tr>
        <w:trPr/>
        <w:tc>
          <w:tcPr>
            <w:tcW w:w="302"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100" w:type="dxa"/>
            <w:tcBorders/>
            <w:shd w:fill="auto" w:val="clear"/>
            <w:vAlign w:val="bottom"/>
          </w:tcPr>
          <w:p>
            <w:pPr>
              <w:pStyle w:val="TableContents"/>
              <w:spacing w:before="0" w:after="0"/>
              <w:ind w:left="0" w:right="0" w:hanging="0"/>
              <w:rPr/>
            </w:pPr>
            <w:r>
              <w:rPr/>
              <w:t> </w:t>
            </w:r>
          </w:p>
        </w:tc>
        <w:tc>
          <w:tcPr>
            <w:tcW w:w="949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abrupt or severe declines or interruptions in outer continental shelf production located offshore California and transported on our pipeline systems;</w:t>
            </w:r>
          </w:p>
        </w:tc>
      </w:tr>
      <w:tr>
        <w:trPr/>
        <w:tc>
          <w:tcPr>
            <w:tcW w:w="302"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496" w:type="dxa"/>
            <w:tcBorders/>
            <w:shd w:fill="auto" w:val="clear"/>
          </w:tcPr>
          <w:p>
            <w:pPr>
              <w:pStyle w:val="TableContents"/>
              <w:spacing w:before="0" w:after="0"/>
              <w:ind w:left="0" w:right="0" w:hanging="0"/>
              <w:rPr/>
            </w:pPr>
            <w:r>
              <w:rPr/>
              <w:t> </w:t>
            </w:r>
          </w:p>
        </w:tc>
      </w:tr>
      <w:tr>
        <w:trPr/>
        <w:tc>
          <w:tcPr>
            <w:tcW w:w="302"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100" w:type="dxa"/>
            <w:tcBorders/>
            <w:shd w:fill="auto" w:val="clear"/>
            <w:vAlign w:val="bottom"/>
          </w:tcPr>
          <w:p>
            <w:pPr>
              <w:pStyle w:val="TableContents"/>
              <w:spacing w:before="0" w:after="0"/>
              <w:ind w:left="0" w:right="0" w:hanging="0"/>
              <w:rPr/>
            </w:pPr>
            <w:r>
              <w:rPr/>
              <w:t> </w:t>
            </w:r>
          </w:p>
        </w:tc>
        <w:tc>
          <w:tcPr>
            <w:tcW w:w="949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shortages or cost increases of power supplies, materials or labor;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4850" w:type="pct"/>
        <w:jc w:val="left"/>
        <w:tblInd w:w="0" w:type="dxa"/>
        <w:tblCellMar>
          <w:top w:w="0" w:type="dxa"/>
          <w:left w:w="0" w:type="dxa"/>
          <w:bottom w:w="0" w:type="dxa"/>
          <w:right w:w="0" w:type="dxa"/>
        </w:tblCellMar>
      </w:tblPr>
      <w:tblGrid>
        <w:gridCol w:w="301"/>
        <w:gridCol w:w="100"/>
        <w:gridCol w:w="9497"/>
      </w:tblGrid>
      <w:tr>
        <w:trPr/>
        <w:tc>
          <w:tcPr>
            <w:tcW w:w="30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tc>
      </w:tr>
      <w:tr>
        <w:trPr/>
        <w:tc>
          <w:tcPr>
            <w:tcW w:w="301"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pPr>
            <w:r>
              <w:rPr/>
              <w:t> </w:t>
            </w:r>
          </w:p>
        </w:tc>
      </w:tr>
      <w:tr>
        <w:trPr/>
        <w:tc>
          <w:tcPr>
            <w:tcW w:w="30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fluctuations in refinery capacity in areas supplied by our mainlines and other factors affecting demand for various grades of crude oil, refined products and natural gas and resulting changes in pricing conditions or transportation throughput requirements;</w:t>
            </w:r>
          </w:p>
        </w:tc>
      </w:tr>
      <w:tr>
        <w:trPr/>
        <w:tc>
          <w:tcPr>
            <w:tcW w:w="301"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pPr>
            <w:r>
              <w:rPr/>
              <w:t> </w:t>
            </w:r>
          </w:p>
        </w:tc>
      </w:tr>
      <w:tr>
        <w:trPr/>
        <w:tc>
          <w:tcPr>
            <w:tcW w:w="30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availability of, and our ability to consummate, acquisition or combination opportunities,</w:t>
            </w:r>
          </w:p>
        </w:tc>
      </w:tr>
      <w:tr>
        <w:trPr/>
        <w:tc>
          <w:tcPr>
            <w:tcW w:w="301"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pPr>
            <w:r>
              <w:rPr/>
              <w:t> </w:t>
            </w:r>
          </w:p>
        </w:tc>
      </w:tr>
      <w:tr>
        <w:trPr/>
        <w:tc>
          <w:tcPr>
            <w:tcW w:w="30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our ability to obtain debt or equity financing on satisfactory terms to fund additional acquisitions, expansion projects, working capital requirements and the repayment or refinancing of indebtedness;</w:t>
            </w:r>
          </w:p>
        </w:tc>
      </w:tr>
      <w:tr>
        <w:trPr/>
        <w:tc>
          <w:tcPr>
            <w:tcW w:w="301"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pPr>
            <w:r>
              <w:rPr/>
              <w:t> </w:t>
            </w:r>
          </w:p>
        </w:tc>
      </w:tr>
      <w:tr>
        <w:trPr/>
        <w:tc>
          <w:tcPr>
            <w:tcW w:w="30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w:t>
            </w:r>
          </w:p>
        </w:tc>
      </w:tr>
      <w:tr>
        <w:trPr/>
        <w:tc>
          <w:tcPr>
            <w:tcW w:w="301"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pPr>
            <w:r>
              <w:rPr/>
              <w:t> </w:t>
            </w:r>
          </w:p>
        </w:tc>
      </w:tr>
      <w:tr>
        <w:trPr/>
        <w:tc>
          <w:tcPr>
            <w:tcW w:w="30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unanticipated changes in crude oil market structure and volatility (or lack thereof);</w:t>
            </w:r>
          </w:p>
        </w:tc>
      </w:tr>
      <w:tr>
        <w:trPr/>
        <w:tc>
          <w:tcPr>
            <w:tcW w:w="301"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pPr>
            <w:r>
              <w:rPr/>
              <w:t> </w:t>
            </w:r>
          </w:p>
        </w:tc>
      </w:tr>
      <w:tr>
        <w:trPr/>
        <w:tc>
          <w:tcPr>
            <w:tcW w:w="30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impact of current and future laws, rulings, governmental regulations, accounting standards and statements and related interpretations;</w:t>
            </w:r>
          </w:p>
        </w:tc>
      </w:tr>
      <w:tr>
        <w:trPr/>
        <w:tc>
          <w:tcPr>
            <w:tcW w:w="301"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pPr>
            <w:r>
              <w:rPr/>
              <w:t> </w:t>
            </w:r>
          </w:p>
        </w:tc>
      </w:tr>
      <w:tr>
        <w:trPr/>
        <w:tc>
          <w:tcPr>
            <w:tcW w:w="30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effects of competition;</w:t>
            </w:r>
          </w:p>
        </w:tc>
      </w:tr>
      <w:tr>
        <w:trPr/>
        <w:tc>
          <w:tcPr>
            <w:tcW w:w="301"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pPr>
            <w:r>
              <w:rPr/>
              <w:t> </w:t>
            </w:r>
          </w:p>
        </w:tc>
      </w:tr>
      <w:tr>
        <w:trPr/>
        <w:tc>
          <w:tcPr>
            <w:tcW w:w="30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interruptions in service and fluctuations in tariffs or volumes on third-party pipelines;</w:t>
            </w:r>
          </w:p>
        </w:tc>
      </w:tr>
      <w:tr>
        <w:trPr/>
        <w:tc>
          <w:tcPr>
            <w:tcW w:w="301"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pPr>
            <w:r>
              <w:rPr/>
              <w:t> </w:t>
            </w:r>
          </w:p>
        </w:tc>
      </w:tr>
      <w:tr>
        <w:trPr/>
        <w:tc>
          <w:tcPr>
            <w:tcW w:w="30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increased costs or lack of availability of insurance:</w:t>
            </w:r>
          </w:p>
        </w:tc>
      </w:tr>
      <w:tr>
        <w:trPr/>
        <w:tc>
          <w:tcPr>
            <w:tcW w:w="301"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pPr>
            <w:r>
              <w:rPr/>
              <w:t> </w:t>
            </w:r>
          </w:p>
        </w:tc>
      </w:tr>
      <w:tr>
        <w:trPr/>
        <w:tc>
          <w:tcPr>
            <w:tcW w:w="30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fluctuations in the debt and equity markets, including the price of our units at the time of vesting under our long-term incentive plans;</w:t>
            </w:r>
          </w:p>
        </w:tc>
      </w:tr>
      <w:tr>
        <w:trPr/>
        <w:tc>
          <w:tcPr>
            <w:tcW w:w="301"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pPr>
            <w:r>
              <w:rPr/>
              <w:t> </w:t>
            </w:r>
          </w:p>
        </w:tc>
      </w:tr>
      <w:tr>
        <w:trPr/>
        <w:tc>
          <w:tcPr>
            <w:tcW w:w="30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currency exchange rate of the Canadian dollar;</w:t>
            </w:r>
          </w:p>
        </w:tc>
      </w:tr>
      <w:tr>
        <w:trPr/>
        <w:tc>
          <w:tcPr>
            <w:tcW w:w="301"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pPr>
            <w:r>
              <w:rPr/>
              <w:t> </w:t>
            </w:r>
          </w:p>
        </w:tc>
      </w:tr>
      <w:tr>
        <w:trPr/>
        <w:tc>
          <w:tcPr>
            <w:tcW w:w="30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weather interference with business operations or project construction;</w:t>
            </w:r>
          </w:p>
        </w:tc>
      </w:tr>
      <w:tr>
        <w:trPr/>
        <w:tc>
          <w:tcPr>
            <w:tcW w:w="301"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pPr>
            <w:r>
              <w:rPr/>
              <w:t> </w:t>
            </w:r>
          </w:p>
        </w:tc>
      </w:tr>
      <w:tr>
        <w:trPr/>
        <w:tc>
          <w:tcPr>
            <w:tcW w:w="30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risks related to the development and operation of natural gas storage facilities;</w:t>
            </w:r>
          </w:p>
        </w:tc>
      </w:tr>
      <w:tr>
        <w:trPr/>
        <w:tc>
          <w:tcPr>
            <w:tcW w:w="301"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pPr>
            <w:r>
              <w:rPr/>
              <w:t> </w:t>
            </w:r>
          </w:p>
        </w:tc>
      </w:tr>
      <w:tr>
        <w:trPr/>
        <w:tc>
          <w:tcPr>
            <w:tcW w:w="30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future developments and circumstances at the time distributions are declared;</w:t>
            </w:r>
          </w:p>
        </w:tc>
      </w:tr>
      <w:tr>
        <w:trPr/>
        <w:tc>
          <w:tcPr>
            <w:tcW w:w="301"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pPr>
            <w:r>
              <w:rPr/>
              <w:t> </w:t>
            </w:r>
          </w:p>
        </w:tc>
      </w:tr>
      <w:tr>
        <w:trPr/>
        <w:tc>
          <w:tcPr>
            <w:tcW w:w="30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economic, market or business conditions and the amplification of other risks caused by deteriorated financial markets, capital constraints and pervasive liquidity concerns; and</w:t>
            </w:r>
          </w:p>
        </w:tc>
      </w:tr>
      <w:tr>
        <w:trPr/>
        <w:tc>
          <w:tcPr>
            <w:tcW w:w="301"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pPr>
            <w:r>
              <w:rPr/>
              <w:t> </w:t>
            </w:r>
          </w:p>
        </w:tc>
      </w:tr>
      <w:tr>
        <w:trPr/>
        <w:tc>
          <w:tcPr>
            <w:tcW w:w="30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100" w:type="dxa"/>
            <w:tcBorders/>
            <w:shd w:fill="auto" w:val="clear"/>
            <w:vAlign w:val="bottom"/>
          </w:tcPr>
          <w:p>
            <w:pPr>
              <w:pStyle w:val="TableContents"/>
              <w:spacing w:before="0" w:after="0"/>
              <w:ind w:left="0" w:right="0" w:hanging="0"/>
              <w:rPr/>
            </w:pPr>
            <w:r>
              <w:rPr/>
              <w:t> </w:t>
            </w:r>
          </w:p>
        </w:tc>
        <w:tc>
          <w:tcPr>
            <w:tcW w:w="94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factors and uncertainties inherent in the transportation, storage, terminalling and marketing of crude oil, refined products and liquefied petroleum gas and other natural gas related petroleum products.</w:t>
            </w:r>
          </w:p>
        </w:tc>
      </w:tr>
    </w:tbl>
    <w:p>
      <w:pPr>
        <w:pStyle w:val="TextBody"/>
        <w:spacing w:before="0" w:after="0"/>
        <w:ind w:left="90" w:right="9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207"/>
        <w:gridCol w:w="416"/>
        <w:gridCol w:w="623"/>
        <w:gridCol w:w="3959"/>
      </w:tblGrid>
      <w:tr>
        <w:trPr/>
        <w:tc>
          <w:tcPr>
            <w:tcW w:w="5207" w:type="dxa"/>
            <w:tcBorders/>
            <w:shd w:fill="auto" w:val="clear"/>
          </w:tcPr>
          <w:p>
            <w:pPr>
              <w:pStyle w:val="TableContents"/>
              <w:spacing w:before="0" w:after="0"/>
              <w:ind w:left="0" w:right="0" w:hanging="0"/>
              <w:rPr/>
            </w:pPr>
            <w:r>
              <w:rPr/>
              <w:t> </w:t>
            </w:r>
          </w:p>
        </w:tc>
        <w:tc>
          <w:tcPr>
            <w:tcW w:w="4998"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207" w:type="dxa"/>
            <w:tcBorders/>
            <w:shd w:fill="auto" w:val="clear"/>
          </w:tcPr>
          <w:p>
            <w:pPr>
              <w:pStyle w:val="TableContents"/>
              <w:spacing w:before="0" w:after="0"/>
              <w:ind w:left="0" w:right="0" w:hanging="0"/>
              <w:rPr/>
            </w:pPr>
            <w:r>
              <w:rPr/>
              <w:t> </w:t>
            </w:r>
          </w:p>
        </w:tc>
        <w:tc>
          <w:tcPr>
            <w:tcW w:w="4998" w:type="dxa"/>
            <w:gridSpan w:val="3"/>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4998"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  PAA GP LLC, its general partner</w:t>
            </w:r>
          </w:p>
        </w:tc>
      </w:tr>
      <w:tr>
        <w:trPr/>
        <w:tc>
          <w:tcPr>
            <w:tcW w:w="5207" w:type="dxa"/>
            <w:tcBorders/>
            <w:shd w:fill="auto" w:val="clear"/>
          </w:tcPr>
          <w:p>
            <w:pPr>
              <w:pStyle w:val="TableContents"/>
              <w:spacing w:before="0" w:after="0"/>
              <w:ind w:left="0" w:right="0" w:hanging="0"/>
              <w:rPr/>
            </w:pPr>
            <w:r>
              <w:rPr/>
              <w:t> </w:t>
            </w:r>
          </w:p>
        </w:tc>
        <w:tc>
          <w:tcPr>
            <w:tcW w:w="4998" w:type="dxa"/>
            <w:gridSpan w:val="3"/>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4998"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  PLAINS AAP, L. P., its sole member</w:t>
            </w:r>
          </w:p>
        </w:tc>
      </w:tr>
      <w:tr>
        <w:trPr/>
        <w:tc>
          <w:tcPr>
            <w:tcW w:w="5207" w:type="dxa"/>
            <w:tcBorders/>
            <w:shd w:fill="auto" w:val="clear"/>
          </w:tcPr>
          <w:p>
            <w:pPr>
              <w:pStyle w:val="TableContents"/>
              <w:spacing w:before="0" w:after="0"/>
              <w:ind w:left="0" w:right="0" w:hanging="0"/>
              <w:rPr/>
            </w:pPr>
            <w:r>
              <w:rPr/>
              <w:t> </w:t>
            </w:r>
          </w:p>
        </w:tc>
        <w:tc>
          <w:tcPr>
            <w:tcW w:w="4998" w:type="dxa"/>
            <w:gridSpan w:val="3"/>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4998"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  PLAINS ALL AMERICAN GP LLC, its general partner</w:t>
            </w:r>
          </w:p>
        </w:tc>
      </w:tr>
      <w:tr>
        <w:trPr/>
        <w:tc>
          <w:tcPr>
            <w:tcW w:w="5207" w:type="dxa"/>
            <w:tcBorders/>
            <w:shd w:fill="auto" w:val="clear"/>
          </w:tcPr>
          <w:p>
            <w:pPr>
              <w:pStyle w:val="TableContents"/>
              <w:spacing w:before="0" w:after="0"/>
              <w:ind w:left="0" w:right="0" w:hanging="0"/>
              <w:rPr/>
            </w:pPr>
            <w:r>
              <w:rPr/>
              <w:t> </w:t>
            </w:r>
          </w:p>
        </w:tc>
        <w:tc>
          <w:tcPr>
            <w:tcW w:w="4998" w:type="dxa"/>
            <w:gridSpan w:val="3"/>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4998" w:type="dxa"/>
            <w:gridSpan w:val="3"/>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May 6, 2009</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82"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r>
      <w:tr>
        <w:trPr/>
        <w:tc>
          <w:tcPr>
            <w:tcW w:w="5207"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9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r>
      <w:tr>
        <w:trPr/>
        <w:tc>
          <w:tcPr>
            <w:tcW w:w="5207"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959" w:type="dxa"/>
            <w:tcBorders/>
            <w:shd w:fill="auto" w:val="clear"/>
          </w:tcPr>
          <w:p>
            <w:pPr>
              <w:pStyle w:val="TableContents"/>
              <w:spacing w:before="0" w:after="0"/>
              <w:ind w:left="0" w:right="0" w:hanging="0"/>
              <w:rPr/>
            </w:pPr>
            <w:r>
              <w:rPr>
                <w:rFonts w:ascii="Times New Roman" w:hAnsi="Times New Roman"/>
                <w:i/>
                <w:sz w:val="17"/>
              </w:rPr>
              <w:t>Senior Vice</w:t>
            </w:r>
            <w:r>
              <w:rPr/>
              <w:t xml:space="preserve"> </w:t>
            </w:r>
            <w:r>
              <w:rPr>
                <w:i/>
                <w:sz w:val="17"/>
              </w:rPr>
              <w:t xml:space="preserve">President and </w:t>
            </w:r>
          </w:p>
          <w:p>
            <w:pPr>
              <w:pStyle w:val="TableContents"/>
              <w:spacing w:before="0" w:after="0"/>
              <w:ind w:left="0" w:right="0" w:hanging="0"/>
              <w:rPr>
                <w:rFonts w:ascii="Times New Roman" w:hAnsi="Times New Roman"/>
                <w:i/>
                <w:sz w:val="17"/>
              </w:rPr>
            </w:pPr>
            <w:r>
              <w:rPr>
                <w:rFonts w:ascii="Times New Roman" w:hAnsi="Times New Roman"/>
                <w:i/>
                <w:sz w:val="17"/>
              </w:rPr>
              <w:t>Chief Financial Officer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2" w:name="a09-12438_1ex99d1.htm"/>
      <w:bookmarkStart w:id="3" w:name="ksa0912438_1ex99d1"/>
      <w:bookmarkEnd w:id="2"/>
      <w:bookmarkEnd w:id="3"/>
      <w:r>
        <w:rPr>
          <w:rFonts w:ascii="Times New Roman" w:hAnsi="Times New Roman"/>
          <w:b/>
          <w:sz w:val="17"/>
        </w:rPr>
        <w:t>Exhibit 99.1</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638"/>
        <w:gridCol w:w="5567"/>
      </w:tblGrid>
      <w:tr>
        <w:trPr/>
        <w:tc>
          <w:tcPr>
            <w:tcW w:w="4638" w:type="dxa"/>
            <w:tcBorders/>
            <w:shd w:fill="auto" w:val="clear"/>
          </w:tcPr>
          <w:p>
            <w:pPr>
              <w:pStyle w:val="TableContents"/>
              <w:spacing w:before="0" w:after="0"/>
              <w:ind w:left="0" w:right="0" w:hanging="0"/>
              <w:rPr/>
            </w:pPr>
            <w:r>
              <w:rPr/>
              <w:drawing>
                <wp:inline distT="0" distB="0" distL="0" distR="0">
                  <wp:extent cx="244792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47925" cy="733425"/>
                          </a:xfrm>
                          <a:prstGeom prst="rect">
                            <a:avLst/>
                          </a:prstGeom>
                        </pic:spPr>
                      </pic:pic>
                    </a:graphicData>
                  </a:graphic>
                </wp:inline>
              </w:drawing>
            </w:r>
          </w:p>
        </w:tc>
        <w:tc>
          <w:tcPr>
            <w:tcW w:w="5567" w:type="dxa"/>
            <w:tcBorders/>
            <w:shd w:fill="auto" w:val="clear"/>
          </w:tcPr>
          <w:p>
            <w:pPr>
              <w:pStyle w:val="TableContents"/>
              <w:spacing w:before="0" w:after="0"/>
              <w:ind w:left="0" w:right="0" w:hanging="0"/>
              <w:jc w:val="right"/>
              <w:rPr/>
            </w:pPr>
            <w:r>
              <w:rPr/>
              <w:drawing>
                <wp:inline distT="0" distB="0" distL="0" distR="0">
                  <wp:extent cx="2571750" cy="704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71750" cy="704850"/>
                          </a:xfrm>
                          <a:prstGeom prst="rect">
                            <a:avLst/>
                          </a:prstGeom>
                        </pic:spPr>
                      </pic:pic>
                    </a:graphicData>
                  </a:graphic>
                </wp:inline>
              </w:drawing>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236"/>
        <w:gridCol w:w="4329"/>
        <w:gridCol w:w="4640"/>
      </w:tblGrid>
      <w:tr>
        <w:trPr/>
        <w:tc>
          <w:tcPr>
            <w:tcW w:w="1236" w:type="dxa"/>
            <w:tcBorders/>
            <w:shd w:fill="auto" w:val="clear"/>
          </w:tcPr>
          <w:p>
            <w:pPr>
              <w:pStyle w:val="TableContents"/>
              <w:spacing w:before="0" w:after="0"/>
              <w:ind w:left="0" w:right="0" w:hanging="0"/>
              <w:rPr/>
            </w:pPr>
            <w:r>
              <w:rPr>
                <w:rFonts w:ascii="Times New Roman" w:hAnsi="Times New Roman"/>
                <w:b/>
                <w:sz w:val="17"/>
                <w:u w:val="single"/>
              </w:rPr>
              <w:t>Contacts</w:t>
            </w:r>
            <w:r>
              <w:rPr>
                <w:b/>
                <w:sz w:val="17"/>
              </w:rPr>
              <w:t>:</w:t>
            </w:r>
          </w:p>
        </w:tc>
        <w:tc>
          <w:tcPr>
            <w:tcW w:w="4329"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Roy I. Lamoreaux</w:t>
            </w:r>
          </w:p>
        </w:tc>
        <w:tc>
          <w:tcPr>
            <w:tcW w:w="464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Al Swanson</w:t>
            </w:r>
          </w:p>
        </w:tc>
      </w:tr>
      <w:tr>
        <w:trPr/>
        <w:tc>
          <w:tcPr>
            <w:tcW w:w="1236" w:type="dxa"/>
            <w:tcBorders/>
            <w:shd w:fill="auto" w:val="clear"/>
          </w:tcPr>
          <w:p>
            <w:pPr>
              <w:pStyle w:val="TableContents"/>
              <w:spacing w:before="0" w:after="0"/>
              <w:ind w:left="0" w:right="0" w:hanging="0"/>
              <w:rPr/>
            </w:pPr>
            <w:r>
              <w:rPr/>
              <w:t> </w:t>
            </w:r>
          </w:p>
        </w:tc>
        <w:tc>
          <w:tcPr>
            <w:tcW w:w="4329"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Manager, Investor Relations</w:t>
            </w:r>
          </w:p>
        </w:tc>
        <w:tc>
          <w:tcPr>
            <w:tcW w:w="464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Senior Vice President, CFO</w:t>
            </w:r>
          </w:p>
        </w:tc>
      </w:tr>
      <w:tr>
        <w:trPr/>
        <w:tc>
          <w:tcPr>
            <w:tcW w:w="1236" w:type="dxa"/>
            <w:tcBorders/>
            <w:shd w:fill="auto" w:val="clear"/>
          </w:tcPr>
          <w:p>
            <w:pPr>
              <w:pStyle w:val="TableContents"/>
              <w:spacing w:before="0" w:after="0"/>
              <w:ind w:left="0" w:right="0" w:hanging="0"/>
              <w:rPr/>
            </w:pPr>
            <w:r>
              <w:rPr/>
              <w:t> </w:t>
            </w:r>
          </w:p>
        </w:tc>
        <w:tc>
          <w:tcPr>
            <w:tcW w:w="4329"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713/646-4222  800/564-3036</w:t>
            </w:r>
          </w:p>
        </w:tc>
        <w:tc>
          <w:tcPr>
            <w:tcW w:w="464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713/646-4455  800/564-3036</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0"/>
        <w:ind w:left="0" w:right="0" w:hanging="0"/>
        <w:rPr/>
      </w:pPr>
      <w:r>
        <w:rPr/>
        <w:t> </w:t>
      </w:r>
    </w:p>
    <w:p>
      <w:pPr>
        <w:pStyle w:val="TextBody"/>
        <w:spacing w:before="0" w:after="0"/>
        <w:ind w:left="0" w:right="0" w:hanging="0"/>
        <w:rPr/>
      </w:pPr>
      <w:r>
        <w:rPr>
          <w:rStyle w:val="StrongEmphasis"/>
          <w:rFonts w:ascii="Times New Roman" w:hAnsi="Times New Roman"/>
          <w:b/>
          <w:sz w:val="17"/>
        </w:rPr>
        <w:t>Plains All American Pipeline, L.P. Reports</w:t>
      </w:r>
    </w:p>
    <w:p>
      <w:pPr>
        <w:pStyle w:val="TextBody"/>
        <w:spacing w:before="0" w:after="0"/>
        <w:ind w:left="0" w:right="0" w:hanging="0"/>
        <w:rPr/>
      </w:pPr>
      <w:r>
        <w:rPr>
          <w:rStyle w:val="StrongEmphasis"/>
          <w:rFonts w:ascii="Times New Roman" w:hAnsi="Times New Roman"/>
          <w:b/>
          <w:sz w:val="17"/>
        </w:rPr>
        <w:t>Strong First-Quarter 2009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(Houston  May 6, 2009) Plains All American Pipeline, L.P. (NYSE: PAA) today reported net income of $211 million, or $1.41 per diluted limited partner unit, for the first quarter of 2009 as compared to net income for the first quarter of 2008 of $92 million, or $0.56 per diluted limited partner unit.  The Partnership reported earnings before interest, taxes, depreciation and amortization (EBITDA) of $321 million for the first quarter of 2009, compared with EBITDA of $180 million for the first quarter of 2008.</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reported results include the impact of items that affect comparability between reporting periods. These items are excluded from adjusted results, as further described in the table below.  Accordingly, the Partnerships first-quarter 2009 adjusted net income, adjusted net income per diluted limited partner unit and adjusted EBITDA were $162 million, $1.02 and $272 million, respectively, as compared to first-quarter 2008 adjusted net income, adjusted net income per diluted limited partner unit and adjusted EBITDA of $103 million, $0.65 and $191 million, respectively. (See the section of this release entitled Non-GAAP Financial Measures and the attached tables for discussion of EBITDA and other non-GAAP financial measures, and reconciliations of such measures to the comparable GAAP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delivered strong first-quarter results that exceeded the high-end of our guidance range. These results were underpinned by solid baseline contributions from fee and fee-equivalent activities from all three of our business segments, stated Greg L. Armstrong, Chairman and CEO of Plains All American.  Additionally, our strategically-located asset base and proven business model enabled us to generate additional margin by capitalizing on the favorable contango market conditions and overall volatility present during the first quarter.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PAA ended the quarter with healthy distribution coverage, a solid balance sheet and significant liquidity.  Including the proceeds from our $350 million senior notes offering completed in mid-April, PAA ended the quarter with approximately $1.8 billion in available committed liquidity, continued Armstrong.  This attractive liquidity position and financial flexibility positions the Partnership to execute its business plan and to pursue attractive acquisition and expansion opportunities during an extended period of strained macroeconomic conditions and unsettled capital markets.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3608"/>
        <w:gridCol w:w="2781"/>
        <w:gridCol w:w="3816"/>
      </w:tblGrid>
      <w:tr>
        <w:trPr/>
        <w:tc>
          <w:tcPr>
            <w:tcW w:w="3608" w:type="dxa"/>
            <w:tcBorders>
              <w:top w:val="single" w:sz="8" w:space="0" w:color="000000"/>
            </w:tcBorders>
            <w:shd w:fill="auto" w:val="clear"/>
          </w:tcPr>
          <w:p>
            <w:pPr>
              <w:pStyle w:val="TableContents"/>
              <w:spacing w:before="0" w:after="0"/>
              <w:ind w:left="0" w:right="0" w:hanging="0"/>
              <w:jc w:val="right"/>
              <w:rPr/>
            </w:pPr>
            <w:r>
              <w:rPr/>
              <w:t> </w:t>
            </w:r>
          </w:p>
        </w:tc>
        <w:tc>
          <w:tcPr>
            <w:tcW w:w="2781" w:type="dxa"/>
            <w:tcBorders>
              <w:top w:val="single" w:sz="8" w:space="0" w:color="000000"/>
            </w:tcBorders>
            <w:shd w:fill="auto" w:val="clear"/>
          </w:tcPr>
          <w:p>
            <w:pPr>
              <w:pStyle w:val="TableContents"/>
              <w:spacing w:before="0" w:after="0"/>
              <w:ind w:left="0" w:right="0" w:hanging="0"/>
              <w:jc w:val="center"/>
              <w:rPr/>
            </w:pPr>
            <w:r>
              <w:rPr/>
              <w:t> </w:t>
            </w:r>
          </w:p>
        </w:tc>
        <w:tc>
          <w:tcPr>
            <w:tcW w:w="3816" w:type="dxa"/>
            <w:tcBorders>
              <w:top w:val="single" w:sz="8" w:space="0" w:color="000000"/>
            </w:tcBorders>
            <w:shd w:fill="auto" w:val="clear"/>
          </w:tcPr>
          <w:p>
            <w:pPr>
              <w:pStyle w:val="TableContents"/>
              <w:spacing w:before="0" w:after="0"/>
              <w:ind w:left="0" w:right="0" w:hanging="0"/>
              <w:rPr/>
            </w:pPr>
            <w:r>
              <w:rPr/>
              <w:t> </w:t>
            </w:r>
          </w:p>
        </w:tc>
      </w:tr>
      <w:tr>
        <w:trPr/>
        <w:tc>
          <w:tcPr>
            <w:tcW w:w="3608" w:type="dxa"/>
            <w:tcBorders/>
            <w:shd w:fill="auto" w:val="clear"/>
            <w:tcMar>
              <w:top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333 Clay Street, Suite 1600</w:t>
            </w:r>
          </w:p>
        </w:tc>
        <w:tc>
          <w:tcPr>
            <w:tcW w:w="2781" w:type="dxa"/>
            <w:tcBorders/>
            <w:shd w:fill="auto" w:val="clear"/>
            <w:tcMar>
              <w:top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Houston, Texas 77002</w:t>
            </w:r>
          </w:p>
        </w:tc>
        <w:tc>
          <w:tcPr>
            <w:tcW w:w="3816" w:type="dxa"/>
            <w:tcBorders/>
            <w:shd w:fill="auto" w:val="clear"/>
            <w:tcMar>
              <w:top w:w="0" w:type="dxa"/>
            </w:tcMar>
          </w:tcPr>
          <w:p>
            <w:pPr>
              <w:pStyle w:val="TableContents"/>
              <w:spacing w:before="0" w:after="0"/>
              <w:ind w:left="0" w:right="0" w:hanging="0"/>
              <w:rPr>
                <w:rFonts w:ascii="Times New Roman" w:hAnsi="Times New Roman"/>
                <w:sz w:val="17"/>
              </w:rPr>
            </w:pPr>
            <w:r>
              <w:rPr>
                <w:rFonts w:ascii="Times New Roman" w:hAnsi="Times New Roman"/>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selected items that the Partnership believes impact comparability of financial results between reporting periods (amounts in millions, except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70"/>
        <w:gridCol w:w="213"/>
        <w:gridCol w:w="134"/>
        <w:gridCol w:w="1094"/>
        <w:gridCol w:w="223"/>
        <w:gridCol w:w="134"/>
        <w:gridCol w:w="1114"/>
        <w:gridCol w:w="123"/>
      </w:tblGrid>
      <w:tr>
        <w:trPr/>
        <w:tc>
          <w:tcPr>
            <w:tcW w:w="7170"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69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23" w:type="dxa"/>
            <w:tcBorders/>
            <w:shd w:fill="auto" w:val="clear"/>
            <w:vAlign w:val="bottom"/>
          </w:tcPr>
          <w:p>
            <w:pPr>
              <w:pStyle w:val="TableContents"/>
              <w:spacing w:before="0" w:after="0"/>
              <w:ind w:left="0" w:right="0" w:hanging="0"/>
              <w:jc w:val="center"/>
              <w:rPr/>
            </w:pPr>
            <w:r>
              <w:rPr/>
              <w:t> </w:t>
            </w:r>
          </w:p>
        </w:tc>
      </w:tr>
      <w:tr>
        <w:trPr/>
        <w:tc>
          <w:tcPr>
            <w:tcW w:w="7170"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69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23" w:type="dxa"/>
            <w:tcBorders/>
            <w:shd w:fill="auto" w:val="clear"/>
            <w:vAlign w:val="bottom"/>
          </w:tcPr>
          <w:p>
            <w:pPr>
              <w:pStyle w:val="TableContents"/>
              <w:spacing w:before="0" w:after="0"/>
              <w:ind w:left="0" w:right="0" w:hanging="0"/>
              <w:jc w:val="center"/>
              <w:rPr/>
            </w:pPr>
            <w:r>
              <w:rPr/>
              <w:t> </w:t>
            </w:r>
          </w:p>
        </w:tc>
      </w:tr>
      <w:tr>
        <w:trPr/>
        <w:tc>
          <w:tcPr>
            <w:tcW w:w="7170"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122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23" w:type="dxa"/>
            <w:tcBorders/>
            <w:shd w:fill="auto" w:val="clear"/>
            <w:vAlign w:val="bottom"/>
          </w:tcPr>
          <w:p>
            <w:pPr>
              <w:pStyle w:val="TableContents"/>
              <w:spacing w:before="0" w:after="0"/>
              <w:ind w:left="0" w:right="0" w:hanging="0"/>
              <w:jc w:val="center"/>
              <w:rPr/>
            </w:pPr>
            <w:r>
              <w:rPr/>
              <w:t> </w:t>
            </w:r>
          </w:p>
        </w:tc>
        <w:tc>
          <w:tcPr>
            <w:tcW w:w="124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23" w:type="dxa"/>
            <w:tcBorders/>
            <w:shd w:fill="auto" w:val="clear"/>
            <w:vAlign w:val="bottom"/>
          </w:tcPr>
          <w:p>
            <w:pPr>
              <w:pStyle w:val="TableContents"/>
              <w:spacing w:before="0" w:after="0"/>
              <w:ind w:left="0" w:right="0" w:hanging="0"/>
              <w:jc w:val="center"/>
              <w:rPr/>
            </w:pPr>
            <w:r>
              <w:rPr/>
              <w:t> </w:t>
            </w:r>
          </w:p>
        </w:tc>
      </w:tr>
      <w:tr>
        <w:trPr/>
        <w:tc>
          <w:tcPr>
            <w:tcW w:w="7170"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Selected items impacting comparability</w:t>
            </w:r>
          </w:p>
        </w:tc>
        <w:tc>
          <w:tcPr>
            <w:tcW w:w="213"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7170" w:type="dxa"/>
            <w:tcBorders/>
            <w:shd w:fill="auto" w:val="clear"/>
          </w:tcPr>
          <w:p>
            <w:pPr>
              <w:pStyle w:val="TableContents"/>
              <w:spacing w:before="0" w:after="0"/>
              <w:ind w:left="0" w:right="0" w:hanging="0"/>
              <w:rPr/>
            </w:pPr>
            <w:r>
              <w:rPr>
                <w:rFonts w:ascii="Times New Roman" w:hAnsi="Times New Roman"/>
                <w:sz w:val="17"/>
              </w:rPr>
              <w:t xml:space="preserve">Equity compensation charge </w:t>
            </w:r>
            <w:r>
              <w:rPr>
                <w:sz w:val="11"/>
              </w:rPr>
              <w:t>(1)</w:t>
            </w:r>
          </w:p>
        </w:tc>
        <w:tc>
          <w:tcPr>
            <w:tcW w:w="213"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70" w:type="dxa"/>
            <w:tcBorders/>
            <w:shd w:fill="CCEEFF" w:val="clear"/>
          </w:tcPr>
          <w:p>
            <w:pPr>
              <w:pStyle w:val="TableContents"/>
              <w:spacing w:before="0" w:after="0"/>
              <w:ind w:left="0" w:right="0" w:hanging="0"/>
              <w:rPr/>
            </w:pPr>
            <w:r>
              <w:rPr>
                <w:rFonts w:ascii="Times New Roman" w:hAnsi="Times New Roman"/>
                <w:sz w:val="17"/>
              </w:rPr>
              <w:t xml:space="preserve">Inventory valuation adjustments net of gains and losses from related derivative activities </w:t>
            </w:r>
            <w:r>
              <w:rPr>
                <w:sz w:val="11"/>
              </w:rPr>
              <w:t>(2)</w:t>
            </w:r>
          </w:p>
        </w:tc>
        <w:tc>
          <w:tcPr>
            <w:tcW w:w="213"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23"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CCEEFF" w:val="clear"/>
            <w:vAlign w:val="bottom"/>
          </w:tcPr>
          <w:p>
            <w:pPr>
              <w:pStyle w:val="TableContents"/>
              <w:spacing w:before="0" w:after="0"/>
              <w:ind w:left="0" w:right="0" w:hanging="0"/>
              <w:rPr/>
            </w:pPr>
            <w:r>
              <w:rPr/>
              <w:t> </w:t>
            </w:r>
          </w:p>
        </w:tc>
      </w:tr>
      <w:tr>
        <w:trPr/>
        <w:tc>
          <w:tcPr>
            <w:tcW w:w="7170" w:type="dxa"/>
            <w:tcBorders/>
            <w:shd w:fill="auto" w:val="clear"/>
          </w:tcPr>
          <w:p>
            <w:pPr>
              <w:pStyle w:val="TableContents"/>
              <w:spacing w:before="0" w:after="0"/>
              <w:ind w:left="0" w:right="0" w:hanging="0"/>
              <w:rPr/>
            </w:pPr>
            <w:r>
              <w:rPr>
                <w:rFonts w:ascii="Times New Roman" w:hAnsi="Times New Roman"/>
                <w:sz w:val="17"/>
              </w:rPr>
              <w:t xml:space="preserve">Gains/(losses) from other derivative activities </w:t>
            </w:r>
            <w:r>
              <w:rPr>
                <w:sz w:val="11"/>
              </w:rPr>
              <w:t>(2) (3)</w:t>
            </w:r>
          </w:p>
        </w:tc>
        <w:tc>
          <w:tcPr>
            <w:tcW w:w="213"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23"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7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gain on foreign currency revaluation</w:t>
            </w:r>
          </w:p>
        </w:tc>
        <w:tc>
          <w:tcPr>
            <w:tcW w:w="213" w:type="dxa"/>
            <w:tcBorders/>
            <w:shd w:fill="CCEEFF" w:val="clear"/>
            <w:vAlign w:val="bottom"/>
          </w:tcPr>
          <w:p>
            <w:pPr>
              <w:pStyle w:val="TableContents"/>
              <w:spacing w:before="0" w:after="0"/>
              <w:ind w:left="0" w:right="0" w:hanging="0"/>
              <w:rPr/>
            </w:pPr>
            <w:r>
              <w:rPr/>
              <w:t> </w:t>
            </w:r>
          </w:p>
        </w:tc>
        <w:tc>
          <w:tcPr>
            <w:tcW w:w="122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3" w:type="dxa"/>
            <w:tcBorders/>
            <w:shd w:fill="CCEEFF"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CCEEFF" w:val="clear"/>
            <w:vAlign w:val="bottom"/>
          </w:tcPr>
          <w:p>
            <w:pPr>
              <w:pStyle w:val="TableContents"/>
              <w:spacing w:before="0" w:after="0"/>
              <w:ind w:left="0" w:right="0" w:hanging="0"/>
              <w:rPr/>
            </w:pPr>
            <w:r>
              <w:rPr/>
              <w:t> </w:t>
            </w:r>
          </w:p>
        </w:tc>
      </w:tr>
      <w:tr>
        <w:trPr/>
        <w:tc>
          <w:tcPr>
            <w:tcW w:w="71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w:t>
            </w:r>
          </w:p>
        </w:tc>
        <w:tc>
          <w:tcPr>
            <w:tcW w:w="213"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23"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7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Less: GP 2% portion of selected items impacting comparability</w:t>
            </w:r>
          </w:p>
        </w:tc>
        <w:tc>
          <w:tcPr>
            <w:tcW w:w="213" w:type="dxa"/>
            <w:tcBorders/>
            <w:shd w:fill="CCEEFF" w:val="clear"/>
            <w:vAlign w:val="bottom"/>
          </w:tcPr>
          <w:p>
            <w:pPr>
              <w:pStyle w:val="TableContents"/>
              <w:spacing w:before="0" w:after="0"/>
              <w:ind w:left="0" w:right="0" w:hanging="0"/>
              <w:rPr/>
            </w:pPr>
            <w:r>
              <w:rPr/>
              <w:t> </w:t>
            </w:r>
          </w:p>
        </w:tc>
        <w:tc>
          <w:tcPr>
            <w:tcW w:w="122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CCEEFF" w:val="clear"/>
            <w:vAlign w:val="bottom"/>
          </w:tcPr>
          <w:p>
            <w:pPr>
              <w:pStyle w:val="TableContents"/>
              <w:spacing w:before="0" w:after="0"/>
              <w:ind w:left="0" w:right="0" w:hanging="0"/>
              <w:rPr/>
            </w:pPr>
            <w:r>
              <w:rPr/>
              <w:t> </w:t>
            </w:r>
          </w:p>
        </w:tc>
      </w:tr>
      <w:tr>
        <w:trPr/>
        <w:tc>
          <w:tcPr>
            <w:tcW w:w="71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LP 98% portion of selected items impacting comparability</w:t>
            </w:r>
          </w:p>
        </w:tc>
        <w:tc>
          <w:tcPr>
            <w:tcW w:w="213" w:type="dxa"/>
            <w:tcBorders/>
            <w:shd w:fill="auto" w:val="clear"/>
            <w:vAlign w:val="bottom"/>
          </w:tcPr>
          <w:p>
            <w:pPr>
              <w:pStyle w:val="TableContents"/>
              <w:spacing w:before="0" w:after="0"/>
              <w:ind w:left="0" w:right="0" w:hanging="0"/>
              <w:rPr/>
            </w:pPr>
            <w:r>
              <w:rPr/>
              <w:t> </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23" w:type="dxa"/>
            <w:tcBorders/>
            <w:shd w:fill="auto" w:val="clear"/>
            <w:vAlign w:val="bottom"/>
          </w:tcPr>
          <w:p>
            <w:pPr>
              <w:pStyle w:val="TableContents"/>
              <w:spacing w:before="0" w:after="0"/>
              <w:ind w:left="0" w:right="0" w:hanging="0"/>
              <w:rPr/>
            </w:pPr>
            <w:r>
              <w:rPr/>
              <w:t> </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70" w:type="dxa"/>
            <w:tcBorders/>
            <w:shd w:fill="CCEEFF" w:val="clear"/>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71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Impact to basic net income per limited partner unit</w:t>
            </w:r>
          </w:p>
        </w:tc>
        <w:tc>
          <w:tcPr>
            <w:tcW w:w="213" w:type="dxa"/>
            <w:tcBorders/>
            <w:shd w:fill="auto" w:val="clear"/>
            <w:vAlign w:val="bottom"/>
          </w:tcPr>
          <w:p>
            <w:pPr>
              <w:pStyle w:val="TableContents"/>
              <w:spacing w:before="0" w:after="0"/>
              <w:ind w:left="0" w:right="0" w:hanging="0"/>
              <w:rPr/>
            </w:pPr>
            <w:r>
              <w:rPr/>
              <w:t> </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0.39</w:t>
            </w:r>
          </w:p>
        </w:tc>
        <w:tc>
          <w:tcPr>
            <w:tcW w:w="223" w:type="dxa"/>
            <w:tcBorders/>
            <w:shd w:fill="auto" w:val="clear"/>
            <w:vAlign w:val="bottom"/>
          </w:tcPr>
          <w:p>
            <w:pPr>
              <w:pStyle w:val="TableContents"/>
              <w:spacing w:before="0" w:after="0"/>
              <w:ind w:left="0" w:right="0" w:hanging="0"/>
              <w:rPr/>
            </w:pPr>
            <w:r>
              <w:rPr/>
              <w:t> </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(0.09</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70" w:type="dxa"/>
            <w:tcBorders/>
            <w:shd w:fill="CCEEFF" w:val="clear"/>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71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Impact to diluted net income per limited partner unit</w:t>
            </w:r>
          </w:p>
        </w:tc>
        <w:tc>
          <w:tcPr>
            <w:tcW w:w="213" w:type="dxa"/>
            <w:tcBorders/>
            <w:shd w:fill="auto" w:val="clear"/>
            <w:vAlign w:val="bottom"/>
          </w:tcPr>
          <w:p>
            <w:pPr>
              <w:pStyle w:val="TableContents"/>
              <w:spacing w:before="0" w:after="0"/>
              <w:ind w:left="0" w:right="0" w:hanging="0"/>
              <w:rPr/>
            </w:pPr>
            <w:r>
              <w:rPr/>
              <w:t> </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0.39</w:t>
            </w:r>
          </w:p>
        </w:tc>
        <w:tc>
          <w:tcPr>
            <w:tcW w:w="223" w:type="dxa"/>
            <w:tcBorders/>
            <w:shd w:fill="auto" w:val="clear"/>
            <w:vAlign w:val="bottom"/>
          </w:tcPr>
          <w:p>
            <w:pPr>
              <w:pStyle w:val="TableContents"/>
              <w:spacing w:before="0" w:after="0"/>
              <w:ind w:left="0" w:right="0" w:hanging="0"/>
              <w:rPr/>
            </w:pPr>
            <w:r>
              <w:rPr/>
              <w:t> </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(0.09</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3"/>
        </w:rPr>
        <w:t xml:space="preserve">The equity compensation charge for the three months ended March 31, 2009 and 2008 excludes the portion of the equity compensation expense represented by grants under the LTIP Plans that, pursuant to the terms of the grant, will be settled in cash only and have no impact on diluted units.  The portion of the equity compensation expense attributable to the cash portion of the LTIP Plans is approximately $2 million and less than $1 million for the three months ended March 31, 2009 and 2008, respectively.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3"/>
        </w:rPr>
        <w:t xml:space="preserve">Gains and losses from derivative activities related to revalued inventory are included in the line item Inventory valuation adjustments net of gains and losses from related derivative activities; gains and losses from derivative activities not related to revalued inventory are included in the line item Gains/(losses) from other derivative activities.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3"/>
        </w:rPr>
        <w:t xml:space="preserve">Gains and losses from derivative activities for the three months ended March 31, 2009 and 2008 include gains of approximately $3 million and $2 million, respectively, related to interest rate derivatives, which are included in interest income and other income (expense), net, but do not impact segment profit.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3608"/>
        <w:gridCol w:w="2781"/>
        <w:gridCol w:w="3816"/>
      </w:tblGrid>
      <w:tr>
        <w:trPr/>
        <w:tc>
          <w:tcPr>
            <w:tcW w:w="3608" w:type="dxa"/>
            <w:tcBorders>
              <w:top w:val="single" w:sz="8" w:space="0" w:color="000000"/>
            </w:tcBorders>
            <w:shd w:fill="auto" w:val="clear"/>
          </w:tcPr>
          <w:p>
            <w:pPr>
              <w:pStyle w:val="TableContents"/>
              <w:spacing w:before="0" w:after="0"/>
              <w:ind w:left="0" w:right="0" w:hanging="0"/>
              <w:jc w:val="right"/>
              <w:rPr/>
            </w:pPr>
            <w:r>
              <w:rPr/>
              <w:t> </w:t>
            </w:r>
          </w:p>
        </w:tc>
        <w:tc>
          <w:tcPr>
            <w:tcW w:w="2781" w:type="dxa"/>
            <w:tcBorders>
              <w:top w:val="single" w:sz="8" w:space="0" w:color="000000"/>
            </w:tcBorders>
            <w:shd w:fill="auto" w:val="clear"/>
          </w:tcPr>
          <w:p>
            <w:pPr>
              <w:pStyle w:val="TableContents"/>
              <w:spacing w:before="0" w:after="0"/>
              <w:ind w:left="0" w:right="0" w:hanging="0"/>
              <w:jc w:val="center"/>
              <w:rPr/>
            </w:pPr>
            <w:r>
              <w:rPr/>
              <w:t> </w:t>
            </w:r>
          </w:p>
        </w:tc>
        <w:tc>
          <w:tcPr>
            <w:tcW w:w="3816" w:type="dxa"/>
            <w:tcBorders>
              <w:top w:val="single" w:sz="8" w:space="0" w:color="000000"/>
            </w:tcBorders>
            <w:shd w:fill="auto" w:val="clear"/>
          </w:tcPr>
          <w:p>
            <w:pPr>
              <w:pStyle w:val="TableContents"/>
              <w:spacing w:before="0" w:after="0"/>
              <w:ind w:left="0" w:right="0" w:hanging="0"/>
              <w:rPr/>
            </w:pPr>
            <w:r>
              <w:rPr/>
              <w:t> </w:t>
            </w:r>
          </w:p>
        </w:tc>
      </w:tr>
      <w:tr>
        <w:trPr/>
        <w:tc>
          <w:tcPr>
            <w:tcW w:w="3608" w:type="dxa"/>
            <w:tcBorders/>
            <w:shd w:fill="auto" w:val="clear"/>
            <w:tcMar>
              <w:top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333 Clay Street, Suite 1600</w:t>
            </w:r>
          </w:p>
        </w:tc>
        <w:tc>
          <w:tcPr>
            <w:tcW w:w="2781" w:type="dxa"/>
            <w:tcBorders/>
            <w:shd w:fill="auto" w:val="clear"/>
            <w:tcMar>
              <w:top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Houston, Texas 77002</w:t>
            </w:r>
          </w:p>
        </w:tc>
        <w:tc>
          <w:tcPr>
            <w:tcW w:w="3816" w:type="dxa"/>
            <w:tcBorders/>
            <w:shd w:fill="auto" w:val="clear"/>
            <w:tcMar>
              <w:top w:w="0" w:type="dxa"/>
            </w:tcMar>
          </w:tcPr>
          <w:p>
            <w:pPr>
              <w:pStyle w:val="TableContents"/>
              <w:spacing w:before="0" w:after="0"/>
              <w:ind w:left="0" w:right="0" w:hanging="0"/>
              <w:rPr>
                <w:rFonts w:ascii="Times New Roman" w:hAnsi="Times New Roman"/>
                <w:sz w:val="17"/>
              </w:rPr>
            </w:pPr>
            <w:r>
              <w:rPr>
                <w:rFonts w:ascii="Times New Roman" w:hAnsi="Times New Roman"/>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3</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tables present certain selected financial information by segment for the first-quarter reporting period (amounts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335"/>
        <w:gridCol w:w="101"/>
        <w:gridCol w:w="266"/>
        <w:gridCol w:w="1031"/>
        <w:gridCol w:w="107"/>
        <w:gridCol w:w="252"/>
        <w:gridCol w:w="786"/>
        <w:gridCol w:w="107"/>
        <w:gridCol w:w="170"/>
        <w:gridCol w:w="868"/>
        <w:gridCol w:w="105"/>
        <w:gridCol w:w="266"/>
        <w:gridCol w:w="978"/>
        <w:gridCol w:w="107"/>
        <w:gridCol w:w="252"/>
        <w:gridCol w:w="786"/>
        <w:gridCol w:w="106"/>
        <w:gridCol w:w="170"/>
        <w:gridCol w:w="868"/>
        <w:gridCol w:w="544"/>
      </w:tblGrid>
      <w:tr>
        <w:trPr/>
        <w:tc>
          <w:tcPr>
            <w:tcW w:w="2335" w:type="dxa"/>
            <w:tcBorders/>
            <w:shd w:fill="auto" w:val="clear"/>
            <w:vAlign w:val="bottom"/>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jc w:val="center"/>
              <w:rPr/>
            </w:pPr>
            <w:r>
              <w:rPr/>
              <w:t> </w:t>
            </w:r>
          </w:p>
        </w:tc>
        <w:tc>
          <w:tcPr>
            <w:tcW w:w="3587"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05" w:type="dxa"/>
            <w:tcBorders/>
            <w:shd w:fill="auto" w:val="clear"/>
            <w:vAlign w:val="bottom"/>
          </w:tcPr>
          <w:p>
            <w:pPr>
              <w:pStyle w:val="TableContents"/>
              <w:spacing w:before="0" w:after="0"/>
              <w:ind w:left="0" w:right="0" w:hanging="0"/>
              <w:jc w:val="center"/>
              <w:rPr/>
            </w:pPr>
            <w:r>
              <w:rPr/>
              <w:t> </w:t>
            </w:r>
          </w:p>
        </w:tc>
        <w:tc>
          <w:tcPr>
            <w:tcW w:w="3533"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544" w:type="dxa"/>
            <w:tcBorders/>
            <w:shd w:fill="auto" w:val="clear"/>
            <w:vAlign w:val="bottom"/>
          </w:tcPr>
          <w:p>
            <w:pPr>
              <w:pStyle w:val="TableContents"/>
              <w:spacing w:before="0" w:after="0"/>
              <w:ind w:left="0" w:right="0" w:hanging="0"/>
              <w:jc w:val="center"/>
              <w:rPr/>
            </w:pPr>
            <w:r>
              <w:rPr/>
              <w:t> </w:t>
            </w:r>
          </w:p>
        </w:tc>
      </w:tr>
      <w:tr>
        <w:trPr/>
        <w:tc>
          <w:tcPr>
            <w:tcW w:w="2335" w:type="dxa"/>
            <w:tcBorders/>
            <w:shd w:fill="auto" w:val="clear"/>
            <w:vAlign w:val="bottom"/>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jc w:val="center"/>
              <w:rPr/>
            </w:pPr>
            <w:r>
              <w:rPr/>
              <w:t> </w:t>
            </w:r>
          </w:p>
        </w:tc>
        <w:tc>
          <w:tcPr>
            <w:tcW w:w="3587"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2009</w:t>
            </w:r>
          </w:p>
        </w:tc>
        <w:tc>
          <w:tcPr>
            <w:tcW w:w="105" w:type="dxa"/>
            <w:tcBorders/>
            <w:shd w:fill="auto" w:val="clear"/>
            <w:vAlign w:val="bottom"/>
          </w:tcPr>
          <w:p>
            <w:pPr>
              <w:pStyle w:val="TableContents"/>
              <w:spacing w:before="0" w:after="0"/>
              <w:ind w:left="0" w:right="0" w:hanging="0"/>
              <w:jc w:val="center"/>
              <w:rPr/>
            </w:pPr>
            <w:r>
              <w:rPr/>
              <w:t> </w:t>
            </w:r>
          </w:p>
        </w:tc>
        <w:tc>
          <w:tcPr>
            <w:tcW w:w="3533"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2008</w:t>
            </w:r>
          </w:p>
        </w:tc>
        <w:tc>
          <w:tcPr>
            <w:tcW w:w="544" w:type="dxa"/>
            <w:tcBorders/>
            <w:shd w:fill="auto" w:val="clear"/>
            <w:vAlign w:val="bottom"/>
          </w:tcPr>
          <w:p>
            <w:pPr>
              <w:pStyle w:val="TableContents"/>
              <w:spacing w:before="0" w:after="0"/>
              <w:ind w:left="0" w:right="0" w:hanging="0"/>
              <w:jc w:val="center"/>
              <w:rPr/>
            </w:pPr>
            <w:r>
              <w:rPr/>
              <w:t> </w:t>
            </w:r>
          </w:p>
        </w:tc>
      </w:tr>
      <w:tr>
        <w:trPr/>
        <w:tc>
          <w:tcPr>
            <w:tcW w:w="2335" w:type="dxa"/>
            <w:tcBorders/>
            <w:shd w:fill="auto" w:val="clear"/>
            <w:vAlign w:val="bottom"/>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jc w:val="center"/>
              <w:rPr/>
            </w:pPr>
            <w:r>
              <w:rPr/>
              <w:t> </w:t>
            </w:r>
          </w:p>
        </w:tc>
        <w:tc>
          <w:tcPr>
            <w:tcW w:w="129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07" w:type="dxa"/>
            <w:tcBorders/>
            <w:shd w:fill="auto" w:val="clear"/>
            <w:vAlign w:val="bottom"/>
          </w:tcPr>
          <w:p>
            <w:pPr>
              <w:pStyle w:val="TableContents"/>
              <w:spacing w:before="0" w:after="0"/>
              <w:ind w:left="0" w:right="0" w:hanging="0"/>
              <w:jc w:val="center"/>
              <w:rPr/>
            </w:pPr>
            <w:r>
              <w:rPr/>
              <w:t> </w:t>
            </w:r>
          </w:p>
        </w:tc>
        <w:tc>
          <w:tcPr>
            <w:tcW w:w="103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07" w:type="dxa"/>
            <w:tcBorders/>
            <w:shd w:fill="auto" w:val="clear"/>
            <w:vAlign w:val="bottom"/>
          </w:tcPr>
          <w:p>
            <w:pPr>
              <w:pStyle w:val="TableContents"/>
              <w:spacing w:before="0" w:after="0"/>
              <w:ind w:left="0" w:right="0" w:hanging="0"/>
              <w:jc w:val="center"/>
              <w:rPr/>
            </w:pPr>
            <w:r>
              <w:rPr/>
              <w:t> </w:t>
            </w:r>
          </w:p>
        </w:tc>
        <w:tc>
          <w:tcPr>
            <w:tcW w:w="103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Marketing</w:t>
            </w:r>
          </w:p>
        </w:tc>
        <w:tc>
          <w:tcPr>
            <w:tcW w:w="105" w:type="dxa"/>
            <w:tcBorders/>
            <w:shd w:fill="auto" w:val="clear"/>
            <w:vAlign w:val="bottom"/>
          </w:tcPr>
          <w:p>
            <w:pPr>
              <w:pStyle w:val="TableContents"/>
              <w:spacing w:before="0" w:after="0"/>
              <w:ind w:left="0" w:right="0" w:hanging="0"/>
              <w:jc w:val="center"/>
              <w:rPr/>
            </w:pPr>
            <w:r>
              <w:rPr/>
              <w:t> </w:t>
            </w:r>
          </w:p>
        </w:tc>
        <w:tc>
          <w:tcPr>
            <w:tcW w:w="124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07" w:type="dxa"/>
            <w:tcBorders/>
            <w:shd w:fill="auto" w:val="clear"/>
            <w:vAlign w:val="bottom"/>
          </w:tcPr>
          <w:p>
            <w:pPr>
              <w:pStyle w:val="TableContents"/>
              <w:spacing w:before="0" w:after="0"/>
              <w:ind w:left="0" w:right="0" w:hanging="0"/>
              <w:jc w:val="center"/>
              <w:rPr/>
            </w:pPr>
            <w:r>
              <w:rPr/>
              <w:t> </w:t>
            </w:r>
          </w:p>
        </w:tc>
        <w:tc>
          <w:tcPr>
            <w:tcW w:w="103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06" w:type="dxa"/>
            <w:tcBorders/>
            <w:shd w:fill="auto" w:val="clear"/>
            <w:vAlign w:val="bottom"/>
          </w:tcPr>
          <w:p>
            <w:pPr>
              <w:pStyle w:val="TableContents"/>
              <w:spacing w:before="0" w:after="0"/>
              <w:ind w:left="0" w:right="0" w:hanging="0"/>
              <w:jc w:val="center"/>
              <w:rPr/>
            </w:pPr>
            <w:r>
              <w:rPr/>
              <w:t> </w:t>
            </w:r>
          </w:p>
        </w:tc>
        <w:tc>
          <w:tcPr>
            <w:tcW w:w="103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Marketing</w:t>
            </w:r>
          </w:p>
        </w:tc>
        <w:tc>
          <w:tcPr>
            <w:tcW w:w="544" w:type="dxa"/>
            <w:tcBorders/>
            <w:shd w:fill="auto" w:val="clear"/>
            <w:vAlign w:val="bottom"/>
          </w:tcPr>
          <w:p>
            <w:pPr>
              <w:pStyle w:val="TableContents"/>
              <w:spacing w:before="0" w:after="0"/>
              <w:ind w:left="0" w:right="0" w:hanging="0"/>
              <w:jc w:val="center"/>
              <w:rPr/>
            </w:pPr>
            <w:r>
              <w:rPr/>
              <w:t> </w:t>
            </w:r>
          </w:p>
        </w:tc>
      </w:tr>
      <w:tr>
        <w:trPr/>
        <w:tc>
          <w:tcPr>
            <w:tcW w:w="2335" w:type="dxa"/>
            <w:tcBorders/>
            <w:shd w:fill="auto" w:val="clear"/>
            <w:vAlign w:val="bottom"/>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jc w:val="center"/>
              <w:rPr/>
            </w:pPr>
            <w:r>
              <w:rPr/>
              <w:t> </w:t>
            </w:r>
          </w:p>
        </w:tc>
        <w:tc>
          <w:tcPr>
            <w:tcW w:w="12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Operations</w:t>
            </w:r>
          </w:p>
        </w:tc>
        <w:tc>
          <w:tcPr>
            <w:tcW w:w="107" w:type="dxa"/>
            <w:tcBorders/>
            <w:shd w:fill="auto" w:val="clear"/>
            <w:vAlign w:val="bottom"/>
          </w:tcPr>
          <w:p>
            <w:pPr>
              <w:pStyle w:val="TableContents"/>
              <w:spacing w:before="0" w:after="0"/>
              <w:ind w:left="0" w:right="0" w:hanging="0"/>
              <w:jc w:val="center"/>
              <w:rPr/>
            </w:pPr>
            <w:r>
              <w:rPr/>
              <w:t> </w:t>
            </w:r>
          </w:p>
        </w:tc>
        <w:tc>
          <w:tcPr>
            <w:tcW w:w="103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Operations</w:t>
            </w:r>
          </w:p>
        </w:tc>
        <w:tc>
          <w:tcPr>
            <w:tcW w:w="107" w:type="dxa"/>
            <w:tcBorders/>
            <w:shd w:fill="auto" w:val="clear"/>
            <w:vAlign w:val="bottom"/>
          </w:tcPr>
          <w:p>
            <w:pPr>
              <w:pStyle w:val="TableContents"/>
              <w:spacing w:before="0" w:after="0"/>
              <w:ind w:left="0" w:right="0" w:hanging="0"/>
              <w:jc w:val="center"/>
              <w:rPr/>
            </w:pPr>
            <w:r>
              <w:rPr/>
              <w:t> </w:t>
            </w:r>
          </w:p>
        </w:tc>
        <w:tc>
          <w:tcPr>
            <w:tcW w:w="103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Operations</w:t>
            </w:r>
          </w:p>
        </w:tc>
        <w:tc>
          <w:tcPr>
            <w:tcW w:w="105" w:type="dxa"/>
            <w:tcBorders/>
            <w:shd w:fill="auto" w:val="clear"/>
            <w:vAlign w:val="bottom"/>
          </w:tcPr>
          <w:p>
            <w:pPr>
              <w:pStyle w:val="TableContents"/>
              <w:spacing w:before="0" w:after="0"/>
              <w:ind w:left="0" w:right="0" w:hanging="0"/>
              <w:jc w:val="center"/>
              <w:rPr/>
            </w:pPr>
            <w:r>
              <w:rPr/>
              <w:t> </w:t>
            </w:r>
          </w:p>
        </w:tc>
        <w:tc>
          <w:tcPr>
            <w:tcW w:w="124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Operations</w:t>
            </w:r>
          </w:p>
        </w:tc>
        <w:tc>
          <w:tcPr>
            <w:tcW w:w="107" w:type="dxa"/>
            <w:tcBorders/>
            <w:shd w:fill="auto" w:val="clear"/>
            <w:vAlign w:val="bottom"/>
          </w:tcPr>
          <w:p>
            <w:pPr>
              <w:pStyle w:val="TableContents"/>
              <w:spacing w:before="0" w:after="0"/>
              <w:ind w:left="0" w:right="0" w:hanging="0"/>
              <w:jc w:val="center"/>
              <w:rPr/>
            </w:pPr>
            <w:r>
              <w:rPr/>
              <w:t> </w:t>
            </w:r>
          </w:p>
        </w:tc>
        <w:tc>
          <w:tcPr>
            <w:tcW w:w="103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Operations</w:t>
            </w:r>
          </w:p>
        </w:tc>
        <w:tc>
          <w:tcPr>
            <w:tcW w:w="106" w:type="dxa"/>
            <w:tcBorders/>
            <w:shd w:fill="auto" w:val="clear"/>
            <w:vAlign w:val="bottom"/>
          </w:tcPr>
          <w:p>
            <w:pPr>
              <w:pStyle w:val="TableContents"/>
              <w:spacing w:before="0" w:after="0"/>
              <w:ind w:left="0" w:right="0" w:hanging="0"/>
              <w:jc w:val="center"/>
              <w:rPr/>
            </w:pPr>
            <w:r>
              <w:rPr/>
              <w:t> </w:t>
            </w:r>
          </w:p>
        </w:tc>
        <w:tc>
          <w:tcPr>
            <w:tcW w:w="103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Operations</w:t>
            </w:r>
          </w:p>
        </w:tc>
        <w:tc>
          <w:tcPr>
            <w:tcW w:w="544" w:type="dxa"/>
            <w:tcBorders/>
            <w:shd w:fill="auto" w:val="clear"/>
            <w:vAlign w:val="bottom"/>
          </w:tcPr>
          <w:p>
            <w:pPr>
              <w:pStyle w:val="TableContents"/>
              <w:spacing w:before="0" w:after="0"/>
              <w:ind w:left="0" w:right="0" w:hanging="0"/>
              <w:jc w:val="center"/>
              <w:rPr/>
            </w:pPr>
            <w:r>
              <w:rPr/>
              <w:t> </w:t>
            </w:r>
          </w:p>
        </w:tc>
      </w:tr>
      <w:tr>
        <w:trPr/>
        <w:tc>
          <w:tcPr>
            <w:tcW w:w="2335" w:type="dxa"/>
            <w:tcBorders/>
            <w:shd w:fill="CCEEFF" w:val="clear"/>
          </w:tcPr>
          <w:p>
            <w:pPr>
              <w:pStyle w:val="TableContents"/>
              <w:spacing w:before="0" w:after="0"/>
              <w:ind w:left="0" w:right="0" w:hanging="0"/>
              <w:rPr/>
            </w:pPr>
            <w:r>
              <w:rPr>
                <w:rFonts w:ascii="Times New Roman" w:hAnsi="Times New Roman"/>
                <w:sz w:val="13"/>
              </w:rPr>
              <w:t xml:space="preserve">Revenues </w:t>
            </w:r>
            <w:r>
              <w:rPr>
                <w:sz w:val="8"/>
              </w:rPr>
              <w:t>(1)</w:t>
            </w:r>
          </w:p>
        </w:tc>
        <w:tc>
          <w:tcPr>
            <w:tcW w:w="101" w:type="dxa"/>
            <w:tcBorders/>
            <w:shd w:fill="CCEEFF" w:val="clear"/>
            <w:vAlign w:val="bottom"/>
          </w:tcPr>
          <w:p>
            <w:pPr>
              <w:pStyle w:val="TableContents"/>
              <w:spacing w:before="0" w:after="0"/>
              <w:ind w:left="0" w:right="0" w:hanging="0"/>
              <w:rPr/>
            </w:pPr>
            <w:r>
              <w:rPr/>
              <w:t> </w:t>
            </w:r>
          </w:p>
        </w:tc>
        <w:tc>
          <w:tcPr>
            <w:tcW w:w="2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3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225</w:t>
            </w:r>
          </w:p>
        </w:tc>
        <w:tc>
          <w:tcPr>
            <w:tcW w:w="107" w:type="dxa"/>
            <w:tcBorders/>
            <w:shd w:fill="CCEEFF" w:val="clear"/>
            <w:vAlign w:val="bottom"/>
          </w:tcPr>
          <w:p>
            <w:pPr>
              <w:pStyle w:val="TableContents"/>
              <w:spacing w:before="0" w:after="0"/>
              <w:ind w:left="0" w:right="0" w:hanging="0"/>
              <w:rPr/>
            </w:pPr>
            <w:r>
              <w:rPr/>
              <w:t> </w:t>
            </w:r>
          </w:p>
        </w:tc>
        <w:tc>
          <w:tcPr>
            <w:tcW w:w="25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8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77</w:t>
            </w:r>
          </w:p>
        </w:tc>
        <w:tc>
          <w:tcPr>
            <w:tcW w:w="107" w:type="dxa"/>
            <w:tcBorders/>
            <w:shd w:fill="CCEEFF" w:val="clear"/>
            <w:vAlign w:val="bottom"/>
          </w:tcPr>
          <w:p>
            <w:pPr>
              <w:pStyle w:val="TableContents"/>
              <w:spacing w:before="0" w:after="0"/>
              <w:ind w:left="0" w:right="0" w:hanging="0"/>
              <w:rPr/>
            </w:pPr>
            <w:r>
              <w:rPr/>
              <w:t> </w:t>
            </w:r>
          </w:p>
        </w:tc>
        <w:tc>
          <w:tcPr>
            <w:tcW w:w="17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6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3,133</w:t>
            </w:r>
          </w:p>
        </w:tc>
        <w:tc>
          <w:tcPr>
            <w:tcW w:w="105" w:type="dxa"/>
            <w:tcBorders/>
            <w:shd w:fill="CCEEFF" w:val="clear"/>
            <w:vAlign w:val="bottom"/>
          </w:tcPr>
          <w:p>
            <w:pPr>
              <w:pStyle w:val="TableContents"/>
              <w:spacing w:before="0" w:after="0"/>
              <w:ind w:left="0" w:right="0" w:hanging="0"/>
              <w:rPr/>
            </w:pPr>
            <w:r>
              <w:rPr/>
              <w:t> </w:t>
            </w:r>
          </w:p>
        </w:tc>
        <w:tc>
          <w:tcPr>
            <w:tcW w:w="2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97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205</w:t>
            </w:r>
          </w:p>
        </w:tc>
        <w:tc>
          <w:tcPr>
            <w:tcW w:w="107" w:type="dxa"/>
            <w:tcBorders/>
            <w:shd w:fill="CCEEFF" w:val="clear"/>
            <w:vAlign w:val="bottom"/>
          </w:tcPr>
          <w:p>
            <w:pPr>
              <w:pStyle w:val="TableContents"/>
              <w:spacing w:before="0" w:after="0"/>
              <w:ind w:left="0" w:right="0" w:hanging="0"/>
              <w:rPr/>
            </w:pPr>
            <w:r>
              <w:rPr/>
              <w:t> </w:t>
            </w:r>
          </w:p>
        </w:tc>
        <w:tc>
          <w:tcPr>
            <w:tcW w:w="25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8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59</w:t>
            </w:r>
          </w:p>
        </w:tc>
        <w:tc>
          <w:tcPr>
            <w:tcW w:w="106" w:type="dxa"/>
            <w:tcBorders/>
            <w:shd w:fill="CCEEFF" w:val="clear"/>
            <w:vAlign w:val="bottom"/>
          </w:tcPr>
          <w:p>
            <w:pPr>
              <w:pStyle w:val="TableContents"/>
              <w:spacing w:before="0" w:after="0"/>
              <w:ind w:left="0" w:right="0" w:hanging="0"/>
              <w:rPr/>
            </w:pPr>
            <w:r>
              <w:rPr/>
              <w:t> </w:t>
            </w:r>
          </w:p>
        </w:tc>
        <w:tc>
          <w:tcPr>
            <w:tcW w:w="17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6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7,037</w:t>
            </w:r>
          </w:p>
        </w:tc>
        <w:tc>
          <w:tcPr>
            <w:tcW w:w="544" w:type="dxa"/>
            <w:tcBorders/>
            <w:shd w:fill="CCEEFF" w:val="clear"/>
            <w:vAlign w:val="bottom"/>
          </w:tcPr>
          <w:p>
            <w:pPr>
              <w:pStyle w:val="TableContents"/>
              <w:spacing w:before="0" w:after="0"/>
              <w:ind w:left="0" w:right="0" w:hanging="0"/>
              <w:rPr/>
            </w:pPr>
            <w:r>
              <w:rPr/>
              <w:t> </w:t>
            </w:r>
          </w:p>
        </w:tc>
      </w:tr>
      <w:tr>
        <w:trPr/>
        <w:tc>
          <w:tcPr>
            <w:tcW w:w="2335" w:type="dxa"/>
            <w:tcBorders/>
            <w:shd w:fill="auto" w:val="clear"/>
          </w:tcPr>
          <w:p>
            <w:pPr>
              <w:pStyle w:val="TableContents"/>
              <w:spacing w:before="0" w:after="0"/>
              <w:ind w:left="0" w:right="0" w:hanging="0"/>
              <w:rPr/>
            </w:pPr>
            <w:r>
              <w:rPr>
                <w:rFonts w:ascii="Times New Roman" w:hAnsi="Times New Roman"/>
                <w:sz w:val="13"/>
              </w:rPr>
              <w:t xml:space="preserve">Purchases and related costs </w:t>
            </w:r>
            <w:r>
              <w:rPr>
                <w:sz w:val="8"/>
              </w:rPr>
              <w:t>(1)</w:t>
            </w:r>
          </w:p>
        </w:tc>
        <w:tc>
          <w:tcPr>
            <w:tcW w:w="101" w:type="dxa"/>
            <w:tcBorders/>
            <w:shd w:fill="auto" w:val="clear"/>
            <w:vAlign w:val="bottom"/>
          </w:tcPr>
          <w:p>
            <w:pPr>
              <w:pStyle w:val="TableContents"/>
              <w:spacing w:before="0" w:after="0"/>
              <w:ind w:left="0" w:right="0" w:hanging="0"/>
              <w:rPr/>
            </w:pPr>
            <w:r>
              <w:rPr/>
              <w:t> </w:t>
            </w:r>
          </w:p>
        </w:tc>
        <w:tc>
          <w:tcPr>
            <w:tcW w:w="129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(16</w:t>
            </w:r>
          </w:p>
        </w:tc>
        <w:tc>
          <w:tcPr>
            <w:tcW w:w="10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3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7"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(2,904</w:t>
            </w:r>
          </w:p>
        </w:tc>
        <w:tc>
          <w:tcPr>
            <w:tcW w:w="10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44"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(21</w:t>
            </w:r>
          </w:p>
        </w:tc>
        <w:tc>
          <w:tcPr>
            <w:tcW w:w="10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3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6"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(6,921</w:t>
            </w:r>
          </w:p>
        </w:tc>
        <w:tc>
          <w:tcPr>
            <w:tcW w:w="54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335" w:type="dxa"/>
            <w:tcBorders/>
            <w:shd w:fill="CCEEFF" w:val="clear"/>
          </w:tcPr>
          <w:p>
            <w:pPr>
              <w:pStyle w:val="TableContents"/>
              <w:spacing w:before="0" w:after="0"/>
              <w:ind w:left="0" w:right="0" w:hanging="0"/>
              <w:rPr/>
            </w:pPr>
            <w:r>
              <w:rPr>
                <w:rFonts w:ascii="Times New Roman" w:hAnsi="Times New Roman"/>
                <w:sz w:val="13"/>
              </w:rPr>
              <w:t xml:space="preserve">Field operating costs (excluding equity compensation charge) </w:t>
            </w:r>
            <w:r>
              <w:rPr>
                <w:sz w:val="8"/>
              </w:rPr>
              <w:t>(1)</w:t>
            </w:r>
          </w:p>
        </w:tc>
        <w:tc>
          <w:tcPr>
            <w:tcW w:w="101" w:type="dxa"/>
            <w:tcBorders/>
            <w:shd w:fill="CCEEFF" w:val="clear"/>
            <w:vAlign w:val="bottom"/>
          </w:tcPr>
          <w:p>
            <w:pPr>
              <w:pStyle w:val="TableContents"/>
              <w:spacing w:before="0" w:after="0"/>
              <w:ind w:left="0" w:right="0" w:hanging="0"/>
              <w:rPr/>
            </w:pPr>
            <w:r>
              <w:rPr/>
              <w:t> </w:t>
            </w:r>
          </w:p>
        </w:tc>
        <w:tc>
          <w:tcPr>
            <w:tcW w:w="1297"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(78</w:t>
            </w:r>
          </w:p>
        </w:tc>
        <w:tc>
          <w:tcPr>
            <w:tcW w:w="10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3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(27</w:t>
            </w:r>
          </w:p>
        </w:tc>
        <w:tc>
          <w:tcPr>
            <w:tcW w:w="10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3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(49</w:t>
            </w:r>
          </w:p>
        </w:tc>
        <w:tc>
          <w:tcPr>
            <w:tcW w:w="10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44"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(79</w:t>
            </w:r>
          </w:p>
        </w:tc>
        <w:tc>
          <w:tcPr>
            <w:tcW w:w="10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3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(24</w:t>
            </w:r>
          </w:p>
        </w:tc>
        <w:tc>
          <w:tcPr>
            <w:tcW w:w="10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3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(41</w:t>
            </w:r>
          </w:p>
        </w:tc>
        <w:tc>
          <w:tcPr>
            <w:tcW w:w="54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335"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Equity compensation charge - operations</w:t>
            </w:r>
          </w:p>
        </w:tc>
        <w:tc>
          <w:tcPr>
            <w:tcW w:w="101" w:type="dxa"/>
            <w:tcBorders/>
            <w:shd w:fill="auto" w:val="clear"/>
            <w:vAlign w:val="bottom"/>
          </w:tcPr>
          <w:p>
            <w:pPr>
              <w:pStyle w:val="TableContents"/>
              <w:spacing w:before="0" w:after="0"/>
              <w:ind w:left="0" w:right="0" w:hanging="0"/>
              <w:rPr/>
            </w:pPr>
            <w:r>
              <w:rPr/>
              <w:t> </w:t>
            </w:r>
          </w:p>
        </w:tc>
        <w:tc>
          <w:tcPr>
            <w:tcW w:w="129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0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3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7"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5" w:type="dxa"/>
            <w:tcBorders/>
            <w:shd w:fill="auto" w:val="clear"/>
            <w:vAlign w:val="bottom"/>
          </w:tcPr>
          <w:p>
            <w:pPr>
              <w:pStyle w:val="TableContents"/>
              <w:spacing w:before="0" w:after="0"/>
              <w:ind w:left="0" w:right="0" w:hanging="0"/>
              <w:rPr/>
            </w:pPr>
            <w:r>
              <w:rPr/>
              <w:t> </w:t>
            </w:r>
          </w:p>
        </w:tc>
        <w:tc>
          <w:tcPr>
            <w:tcW w:w="1244"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7"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6"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544" w:type="dxa"/>
            <w:tcBorders/>
            <w:shd w:fill="auto" w:val="clear"/>
            <w:vAlign w:val="bottom"/>
          </w:tcPr>
          <w:p>
            <w:pPr>
              <w:pStyle w:val="TableContents"/>
              <w:spacing w:before="0" w:after="0"/>
              <w:ind w:left="0" w:right="0" w:hanging="0"/>
              <w:rPr/>
            </w:pPr>
            <w:r>
              <w:rPr/>
              <w:t> </w:t>
            </w:r>
          </w:p>
        </w:tc>
      </w:tr>
      <w:tr>
        <w:trPr/>
        <w:tc>
          <w:tcPr>
            <w:tcW w:w="2335" w:type="dxa"/>
            <w:tcBorders/>
            <w:shd w:fill="CCEEFF" w:val="clear"/>
          </w:tcPr>
          <w:p>
            <w:pPr>
              <w:pStyle w:val="TableContents"/>
              <w:spacing w:before="0" w:after="0"/>
              <w:ind w:left="0" w:right="0" w:hanging="0"/>
              <w:rPr/>
            </w:pPr>
            <w:r>
              <w:rPr>
                <w:rFonts w:ascii="Times New Roman" w:hAnsi="Times New Roman"/>
                <w:sz w:val="13"/>
              </w:rPr>
              <w:t xml:space="preserve">Segment G&amp;A expenses (excluding equity compensation charge) </w:t>
            </w:r>
            <w:r>
              <w:rPr>
                <w:sz w:val="8"/>
              </w:rPr>
              <w:t>(2)</w:t>
            </w:r>
          </w:p>
        </w:tc>
        <w:tc>
          <w:tcPr>
            <w:tcW w:w="101" w:type="dxa"/>
            <w:tcBorders/>
            <w:shd w:fill="CCEEFF" w:val="clear"/>
            <w:vAlign w:val="bottom"/>
          </w:tcPr>
          <w:p>
            <w:pPr>
              <w:pStyle w:val="TableContents"/>
              <w:spacing w:before="0" w:after="0"/>
              <w:ind w:left="0" w:right="0" w:hanging="0"/>
              <w:rPr/>
            </w:pPr>
            <w:r>
              <w:rPr/>
              <w:t> </w:t>
            </w:r>
          </w:p>
        </w:tc>
        <w:tc>
          <w:tcPr>
            <w:tcW w:w="1297"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w:t>
            </w:r>
          </w:p>
        </w:tc>
        <w:tc>
          <w:tcPr>
            <w:tcW w:w="10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3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w:t>
            </w:r>
          </w:p>
        </w:tc>
        <w:tc>
          <w:tcPr>
            <w:tcW w:w="10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3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(18</w:t>
            </w:r>
          </w:p>
        </w:tc>
        <w:tc>
          <w:tcPr>
            <w:tcW w:w="10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44"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w:t>
            </w:r>
          </w:p>
        </w:tc>
        <w:tc>
          <w:tcPr>
            <w:tcW w:w="10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3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w:t>
            </w:r>
          </w:p>
        </w:tc>
        <w:tc>
          <w:tcPr>
            <w:tcW w:w="10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3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(16</w:t>
            </w:r>
          </w:p>
        </w:tc>
        <w:tc>
          <w:tcPr>
            <w:tcW w:w="54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335"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Equity compensation charge - general and administrative</w:t>
            </w:r>
          </w:p>
        </w:tc>
        <w:tc>
          <w:tcPr>
            <w:tcW w:w="101" w:type="dxa"/>
            <w:tcBorders/>
            <w:shd w:fill="auto" w:val="clear"/>
            <w:vAlign w:val="bottom"/>
          </w:tcPr>
          <w:p>
            <w:pPr>
              <w:pStyle w:val="TableContents"/>
              <w:spacing w:before="0" w:after="0"/>
              <w:ind w:left="0" w:right="0" w:hanging="0"/>
              <w:rPr/>
            </w:pPr>
            <w:r>
              <w:rPr/>
              <w:t> </w:t>
            </w:r>
          </w:p>
        </w:tc>
        <w:tc>
          <w:tcPr>
            <w:tcW w:w="129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w:t>
            </w:r>
          </w:p>
        </w:tc>
        <w:tc>
          <w:tcPr>
            <w:tcW w:w="10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3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0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3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0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44"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0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3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0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3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54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335" w:type="dxa"/>
            <w:tcBorders/>
            <w:shd w:fill="CCEEFF" w:val="clear"/>
          </w:tcPr>
          <w:p>
            <w:pPr>
              <w:pStyle w:val="TableContents"/>
              <w:spacing w:before="0" w:after="0"/>
              <w:ind w:left="0" w:right="0" w:hanging="0"/>
              <w:rPr>
                <w:rFonts w:ascii="Times New Roman" w:hAnsi="Times New Roman"/>
                <w:sz w:val="13"/>
              </w:rPr>
            </w:pPr>
            <w:r>
              <w:rPr>
                <w:rFonts w:ascii="Times New Roman" w:hAnsi="Times New Roman"/>
                <w:sz w:val="13"/>
              </w:rPr>
              <w:t>Equity earnings in unconsolidated entities</w:t>
            </w:r>
          </w:p>
        </w:tc>
        <w:tc>
          <w:tcPr>
            <w:tcW w:w="101" w:type="dxa"/>
            <w:tcBorders/>
            <w:shd w:fill="CCEEFF" w:val="clear"/>
            <w:vAlign w:val="bottom"/>
          </w:tcPr>
          <w:p>
            <w:pPr>
              <w:pStyle w:val="TableContents"/>
              <w:spacing w:before="0" w:after="0"/>
              <w:ind w:left="0" w:right="0" w:hanging="0"/>
              <w:rPr/>
            </w:pPr>
            <w:r>
              <w:rPr/>
              <w:t> </w:t>
            </w:r>
          </w:p>
        </w:tc>
        <w:tc>
          <w:tcPr>
            <w:tcW w:w="12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07" w:type="dxa"/>
            <w:tcBorders/>
            <w:shd w:fill="CCEEFF" w:val="clear"/>
            <w:vAlign w:val="bottom"/>
          </w:tcPr>
          <w:p>
            <w:pPr>
              <w:pStyle w:val="TableContents"/>
              <w:spacing w:before="0" w:after="0"/>
              <w:ind w:left="0" w:right="0" w:hanging="0"/>
              <w:rPr/>
            </w:pPr>
            <w:r>
              <w:rPr/>
              <w:t> </w:t>
            </w:r>
          </w:p>
        </w:tc>
        <w:tc>
          <w:tcPr>
            <w:tcW w:w="103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07" w:type="dxa"/>
            <w:tcBorders/>
            <w:shd w:fill="CCEEFF" w:val="clear"/>
            <w:vAlign w:val="bottom"/>
          </w:tcPr>
          <w:p>
            <w:pPr>
              <w:pStyle w:val="TableContents"/>
              <w:spacing w:before="0" w:after="0"/>
              <w:ind w:left="0" w:right="0" w:hanging="0"/>
              <w:rPr/>
            </w:pPr>
            <w:r>
              <w:rPr/>
              <w:t> </w:t>
            </w:r>
          </w:p>
        </w:tc>
        <w:tc>
          <w:tcPr>
            <w:tcW w:w="103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5" w:type="dxa"/>
            <w:tcBorders/>
            <w:shd w:fill="CCEEFF" w:val="clear"/>
            <w:vAlign w:val="bottom"/>
          </w:tcPr>
          <w:p>
            <w:pPr>
              <w:pStyle w:val="TableContents"/>
              <w:spacing w:before="0" w:after="0"/>
              <w:ind w:left="0" w:right="0" w:hanging="0"/>
              <w:rPr/>
            </w:pPr>
            <w:r>
              <w:rPr/>
              <w:t> </w:t>
            </w:r>
          </w:p>
        </w:tc>
        <w:tc>
          <w:tcPr>
            <w:tcW w:w="12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07" w:type="dxa"/>
            <w:tcBorders/>
            <w:shd w:fill="CCEEFF" w:val="clear"/>
            <w:vAlign w:val="bottom"/>
          </w:tcPr>
          <w:p>
            <w:pPr>
              <w:pStyle w:val="TableContents"/>
              <w:spacing w:before="0" w:after="0"/>
              <w:ind w:left="0" w:right="0" w:hanging="0"/>
              <w:rPr/>
            </w:pPr>
            <w:r>
              <w:rPr/>
              <w:t> </w:t>
            </w:r>
          </w:p>
        </w:tc>
        <w:tc>
          <w:tcPr>
            <w:tcW w:w="103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06" w:type="dxa"/>
            <w:tcBorders/>
            <w:shd w:fill="CCEEFF" w:val="clear"/>
            <w:vAlign w:val="bottom"/>
          </w:tcPr>
          <w:p>
            <w:pPr>
              <w:pStyle w:val="TableContents"/>
              <w:spacing w:before="0" w:after="0"/>
              <w:ind w:left="0" w:right="0" w:hanging="0"/>
              <w:rPr/>
            </w:pPr>
            <w:r>
              <w:rPr/>
              <w:t> </w:t>
            </w:r>
          </w:p>
        </w:tc>
        <w:tc>
          <w:tcPr>
            <w:tcW w:w="103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544" w:type="dxa"/>
            <w:tcBorders/>
            <w:shd w:fill="CCEEFF" w:val="clear"/>
            <w:vAlign w:val="bottom"/>
          </w:tcPr>
          <w:p>
            <w:pPr>
              <w:pStyle w:val="TableContents"/>
              <w:spacing w:before="0" w:after="0"/>
              <w:ind w:left="0" w:right="0" w:hanging="0"/>
              <w:rPr/>
            </w:pPr>
            <w:r>
              <w:rPr/>
              <w:t> </w:t>
            </w:r>
          </w:p>
        </w:tc>
      </w:tr>
      <w:tr>
        <w:trPr/>
        <w:tc>
          <w:tcPr>
            <w:tcW w:w="2335"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Reported segment profit</w:t>
            </w:r>
          </w:p>
        </w:tc>
        <w:tc>
          <w:tcPr>
            <w:tcW w:w="101" w:type="dxa"/>
            <w:tcBorders/>
            <w:shd w:fill="auto" w:val="clear"/>
            <w:vAlign w:val="bottom"/>
          </w:tcPr>
          <w:p>
            <w:pPr>
              <w:pStyle w:val="TableContents"/>
              <w:spacing w:before="0" w:after="0"/>
              <w:ind w:left="0" w:right="0" w:hanging="0"/>
              <w:rPr/>
            </w:pPr>
            <w:r>
              <w:rPr/>
              <w:t> </w:t>
            </w:r>
          </w:p>
        </w:tc>
        <w:tc>
          <w:tcPr>
            <w:tcW w:w="266"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3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112</w:t>
            </w:r>
          </w:p>
        </w:tc>
        <w:tc>
          <w:tcPr>
            <w:tcW w:w="107" w:type="dxa"/>
            <w:tcBorders/>
            <w:shd w:fill="auto" w:val="clear"/>
            <w:vAlign w:val="bottom"/>
          </w:tcPr>
          <w:p>
            <w:pPr>
              <w:pStyle w:val="TableContents"/>
              <w:spacing w:before="0" w:after="0"/>
              <w:ind w:left="0" w:right="0" w:hanging="0"/>
              <w:rPr/>
            </w:pPr>
            <w:r>
              <w:rPr/>
              <w:t> </w:t>
            </w:r>
          </w:p>
        </w:tc>
        <w:tc>
          <w:tcPr>
            <w:tcW w:w="25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8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46</w:t>
            </w:r>
          </w:p>
        </w:tc>
        <w:tc>
          <w:tcPr>
            <w:tcW w:w="107" w:type="dxa"/>
            <w:tcBorders/>
            <w:shd w:fill="auto" w:val="clear"/>
            <w:vAlign w:val="bottom"/>
          </w:tcPr>
          <w:p>
            <w:pPr>
              <w:pStyle w:val="TableContents"/>
              <w:spacing w:before="0" w:after="0"/>
              <w:ind w:left="0" w:right="0" w:hanging="0"/>
              <w:rPr/>
            </w:pPr>
            <w:r>
              <w:rPr/>
              <w:t> </w:t>
            </w:r>
          </w:p>
        </w:tc>
        <w:tc>
          <w:tcPr>
            <w:tcW w:w="17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6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159</w:t>
            </w:r>
          </w:p>
        </w:tc>
        <w:tc>
          <w:tcPr>
            <w:tcW w:w="105" w:type="dxa"/>
            <w:tcBorders/>
            <w:shd w:fill="auto" w:val="clear"/>
            <w:vAlign w:val="bottom"/>
          </w:tcPr>
          <w:p>
            <w:pPr>
              <w:pStyle w:val="TableContents"/>
              <w:spacing w:before="0" w:after="0"/>
              <w:ind w:left="0" w:right="0" w:hanging="0"/>
              <w:rPr/>
            </w:pPr>
            <w:r>
              <w:rPr/>
              <w:t> </w:t>
            </w:r>
          </w:p>
        </w:tc>
        <w:tc>
          <w:tcPr>
            <w:tcW w:w="266"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97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89</w:t>
            </w:r>
          </w:p>
        </w:tc>
        <w:tc>
          <w:tcPr>
            <w:tcW w:w="107" w:type="dxa"/>
            <w:tcBorders/>
            <w:shd w:fill="auto" w:val="clear"/>
            <w:vAlign w:val="bottom"/>
          </w:tcPr>
          <w:p>
            <w:pPr>
              <w:pStyle w:val="TableContents"/>
              <w:spacing w:before="0" w:after="0"/>
              <w:ind w:left="0" w:right="0" w:hanging="0"/>
              <w:rPr/>
            </w:pPr>
            <w:r>
              <w:rPr/>
              <w:t> </w:t>
            </w:r>
          </w:p>
        </w:tc>
        <w:tc>
          <w:tcPr>
            <w:tcW w:w="25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8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31</w:t>
            </w:r>
          </w:p>
        </w:tc>
        <w:tc>
          <w:tcPr>
            <w:tcW w:w="106" w:type="dxa"/>
            <w:tcBorders/>
            <w:shd w:fill="auto" w:val="clear"/>
            <w:vAlign w:val="bottom"/>
          </w:tcPr>
          <w:p>
            <w:pPr>
              <w:pStyle w:val="TableContents"/>
              <w:spacing w:before="0" w:after="0"/>
              <w:ind w:left="0" w:right="0" w:hanging="0"/>
              <w:rPr/>
            </w:pPr>
            <w:r>
              <w:rPr/>
              <w:t> </w:t>
            </w:r>
          </w:p>
        </w:tc>
        <w:tc>
          <w:tcPr>
            <w:tcW w:w="17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6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57</w:t>
            </w:r>
          </w:p>
        </w:tc>
        <w:tc>
          <w:tcPr>
            <w:tcW w:w="544" w:type="dxa"/>
            <w:tcBorders/>
            <w:shd w:fill="auto" w:val="clear"/>
            <w:vAlign w:val="bottom"/>
          </w:tcPr>
          <w:p>
            <w:pPr>
              <w:pStyle w:val="TableContents"/>
              <w:spacing w:before="0" w:after="0"/>
              <w:ind w:left="0" w:right="0" w:hanging="0"/>
              <w:rPr/>
            </w:pPr>
            <w:r>
              <w:rPr/>
              <w:t> </w:t>
            </w:r>
          </w:p>
        </w:tc>
      </w:tr>
      <w:tr>
        <w:trPr/>
        <w:tc>
          <w:tcPr>
            <w:tcW w:w="2335" w:type="dxa"/>
            <w:tcBorders/>
            <w:shd w:fill="CCEEFF" w:val="clear"/>
          </w:tcPr>
          <w:p>
            <w:pPr>
              <w:pStyle w:val="TableContents"/>
              <w:spacing w:before="0" w:after="0"/>
              <w:ind w:left="0" w:right="0" w:hanging="0"/>
              <w:rPr/>
            </w:pPr>
            <w:r>
              <w:rPr/>
              <w:t> </w:t>
            </w:r>
          </w:p>
        </w:tc>
        <w:tc>
          <w:tcPr>
            <w:tcW w:w="101" w:type="dxa"/>
            <w:tcBorders/>
            <w:shd w:fill="CCEEFF" w:val="clear"/>
            <w:vAlign w:val="bottom"/>
          </w:tcPr>
          <w:p>
            <w:pPr>
              <w:pStyle w:val="TableContents"/>
              <w:spacing w:before="0" w:after="0"/>
              <w:ind w:left="0" w:right="0" w:hanging="0"/>
              <w:rPr/>
            </w:pPr>
            <w:r>
              <w:rPr/>
              <w:t> </w:t>
            </w:r>
          </w:p>
        </w:tc>
        <w:tc>
          <w:tcPr>
            <w:tcW w:w="1297" w:type="dxa"/>
            <w:gridSpan w:val="2"/>
            <w:tcBorders/>
            <w:shd w:fill="CCEEFF" w:val="clear"/>
            <w:vAlign w:val="bottom"/>
          </w:tcPr>
          <w:p>
            <w:pPr>
              <w:pStyle w:val="TableContents"/>
              <w:spacing w:before="0" w:after="0"/>
              <w:ind w:left="0" w:right="0" w:hanging="0"/>
              <w:jc w:val="right"/>
              <w:rPr/>
            </w:pPr>
            <w:r>
              <w:rPr/>
              <w:t> </w:t>
            </w:r>
          </w:p>
        </w:tc>
        <w:tc>
          <w:tcPr>
            <w:tcW w:w="107"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107"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1244" w:type="dxa"/>
            <w:gridSpan w:val="2"/>
            <w:tcBorders/>
            <w:shd w:fill="CCEEFF" w:val="clear"/>
            <w:vAlign w:val="bottom"/>
          </w:tcPr>
          <w:p>
            <w:pPr>
              <w:pStyle w:val="TableContents"/>
              <w:spacing w:before="0" w:after="0"/>
              <w:ind w:left="0" w:right="0" w:hanging="0"/>
              <w:jc w:val="right"/>
              <w:rPr/>
            </w:pPr>
            <w:r>
              <w:rPr/>
              <w:t> </w:t>
            </w:r>
          </w:p>
        </w:tc>
        <w:tc>
          <w:tcPr>
            <w:tcW w:w="107"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106"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544" w:type="dxa"/>
            <w:tcBorders/>
            <w:shd w:fill="CCEEFF" w:val="clear"/>
            <w:vAlign w:val="bottom"/>
          </w:tcPr>
          <w:p>
            <w:pPr>
              <w:pStyle w:val="TableContents"/>
              <w:spacing w:before="0" w:after="0"/>
              <w:ind w:left="0" w:right="0" w:hanging="0"/>
              <w:rPr/>
            </w:pPr>
            <w:r>
              <w:rPr/>
              <w:t> </w:t>
            </w:r>
          </w:p>
        </w:tc>
      </w:tr>
      <w:tr>
        <w:trPr/>
        <w:tc>
          <w:tcPr>
            <w:tcW w:w="2335"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Selected items impacting comparability of segment profit:</w:t>
            </w:r>
          </w:p>
        </w:tc>
        <w:tc>
          <w:tcPr>
            <w:tcW w:w="101" w:type="dxa"/>
            <w:tcBorders/>
            <w:shd w:fill="auto" w:val="clear"/>
            <w:vAlign w:val="bottom"/>
          </w:tcPr>
          <w:p>
            <w:pPr>
              <w:pStyle w:val="TableContents"/>
              <w:spacing w:before="0" w:after="0"/>
              <w:ind w:left="0" w:right="0" w:hanging="0"/>
              <w:rPr/>
            </w:pPr>
            <w:r>
              <w:rPr/>
              <w:t> </w:t>
            </w:r>
          </w:p>
        </w:tc>
        <w:tc>
          <w:tcPr>
            <w:tcW w:w="1297" w:type="dxa"/>
            <w:gridSpan w:val="2"/>
            <w:tcBorders/>
            <w:shd w:fill="auto" w:val="clear"/>
            <w:vAlign w:val="bottom"/>
          </w:tcPr>
          <w:p>
            <w:pPr>
              <w:pStyle w:val="TableContents"/>
              <w:spacing w:before="0" w:after="0"/>
              <w:ind w:left="0" w:right="0" w:hanging="0"/>
              <w:jc w:val="right"/>
              <w:rPr/>
            </w:pPr>
            <w:r>
              <w:rPr/>
              <w:t> </w:t>
            </w:r>
          </w:p>
        </w:tc>
        <w:tc>
          <w:tcPr>
            <w:tcW w:w="107"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pPr>
            <w:r>
              <w:rPr/>
              <w:t> </w:t>
            </w:r>
          </w:p>
        </w:tc>
        <w:tc>
          <w:tcPr>
            <w:tcW w:w="107"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1244" w:type="dxa"/>
            <w:gridSpan w:val="2"/>
            <w:tcBorders/>
            <w:shd w:fill="auto" w:val="clear"/>
            <w:vAlign w:val="bottom"/>
          </w:tcPr>
          <w:p>
            <w:pPr>
              <w:pStyle w:val="TableContents"/>
              <w:spacing w:before="0" w:after="0"/>
              <w:ind w:left="0" w:right="0" w:hanging="0"/>
              <w:jc w:val="right"/>
              <w:rPr/>
            </w:pPr>
            <w:r>
              <w:rPr/>
              <w:t> </w:t>
            </w:r>
          </w:p>
        </w:tc>
        <w:tc>
          <w:tcPr>
            <w:tcW w:w="107"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pPr>
            <w:r>
              <w:rPr/>
              <w:t> </w:t>
            </w:r>
          </w:p>
        </w:tc>
        <w:tc>
          <w:tcPr>
            <w:tcW w:w="544" w:type="dxa"/>
            <w:tcBorders/>
            <w:shd w:fill="auto" w:val="clear"/>
            <w:vAlign w:val="bottom"/>
          </w:tcPr>
          <w:p>
            <w:pPr>
              <w:pStyle w:val="TableContents"/>
              <w:spacing w:before="0" w:after="0"/>
              <w:ind w:left="0" w:right="0" w:hanging="0"/>
              <w:rPr/>
            </w:pPr>
            <w:r>
              <w:rPr/>
              <w:t> </w:t>
            </w:r>
          </w:p>
        </w:tc>
      </w:tr>
      <w:tr>
        <w:trPr/>
        <w:tc>
          <w:tcPr>
            <w:tcW w:w="2335" w:type="dxa"/>
            <w:tcBorders/>
            <w:shd w:fill="CCEEFF" w:val="clear"/>
          </w:tcPr>
          <w:p>
            <w:pPr>
              <w:pStyle w:val="TableContents"/>
              <w:spacing w:before="0" w:after="0"/>
              <w:ind w:left="0" w:right="0" w:hanging="0"/>
              <w:rPr/>
            </w:pPr>
            <w:r>
              <w:rPr>
                <w:rFonts w:ascii="Times New Roman" w:hAnsi="Times New Roman"/>
                <w:sz w:val="13"/>
              </w:rPr>
              <w:t xml:space="preserve">Equity compensation charge </w:t>
            </w:r>
            <w:r>
              <w:rPr>
                <w:sz w:val="8"/>
              </w:rPr>
              <w:t>(3)</w:t>
            </w:r>
          </w:p>
        </w:tc>
        <w:tc>
          <w:tcPr>
            <w:tcW w:w="101" w:type="dxa"/>
            <w:tcBorders/>
            <w:shd w:fill="CCEEFF" w:val="clear"/>
            <w:vAlign w:val="bottom"/>
          </w:tcPr>
          <w:p>
            <w:pPr>
              <w:pStyle w:val="TableContents"/>
              <w:spacing w:before="0" w:after="0"/>
              <w:ind w:left="0" w:right="0" w:hanging="0"/>
              <w:rPr/>
            </w:pPr>
            <w:r>
              <w:rPr/>
              <w:t> </w:t>
            </w:r>
          </w:p>
        </w:tc>
        <w:tc>
          <w:tcPr>
            <w:tcW w:w="1297"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w:t>
            </w:r>
          </w:p>
        </w:tc>
        <w:tc>
          <w:tcPr>
            <w:tcW w:w="107"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07"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05" w:type="dxa"/>
            <w:tcBorders/>
            <w:shd w:fill="CCEEFF" w:val="clear"/>
            <w:vAlign w:val="bottom"/>
          </w:tcPr>
          <w:p>
            <w:pPr>
              <w:pStyle w:val="TableContents"/>
              <w:spacing w:before="0" w:after="0"/>
              <w:ind w:left="0" w:right="0" w:hanging="0"/>
              <w:rPr/>
            </w:pPr>
            <w:r>
              <w:rPr/>
              <w:t> </w:t>
            </w:r>
          </w:p>
        </w:tc>
        <w:tc>
          <w:tcPr>
            <w:tcW w:w="1244"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07"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06"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544" w:type="dxa"/>
            <w:tcBorders/>
            <w:shd w:fill="CCEEFF" w:val="clear"/>
            <w:vAlign w:val="bottom"/>
          </w:tcPr>
          <w:p>
            <w:pPr>
              <w:pStyle w:val="TableContents"/>
              <w:spacing w:before="0" w:after="0"/>
              <w:ind w:left="0" w:right="0" w:hanging="0"/>
              <w:rPr/>
            </w:pPr>
            <w:r>
              <w:rPr/>
              <w:t> </w:t>
            </w:r>
          </w:p>
        </w:tc>
      </w:tr>
      <w:tr>
        <w:trPr/>
        <w:tc>
          <w:tcPr>
            <w:tcW w:w="2335" w:type="dxa"/>
            <w:tcBorders/>
            <w:shd w:fill="auto" w:val="clear"/>
          </w:tcPr>
          <w:p>
            <w:pPr>
              <w:pStyle w:val="TableContents"/>
              <w:spacing w:before="0" w:after="0"/>
              <w:ind w:left="0" w:right="0" w:hanging="0"/>
              <w:rPr/>
            </w:pPr>
            <w:r>
              <w:rPr>
                <w:rFonts w:ascii="Times New Roman" w:hAnsi="Times New Roman"/>
                <w:sz w:val="13"/>
              </w:rPr>
              <w:t xml:space="preserve">Inventory valuation adjustments net of (gains)/losses from related derivative activities </w:t>
            </w:r>
            <w:r>
              <w:rPr>
                <w:sz w:val="8"/>
              </w:rPr>
              <w:t>(4)</w:t>
            </w:r>
          </w:p>
        </w:tc>
        <w:tc>
          <w:tcPr>
            <w:tcW w:w="101" w:type="dxa"/>
            <w:tcBorders/>
            <w:shd w:fill="auto" w:val="clear"/>
            <w:vAlign w:val="bottom"/>
          </w:tcPr>
          <w:p>
            <w:pPr>
              <w:pStyle w:val="TableContents"/>
              <w:spacing w:before="0" w:after="0"/>
              <w:ind w:left="0" w:right="0" w:hanging="0"/>
              <w:rPr/>
            </w:pPr>
            <w:r>
              <w:rPr/>
              <w:t> </w:t>
            </w:r>
          </w:p>
        </w:tc>
        <w:tc>
          <w:tcPr>
            <w:tcW w:w="129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7"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7"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(22</w:t>
            </w:r>
          </w:p>
        </w:tc>
        <w:tc>
          <w:tcPr>
            <w:tcW w:w="10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44"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7"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6"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544" w:type="dxa"/>
            <w:tcBorders/>
            <w:shd w:fill="auto" w:val="clear"/>
            <w:vAlign w:val="bottom"/>
          </w:tcPr>
          <w:p>
            <w:pPr>
              <w:pStyle w:val="TableContents"/>
              <w:spacing w:before="0" w:after="0"/>
              <w:ind w:left="0" w:right="0" w:hanging="0"/>
              <w:rPr/>
            </w:pPr>
            <w:r>
              <w:rPr/>
              <w:t> </w:t>
            </w:r>
          </w:p>
        </w:tc>
      </w:tr>
      <w:tr>
        <w:trPr/>
        <w:tc>
          <w:tcPr>
            <w:tcW w:w="2335" w:type="dxa"/>
            <w:tcBorders/>
            <w:shd w:fill="CCEEFF" w:val="clear"/>
          </w:tcPr>
          <w:p>
            <w:pPr>
              <w:pStyle w:val="TableContents"/>
              <w:spacing w:before="0" w:after="0"/>
              <w:ind w:left="0" w:right="0" w:hanging="0"/>
              <w:rPr/>
            </w:pPr>
            <w:r>
              <w:rPr>
                <w:rFonts w:ascii="Times New Roman" w:hAnsi="Times New Roman"/>
                <w:sz w:val="13"/>
              </w:rPr>
              <w:t xml:space="preserve">(Gains)/losses from other derivative activities </w:t>
            </w:r>
            <w:r>
              <w:rPr>
                <w:sz w:val="8"/>
              </w:rPr>
              <w:t>(4) (5)</w:t>
            </w:r>
          </w:p>
        </w:tc>
        <w:tc>
          <w:tcPr>
            <w:tcW w:w="101" w:type="dxa"/>
            <w:tcBorders/>
            <w:shd w:fill="CCEEFF" w:val="clear"/>
            <w:vAlign w:val="bottom"/>
          </w:tcPr>
          <w:p>
            <w:pPr>
              <w:pStyle w:val="TableContents"/>
              <w:spacing w:before="0" w:after="0"/>
              <w:ind w:left="0" w:right="0" w:hanging="0"/>
              <w:rPr/>
            </w:pPr>
            <w:r>
              <w:rPr/>
              <w:t> </w:t>
            </w:r>
          </w:p>
        </w:tc>
        <w:tc>
          <w:tcPr>
            <w:tcW w:w="1297"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7"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7"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(23</w:t>
            </w:r>
          </w:p>
        </w:tc>
        <w:tc>
          <w:tcPr>
            <w:tcW w:w="10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44"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7"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6"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w:t>
            </w:r>
          </w:p>
        </w:tc>
        <w:tc>
          <w:tcPr>
            <w:tcW w:w="544" w:type="dxa"/>
            <w:tcBorders/>
            <w:shd w:fill="CCEEFF" w:val="clear"/>
            <w:vAlign w:val="bottom"/>
          </w:tcPr>
          <w:p>
            <w:pPr>
              <w:pStyle w:val="TableContents"/>
              <w:spacing w:before="0" w:after="0"/>
              <w:ind w:left="0" w:right="0" w:hanging="0"/>
              <w:rPr/>
            </w:pPr>
            <w:r>
              <w:rPr/>
              <w:t> </w:t>
            </w:r>
          </w:p>
        </w:tc>
      </w:tr>
      <w:tr>
        <w:trPr/>
        <w:tc>
          <w:tcPr>
            <w:tcW w:w="2335"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Net gain on foreign currency revaluation</w:t>
            </w:r>
          </w:p>
        </w:tc>
        <w:tc>
          <w:tcPr>
            <w:tcW w:w="101" w:type="dxa"/>
            <w:tcBorders/>
            <w:shd w:fill="auto" w:val="clear"/>
            <w:vAlign w:val="bottom"/>
          </w:tcPr>
          <w:p>
            <w:pPr>
              <w:pStyle w:val="TableContents"/>
              <w:spacing w:before="0" w:after="0"/>
              <w:ind w:left="0" w:right="0" w:hanging="0"/>
              <w:rPr/>
            </w:pPr>
            <w:r>
              <w:rPr/>
              <w:t> </w:t>
            </w:r>
          </w:p>
        </w:tc>
        <w:tc>
          <w:tcPr>
            <w:tcW w:w="129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7" w:type="dxa"/>
            <w:tcBorders/>
            <w:shd w:fill="auto" w:val="clear"/>
            <w:vAlign w:val="bottom"/>
          </w:tcPr>
          <w:p>
            <w:pPr>
              <w:pStyle w:val="TableContents"/>
              <w:spacing w:before="0" w:after="0"/>
              <w:ind w:left="0" w:right="0" w:hanging="0"/>
              <w:rPr/>
            </w:pPr>
            <w:r>
              <w:rPr/>
              <w:t> </w:t>
            </w:r>
          </w:p>
        </w:tc>
        <w:tc>
          <w:tcPr>
            <w:tcW w:w="103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7" w:type="dxa"/>
            <w:tcBorders/>
            <w:shd w:fill="auto" w:val="clear"/>
            <w:vAlign w:val="bottom"/>
          </w:tcPr>
          <w:p>
            <w:pPr>
              <w:pStyle w:val="TableContents"/>
              <w:spacing w:before="0" w:after="0"/>
              <w:ind w:left="0" w:right="0" w:hanging="0"/>
              <w:rPr/>
            </w:pPr>
            <w:r>
              <w:rPr/>
              <w:t> </w:t>
            </w:r>
          </w:p>
        </w:tc>
        <w:tc>
          <w:tcPr>
            <w:tcW w:w="103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w:t>
            </w:r>
          </w:p>
        </w:tc>
        <w:tc>
          <w:tcPr>
            <w:tcW w:w="10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4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7" w:type="dxa"/>
            <w:tcBorders/>
            <w:shd w:fill="auto" w:val="clear"/>
            <w:vAlign w:val="bottom"/>
          </w:tcPr>
          <w:p>
            <w:pPr>
              <w:pStyle w:val="TableContents"/>
              <w:spacing w:before="0" w:after="0"/>
              <w:ind w:left="0" w:right="0" w:hanging="0"/>
              <w:rPr/>
            </w:pPr>
            <w:r>
              <w:rPr/>
              <w:t> </w:t>
            </w:r>
          </w:p>
        </w:tc>
        <w:tc>
          <w:tcPr>
            <w:tcW w:w="103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6" w:type="dxa"/>
            <w:tcBorders/>
            <w:shd w:fill="auto" w:val="clear"/>
            <w:vAlign w:val="bottom"/>
          </w:tcPr>
          <w:p>
            <w:pPr>
              <w:pStyle w:val="TableContents"/>
              <w:spacing w:before="0" w:after="0"/>
              <w:ind w:left="0" w:right="0" w:hanging="0"/>
              <w:rPr/>
            </w:pPr>
            <w:r>
              <w:rPr/>
              <w:t> </w:t>
            </w:r>
          </w:p>
        </w:tc>
        <w:tc>
          <w:tcPr>
            <w:tcW w:w="103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544" w:type="dxa"/>
            <w:tcBorders/>
            <w:shd w:fill="auto" w:val="clear"/>
            <w:vAlign w:val="bottom"/>
          </w:tcPr>
          <w:p>
            <w:pPr>
              <w:pStyle w:val="TableContents"/>
              <w:spacing w:before="0" w:after="0"/>
              <w:ind w:left="0" w:right="0" w:hanging="0"/>
              <w:rPr/>
            </w:pPr>
            <w:r>
              <w:rPr/>
              <w:t> </w:t>
            </w:r>
          </w:p>
        </w:tc>
      </w:tr>
      <w:tr>
        <w:trPr/>
        <w:tc>
          <w:tcPr>
            <w:tcW w:w="2335" w:type="dxa"/>
            <w:tcBorders/>
            <w:shd w:fill="CCEEFF" w:val="clear"/>
          </w:tcPr>
          <w:p>
            <w:pPr>
              <w:pStyle w:val="TableContents"/>
              <w:spacing w:before="0" w:after="0"/>
              <w:ind w:left="0" w:right="0" w:hanging="0"/>
              <w:rPr>
                <w:rFonts w:ascii="Times New Roman" w:hAnsi="Times New Roman"/>
                <w:sz w:val="13"/>
              </w:rPr>
            </w:pPr>
            <w:r>
              <w:rPr>
                <w:rFonts w:ascii="Times New Roman" w:hAnsi="Times New Roman"/>
                <w:sz w:val="13"/>
              </w:rPr>
              <w:t>Subtotal</w:t>
            </w:r>
          </w:p>
        </w:tc>
        <w:tc>
          <w:tcPr>
            <w:tcW w:w="101" w:type="dxa"/>
            <w:tcBorders/>
            <w:shd w:fill="CCEEFF" w:val="clear"/>
            <w:vAlign w:val="bottom"/>
          </w:tcPr>
          <w:p>
            <w:pPr>
              <w:pStyle w:val="TableContents"/>
              <w:spacing w:before="0" w:after="0"/>
              <w:ind w:left="0" w:right="0" w:hanging="0"/>
              <w:rPr/>
            </w:pPr>
            <w:r>
              <w:rPr/>
              <w:t> </w:t>
            </w:r>
          </w:p>
        </w:tc>
        <w:tc>
          <w:tcPr>
            <w:tcW w:w="12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w:t>
            </w:r>
          </w:p>
        </w:tc>
        <w:tc>
          <w:tcPr>
            <w:tcW w:w="107" w:type="dxa"/>
            <w:tcBorders/>
            <w:shd w:fill="CCEEFF" w:val="clear"/>
            <w:vAlign w:val="bottom"/>
          </w:tcPr>
          <w:p>
            <w:pPr>
              <w:pStyle w:val="TableContents"/>
              <w:spacing w:before="0" w:after="0"/>
              <w:ind w:left="0" w:right="0" w:hanging="0"/>
              <w:rPr/>
            </w:pPr>
            <w:r>
              <w:rPr/>
              <w:t> </w:t>
            </w:r>
          </w:p>
        </w:tc>
        <w:tc>
          <w:tcPr>
            <w:tcW w:w="103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07" w:type="dxa"/>
            <w:tcBorders/>
            <w:shd w:fill="CCEEFF" w:val="clear"/>
            <w:vAlign w:val="bottom"/>
          </w:tcPr>
          <w:p>
            <w:pPr>
              <w:pStyle w:val="TableContents"/>
              <w:spacing w:before="0" w:after="0"/>
              <w:ind w:left="0" w:right="0" w:hanging="0"/>
              <w:rPr/>
            </w:pPr>
            <w:r>
              <w:rPr/>
              <w:t> </w:t>
            </w:r>
          </w:p>
        </w:tc>
        <w:tc>
          <w:tcPr>
            <w:tcW w:w="103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(52</w:t>
            </w:r>
          </w:p>
        </w:tc>
        <w:tc>
          <w:tcPr>
            <w:tcW w:w="10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07" w:type="dxa"/>
            <w:tcBorders/>
            <w:shd w:fill="CCEEFF" w:val="clear"/>
            <w:vAlign w:val="bottom"/>
          </w:tcPr>
          <w:p>
            <w:pPr>
              <w:pStyle w:val="TableContents"/>
              <w:spacing w:before="0" w:after="0"/>
              <w:ind w:left="0" w:right="0" w:hanging="0"/>
              <w:rPr/>
            </w:pPr>
            <w:r>
              <w:rPr/>
              <w:t> </w:t>
            </w:r>
          </w:p>
        </w:tc>
        <w:tc>
          <w:tcPr>
            <w:tcW w:w="103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06" w:type="dxa"/>
            <w:tcBorders/>
            <w:shd w:fill="CCEEFF" w:val="clear"/>
            <w:vAlign w:val="bottom"/>
          </w:tcPr>
          <w:p>
            <w:pPr>
              <w:pStyle w:val="TableContents"/>
              <w:spacing w:before="0" w:after="0"/>
              <w:ind w:left="0" w:right="0" w:hanging="0"/>
              <w:rPr/>
            </w:pPr>
            <w:r>
              <w:rPr/>
              <w:t> </w:t>
            </w:r>
          </w:p>
        </w:tc>
        <w:tc>
          <w:tcPr>
            <w:tcW w:w="103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w:t>
            </w:r>
          </w:p>
        </w:tc>
        <w:tc>
          <w:tcPr>
            <w:tcW w:w="544" w:type="dxa"/>
            <w:tcBorders/>
            <w:shd w:fill="CCEEFF" w:val="clear"/>
            <w:vAlign w:val="bottom"/>
          </w:tcPr>
          <w:p>
            <w:pPr>
              <w:pStyle w:val="TableContents"/>
              <w:spacing w:before="0" w:after="0"/>
              <w:ind w:left="0" w:right="0" w:hanging="0"/>
              <w:rPr/>
            </w:pPr>
            <w:r>
              <w:rPr/>
              <w:t> </w:t>
            </w:r>
          </w:p>
        </w:tc>
      </w:tr>
      <w:tr>
        <w:trPr/>
        <w:tc>
          <w:tcPr>
            <w:tcW w:w="2335"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Segment profit excluding selected items impacting comparability</w:t>
            </w:r>
          </w:p>
        </w:tc>
        <w:tc>
          <w:tcPr>
            <w:tcW w:w="101" w:type="dxa"/>
            <w:tcBorders/>
            <w:shd w:fill="auto" w:val="clear"/>
            <w:vAlign w:val="bottom"/>
          </w:tcPr>
          <w:p>
            <w:pPr>
              <w:pStyle w:val="TableContents"/>
              <w:spacing w:before="0" w:after="0"/>
              <w:ind w:left="0" w:right="0" w:hanging="0"/>
              <w:rPr/>
            </w:pPr>
            <w:r>
              <w:rPr/>
              <w:t> </w:t>
            </w:r>
          </w:p>
        </w:tc>
        <w:tc>
          <w:tcPr>
            <w:tcW w:w="2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3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117</w:t>
            </w:r>
          </w:p>
        </w:tc>
        <w:tc>
          <w:tcPr>
            <w:tcW w:w="107" w:type="dxa"/>
            <w:tcBorders/>
            <w:shd w:fill="auto" w:val="clear"/>
            <w:vAlign w:val="bottom"/>
          </w:tcPr>
          <w:p>
            <w:pPr>
              <w:pStyle w:val="TableContents"/>
              <w:spacing w:before="0" w:after="0"/>
              <w:ind w:left="0" w:right="0" w:hanging="0"/>
              <w:rPr/>
            </w:pPr>
            <w:r>
              <w:rPr/>
              <w:t> </w:t>
            </w:r>
          </w:p>
        </w:tc>
        <w:tc>
          <w:tcPr>
            <w:tcW w:w="2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8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47</w:t>
            </w:r>
          </w:p>
        </w:tc>
        <w:tc>
          <w:tcPr>
            <w:tcW w:w="107" w:type="dxa"/>
            <w:tcBorders/>
            <w:shd w:fill="auto" w:val="clear"/>
            <w:vAlign w:val="bottom"/>
          </w:tcPr>
          <w:p>
            <w:pPr>
              <w:pStyle w:val="TableContents"/>
              <w:spacing w:before="0" w:after="0"/>
              <w:ind w:left="0" w:right="0" w:hanging="0"/>
              <w:rPr/>
            </w:pPr>
            <w:r>
              <w:rPr/>
              <w:t> </w:t>
            </w:r>
          </w:p>
        </w:tc>
        <w:tc>
          <w:tcPr>
            <w:tcW w:w="17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6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107</w:t>
            </w:r>
          </w:p>
        </w:tc>
        <w:tc>
          <w:tcPr>
            <w:tcW w:w="105" w:type="dxa"/>
            <w:tcBorders/>
            <w:shd w:fill="auto" w:val="clear"/>
            <w:vAlign w:val="bottom"/>
          </w:tcPr>
          <w:p>
            <w:pPr>
              <w:pStyle w:val="TableContents"/>
              <w:spacing w:before="0" w:after="0"/>
              <w:ind w:left="0" w:right="0" w:hanging="0"/>
              <w:rPr/>
            </w:pPr>
            <w:r>
              <w:rPr/>
              <w:t> </w:t>
            </w:r>
          </w:p>
        </w:tc>
        <w:tc>
          <w:tcPr>
            <w:tcW w:w="2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97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92</w:t>
            </w:r>
          </w:p>
        </w:tc>
        <w:tc>
          <w:tcPr>
            <w:tcW w:w="107" w:type="dxa"/>
            <w:tcBorders/>
            <w:shd w:fill="auto" w:val="clear"/>
            <w:vAlign w:val="bottom"/>
          </w:tcPr>
          <w:p>
            <w:pPr>
              <w:pStyle w:val="TableContents"/>
              <w:spacing w:before="0" w:after="0"/>
              <w:ind w:left="0" w:right="0" w:hanging="0"/>
              <w:rPr/>
            </w:pPr>
            <w:r>
              <w:rPr/>
              <w:t> </w:t>
            </w:r>
          </w:p>
        </w:tc>
        <w:tc>
          <w:tcPr>
            <w:tcW w:w="2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8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32</w:t>
            </w:r>
          </w:p>
        </w:tc>
        <w:tc>
          <w:tcPr>
            <w:tcW w:w="106" w:type="dxa"/>
            <w:tcBorders/>
            <w:shd w:fill="auto" w:val="clear"/>
            <w:vAlign w:val="bottom"/>
          </w:tcPr>
          <w:p>
            <w:pPr>
              <w:pStyle w:val="TableContents"/>
              <w:spacing w:before="0" w:after="0"/>
              <w:ind w:left="0" w:right="0" w:hanging="0"/>
              <w:rPr/>
            </w:pPr>
            <w:r>
              <w:rPr/>
              <w:t> </w:t>
            </w:r>
          </w:p>
        </w:tc>
        <w:tc>
          <w:tcPr>
            <w:tcW w:w="17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6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66</w:t>
            </w:r>
          </w:p>
        </w:tc>
        <w:tc>
          <w:tcPr>
            <w:tcW w:w="544" w:type="dxa"/>
            <w:tcBorders/>
            <w:shd w:fill="auto" w:val="clear"/>
            <w:vAlign w:val="bottom"/>
          </w:tcPr>
          <w:p>
            <w:pPr>
              <w:pStyle w:val="TableContents"/>
              <w:spacing w:before="0" w:after="0"/>
              <w:ind w:left="0" w:right="0" w:hanging="0"/>
              <w:rPr/>
            </w:pPr>
            <w:r>
              <w:rPr/>
              <w:t> </w:t>
            </w:r>
          </w:p>
        </w:tc>
      </w:tr>
      <w:tr>
        <w:trPr/>
        <w:tc>
          <w:tcPr>
            <w:tcW w:w="2335" w:type="dxa"/>
            <w:tcBorders/>
            <w:shd w:fill="CCEEFF" w:val="clear"/>
          </w:tcPr>
          <w:p>
            <w:pPr>
              <w:pStyle w:val="TableContents"/>
              <w:spacing w:before="0" w:after="0"/>
              <w:ind w:left="0" w:right="0" w:hanging="0"/>
              <w:rPr/>
            </w:pPr>
            <w:r>
              <w:rPr/>
              <w:t> </w:t>
            </w:r>
          </w:p>
        </w:tc>
        <w:tc>
          <w:tcPr>
            <w:tcW w:w="101" w:type="dxa"/>
            <w:tcBorders/>
            <w:shd w:fill="CCEEFF" w:val="clear"/>
            <w:vAlign w:val="bottom"/>
          </w:tcPr>
          <w:p>
            <w:pPr>
              <w:pStyle w:val="TableContents"/>
              <w:spacing w:before="0" w:after="0"/>
              <w:ind w:left="0" w:right="0" w:hanging="0"/>
              <w:rPr/>
            </w:pPr>
            <w:r>
              <w:rPr/>
              <w:t> </w:t>
            </w:r>
          </w:p>
        </w:tc>
        <w:tc>
          <w:tcPr>
            <w:tcW w:w="1297" w:type="dxa"/>
            <w:gridSpan w:val="2"/>
            <w:tcBorders/>
            <w:shd w:fill="CCEEFF" w:val="clear"/>
            <w:vAlign w:val="bottom"/>
          </w:tcPr>
          <w:p>
            <w:pPr>
              <w:pStyle w:val="TableContents"/>
              <w:spacing w:before="0" w:after="0"/>
              <w:ind w:left="0" w:right="0" w:hanging="0"/>
              <w:jc w:val="right"/>
              <w:rPr/>
            </w:pPr>
            <w:r>
              <w:rPr/>
              <w:t> </w:t>
            </w:r>
          </w:p>
        </w:tc>
        <w:tc>
          <w:tcPr>
            <w:tcW w:w="107"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107"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1244" w:type="dxa"/>
            <w:gridSpan w:val="2"/>
            <w:tcBorders/>
            <w:shd w:fill="CCEEFF" w:val="clear"/>
            <w:vAlign w:val="bottom"/>
          </w:tcPr>
          <w:p>
            <w:pPr>
              <w:pStyle w:val="TableContents"/>
              <w:spacing w:before="0" w:after="0"/>
              <w:ind w:left="0" w:right="0" w:hanging="0"/>
              <w:jc w:val="right"/>
              <w:rPr/>
            </w:pPr>
            <w:r>
              <w:rPr/>
              <w:t> </w:t>
            </w:r>
          </w:p>
        </w:tc>
        <w:tc>
          <w:tcPr>
            <w:tcW w:w="107"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106"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544" w:type="dxa"/>
            <w:tcBorders/>
            <w:shd w:fill="CCEEFF" w:val="clear"/>
            <w:vAlign w:val="bottom"/>
          </w:tcPr>
          <w:p>
            <w:pPr>
              <w:pStyle w:val="TableContents"/>
              <w:spacing w:before="0" w:after="0"/>
              <w:ind w:left="0" w:right="0" w:hanging="0"/>
              <w:rPr/>
            </w:pPr>
            <w:r>
              <w:rPr/>
              <w:t> </w:t>
            </w:r>
          </w:p>
        </w:tc>
      </w:tr>
      <w:tr>
        <w:trPr/>
        <w:tc>
          <w:tcPr>
            <w:tcW w:w="2335"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Maintenance capital</w:t>
            </w:r>
          </w:p>
        </w:tc>
        <w:tc>
          <w:tcPr>
            <w:tcW w:w="101" w:type="dxa"/>
            <w:tcBorders/>
            <w:shd w:fill="auto" w:val="clear"/>
            <w:vAlign w:val="bottom"/>
          </w:tcPr>
          <w:p>
            <w:pPr>
              <w:pStyle w:val="TableContents"/>
              <w:spacing w:before="0" w:after="0"/>
              <w:ind w:left="0" w:right="0" w:hanging="0"/>
              <w:rPr/>
            </w:pPr>
            <w:r>
              <w:rPr/>
              <w:t> </w:t>
            </w:r>
          </w:p>
        </w:tc>
        <w:tc>
          <w:tcPr>
            <w:tcW w:w="2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3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w:t>
            </w:r>
          </w:p>
        </w:tc>
        <w:tc>
          <w:tcPr>
            <w:tcW w:w="107" w:type="dxa"/>
            <w:tcBorders/>
            <w:shd w:fill="auto" w:val="clear"/>
            <w:vAlign w:val="bottom"/>
          </w:tcPr>
          <w:p>
            <w:pPr>
              <w:pStyle w:val="TableContents"/>
              <w:spacing w:before="0" w:after="0"/>
              <w:ind w:left="0" w:right="0" w:hanging="0"/>
              <w:rPr/>
            </w:pPr>
            <w:r>
              <w:rPr/>
              <w:t> </w:t>
            </w:r>
          </w:p>
        </w:tc>
        <w:tc>
          <w:tcPr>
            <w:tcW w:w="2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8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w:t>
            </w:r>
          </w:p>
        </w:tc>
        <w:tc>
          <w:tcPr>
            <w:tcW w:w="107" w:type="dxa"/>
            <w:tcBorders/>
            <w:shd w:fill="auto" w:val="clear"/>
            <w:vAlign w:val="bottom"/>
          </w:tcPr>
          <w:p>
            <w:pPr>
              <w:pStyle w:val="TableContents"/>
              <w:spacing w:before="0" w:after="0"/>
              <w:ind w:left="0" w:right="0" w:hanging="0"/>
              <w:rPr/>
            </w:pPr>
            <w:r>
              <w:rPr/>
              <w:t> </w:t>
            </w:r>
          </w:p>
        </w:tc>
        <w:tc>
          <w:tcPr>
            <w:tcW w:w="17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6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05" w:type="dxa"/>
            <w:tcBorders/>
            <w:shd w:fill="auto" w:val="clear"/>
            <w:vAlign w:val="bottom"/>
          </w:tcPr>
          <w:p>
            <w:pPr>
              <w:pStyle w:val="TableContents"/>
              <w:spacing w:before="0" w:after="0"/>
              <w:ind w:left="0" w:right="0" w:hanging="0"/>
              <w:rPr/>
            </w:pPr>
            <w:r>
              <w:rPr/>
              <w:t> </w:t>
            </w:r>
          </w:p>
        </w:tc>
        <w:tc>
          <w:tcPr>
            <w:tcW w:w="2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97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w:t>
            </w:r>
          </w:p>
        </w:tc>
        <w:tc>
          <w:tcPr>
            <w:tcW w:w="107" w:type="dxa"/>
            <w:tcBorders/>
            <w:shd w:fill="auto" w:val="clear"/>
            <w:vAlign w:val="bottom"/>
          </w:tcPr>
          <w:p>
            <w:pPr>
              <w:pStyle w:val="TableContents"/>
              <w:spacing w:before="0" w:after="0"/>
              <w:ind w:left="0" w:right="0" w:hanging="0"/>
              <w:rPr/>
            </w:pPr>
            <w:r>
              <w:rPr/>
              <w:t> </w:t>
            </w:r>
          </w:p>
        </w:tc>
        <w:tc>
          <w:tcPr>
            <w:tcW w:w="2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8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w:t>
            </w:r>
          </w:p>
        </w:tc>
        <w:tc>
          <w:tcPr>
            <w:tcW w:w="106" w:type="dxa"/>
            <w:tcBorders/>
            <w:shd w:fill="auto" w:val="clear"/>
            <w:vAlign w:val="bottom"/>
          </w:tcPr>
          <w:p>
            <w:pPr>
              <w:pStyle w:val="TableContents"/>
              <w:spacing w:before="0" w:after="0"/>
              <w:ind w:left="0" w:right="0" w:hanging="0"/>
              <w:rPr/>
            </w:pPr>
            <w:r>
              <w:rPr/>
              <w:t> </w:t>
            </w:r>
          </w:p>
        </w:tc>
        <w:tc>
          <w:tcPr>
            <w:tcW w:w="17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6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54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3"/>
        </w:rPr>
        <w:t>Includes intersegment amounts.</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3"/>
        </w:rPr>
        <w:t>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3"/>
        </w:rPr>
        <w:t xml:space="preserve">The equity compensation charge for the three months ended March 31, 2009 and 2008 excludes the portion of the equity compensation expense represented by grants under the LTIP Plans that, pursuant to the terms of the grant, will be settled in cash only and have no impact on diluted units.  The portion of the equity compensation expense attributable to the cash portion of the LTIP Plans is approximately $2 million and less than $1 million for the three months ended March 31, 2009 and 2008, respectively.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3"/>
        </w:rPr>
        <w:t xml:space="preserve">Gains and losses from derivative activities related to revalued inventory are included in the line item Inventory valuation adjustments net of (gains)/losses from related derivative activities; gains and losses from derivative activities not related to revalued inventory are included in the line item Gains/(losses) from other derivative activities.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3"/>
        </w:rPr>
        <w:t xml:space="preserve">The gains and losses from derivative activities for the three months ended March 31, 2009 and 2008 include gains of approximately $3 million and $2 million, respectively, related to interest rate derivatives, which are included in interest income and other income (expense), net, but do not impact segment profit.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for the Transportation segment for the first quarter of 2009 increased 27% over corresponding 2008 results due principally to contributions from the Partnerships Rainbow Pipe Line acquisition, which closed in May 2008 and higher average pipeline tariff rates.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for the Facilities segment for the first quarter of 2009 increased 47% over comparable 2008 metrics due primarily to capacity increases from recently completed capital projects, higher average lease rates across the Partnerships assets and contributions from an LPG storage asset acquired in 2008.</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for the Marketing segment for the first quarter of 2009 increased 62% over comparable 2008 metrics, due to an increase in LPG sales margins and increased profitability resulting from the favorable impact of a contango market structure.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basic weighted average units outstanding for the first quarter of 2009 totaled 124 million (125 million diluted) as compared to 116 million (117 million diluted) in last years first quarter. At March 31, 2009, the Partnership had approximately 128.7 million units outstanding, long-term debt of approximately $3.2 billion and a long-term debt-to-total capitalization ratio of 47%.</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3608"/>
        <w:gridCol w:w="2781"/>
        <w:gridCol w:w="3816"/>
      </w:tblGrid>
      <w:tr>
        <w:trPr/>
        <w:tc>
          <w:tcPr>
            <w:tcW w:w="3608" w:type="dxa"/>
            <w:tcBorders>
              <w:top w:val="single" w:sz="8" w:space="0" w:color="000000"/>
            </w:tcBorders>
            <w:shd w:fill="auto" w:val="clear"/>
          </w:tcPr>
          <w:p>
            <w:pPr>
              <w:pStyle w:val="TableContents"/>
              <w:spacing w:before="0" w:after="0"/>
              <w:ind w:left="0" w:right="0" w:hanging="0"/>
              <w:jc w:val="right"/>
              <w:rPr/>
            </w:pPr>
            <w:r>
              <w:rPr/>
              <w:t> </w:t>
            </w:r>
          </w:p>
        </w:tc>
        <w:tc>
          <w:tcPr>
            <w:tcW w:w="2781" w:type="dxa"/>
            <w:tcBorders>
              <w:top w:val="single" w:sz="8" w:space="0" w:color="000000"/>
            </w:tcBorders>
            <w:shd w:fill="auto" w:val="clear"/>
          </w:tcPr>
          <w:p>
            <w:pPr>
              <w:pStyle w:val="TableContents"/>
              <w:spacing w:before="0" w:after="0"/>
              <w:ind w:left="0" w:right="0" w:hanging="0"/>
              <w:jc w:val="center"/>
              <w:rPr/>
            </w:pPr>
            <w:r>
              <w:rPr/>
              <w:t> </w:t>
            </w:r>
          </w:p>
        </w:tc>
        <w:tc>
          <w:tcPr>
            <w:tcW w:w="3816" w:type="dxa"/>
            <w:tcBorders>
              <w:top w:val="single" w:sz="8" w:space="0" w:color="000000"/>
            </w:tcBorders>
            <w:shd w:fill="auto" w:val="clear"/>
          </w:tcPr>
          <w:p>
            <w:pPr>
              <w:pStyle w:val="TableContents"/>
              <w:spacing w:before="0" w:after="0"/>
              <w:ind w:left="0" w:right="0" w:hanging="0"/>
              <w:rPr/>
            </w:pPr>
            <w:r>
              <w:rPr/>
              <w:t> </w:t>
            </w:r>
          </w:p>
        </w:tc>
      </w:tr>
      <w:tr>
        <w:trPr/>
        <w:tc>
          <w:tcPr>
            <w:tcW w:w="3608" w:type="dxa"/>
            <w:tcBorders/>
            <w:shd w:fill="auto" w:val="clear"/>
            <w:tcMar>
              <w:top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333 Clay Street, Suite 1600</w:t>
            </w:r>
          </w:p>
        </w:tc>
        <w:tc>
          <w:tcPr>
            <w:tcW w:w="2781" w:type="dxa"/>
            <w:tcBorders/>
            <w:shd w:fill="auto" w:val="clear"/>
            <w:tcMar>
              <w:top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Houston, Texas 77002</w:t>
            </w:r>
          </w:p>
        </w:tc>
        <w:tc>
          <w:tcPr>
            <w:tcW w:w="3816" w:type="dxa"/>
            <w:tcBorders/>
            <w:shd w:fill="auto" w:val="clear"/>
            <w:tcMar>
              <w:top w:w="0" w:type="dxa"/>
            </w:tcMar>
          </w:tcPr>
          <w:p>
            <w:pPr>
              <w:pStyle w:val="TableContents"/>
              <w:spacing w:before="0" w:after="0"/>
              <w:ind w:left="0" w:right="0" w:hanging="0"/>
              <w:rPr>
                <w:rFonts w:ascii="Times New Roman" w:hAnsi="Times New Roman"/>
                <w:sz w:val="17"/>
              </w:rPr>
            </w:pPr>
            <w:r>
              <w:rPr>
                <w:rFonts w:ascii="Times New Roman" w:hAnsi="Times New Roman"/>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4</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has declared a quarterly distribution of $0.905 per unit ($3.62 per unit on an annualized basis) payable May 15, 2009 on its outstanding limited partner units.  This distribution payment represents increases of approximately 4.6% and 1.4%, respectively, over the quarterly distributions paid in May 2008 and February 2009.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Prior to its May 7 conference call, the Partnership will furnish a current report on Form 8-K, which will include material in this press release and financial and operational guidance for the second quarter and full year 2009. A copy of the Form 8-K will be available on the Partnerships website at www.paalp.com.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Non-GAAP Financial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this release, the Partnerships EBITDA disclosure is not presented in accordance with generally accepted accounting principles and is not intended to be used in lieu of GAAP presentations of net income or cash flows from operating activities. EBITDA is presented because we believe it provides additional information with respect to both the performance of our fundamental business activities as well as our ability to meet our future debt service, capital expenditures and working capital requirements. We also believe that debt holders commonly use EBITDA to analyze Partnership performance. In addition, we present selected items that impact the comparability of our operating results as additional information that may be helpful to your understanding of our financial results. We consider an understanding of these selected items impacting comparability to be material to our evaluation of our operating results and prospects. 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Quarterly Report on Form 10-Q.</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reconciliation of EBITDA to net income and cash flows from operating activities for the periods presented is included in the tables attached to this release. In addition, the Partnership maintains on its website (www.paalp.com) a reconciliation of all non-GAAP financial information, such as EBITDA, to the most comparable GAAP measures. To access the information, investors should click on the Investor Relations link on the Partnerships home page and then the Non-GAAP Reconciliation link on the Investor Relations page.</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17"/>
        </w:rPr>
      </w:pPr>
      <w:r>
        <w:rPr>
          <w:rFonts w:ascii="Times New Roman" w:hAnsi="Times New Roman"/>
          <w:b/>
          <w:i/>
          <w:sz w:val="17"/>
        </w:rPr>
        <w:t>Conference Call</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will host a conference call at 11:00 AM (Eastern) on Thursday, May 7, 2009 to discuss the following items: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The Partnerships first-quarter 2009 performance;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The status of major expansion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Capitalization and liquidity;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Financial and operating guidance for the second quarter and full year 2009;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The Partnerships outlook for the future.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3608"/>
        <w:gridCol w:w="2781"/>
        <w:gridCol w:w="3816"/>
      </w:tblGrid>
      <w:tr>
        <w:trPr/>
        <w:tc>
          <w:tcPr>
            <w:tcW w:w="3608" w:type="dxa"/>
            <w:tcBorders>
              <w:top w:val="single" w:sz="8" w:space="0" w:color="000000"/>
            </w:tcBorders>
            <w:shd w:fill="auto" w:val="clear"/>
          </w:tcPr>
          <w:p>
            <w:pPr>
              <w:pStyle w:val="TableContents"/>
              <w:spacing w:before="0" w:after="0"/>
              <w:ind w:left="0" w:right="0" w:hanging="0"/>
              <w:jc w:val="right"/>
              <w:rPr/>
            </w:pPr>
            <w:r>
              <w:rPr/>
              <w:t> </w:t>
            </w:r>
          </w:p>
        </w:tc>
        <w:tc>
          <w:tcPr>
            <w:tcW w:w="2781" w:type="dxa"/>
            <w:tcBorders>
              <w:top w:val="single" w:sz="8" w:space="0" w:color="000000"/>
            </w:tcBorders>
            <w:shd w:fill="auto" w:val="clear"/>
          </w:tcPr>
          <w:p>
            <w:pPr>
              <w:pStyle w:val="TableContents"/>
              <w:spacing w:before="0" w:after="0"/>
              <w:ind w:left="0" w:right="0" w:hanging="0"/>
              <w:jc w:val="center"/>
              <w:rPr/>
            </w:pPr>
            <w:r>
              <w:rPr/>
              <w:t> </w:t>
            </w:r>
          </w:p>
        </w:tc>
        <w:tc>
          <w:tcPr>
            <w:tcW w:w="3816" w:type="dxa"/>
            <w:tcBorders>
              <w:top w:val="single" w:sz="8" w:space="0" w:color="000000"/>
            </w:tcBorders>
            <w:shd w:fill="auto" w:val="clear"/>
          </w:tcPr>
          <w:p>
            <w:pPr>
              <w:pStyle w:val="TableContents"/>
              <w:spacing w:before="0" w:after="0"/>
              <w:ind w:left="0" w:right="0" w:hanging="0"/>
              <w:rPr/>
            </w:pPr>
            <w:r>
              <w:rPr/>
              <w:t> </w:t>
            </w:r>
          </w:p>
        </w:tc>
      </w:tr>
      <w:tr>
        <w:trPr/>
        <w:tc>
          <w:tcPr>
            <w:tcW w:w="3608" w:type="dxa"/>
            <w:tcBorders/>
            <w:shd w:fill="auto" w:val="clear"/>
            <w:tcMar>
              <w:top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333 Clay Street, Suite 1600</w:t>
            </w:r>
          </w:p>
        </w:tc>
        <w:tc>
          <w:tcPr>
            <w:tcW w:w="2781" w:type="dxa"/>
            <w:tcBorders/>
            <w:shd w:fill="auto" w:val="clear"/>
            <w:tcMar>
              <w:top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Houston, Texas 77002</w:t>
            </w:r>
          </w:p>
        </w:tc>
        <w:tc>
          <w:tcPr>
            <w:tcW w:w="3816" w:type="dxa"/>
            <w:tcBorders/>
            <w:shd w:fill="auto" w:val="clear"/>
            <w:tcMar>
              <w:top w:w="0" w:type="dxa"/>
            </w:tcMar>
          </w:tcPr>
          <w:p>
            <w:pPr>
              <w:pStyle w:val="TableContents"/>
              <w:spacing w:before="0" w:after="0"/>
              <w:ind w:left="0" w:right="0" w:hanging="0"/>
              <w:rPr>
                <w:rFonts w:ascii="Times New Roman" w:hAnsi="Times New Roman"/>
                <w:sz w:val="17"/>
              </w:rPr>
            </w:pPr>
            <w:r>
              <w:rPr>
                <w:rFonts w:ascii="Times New Roman" w:hAnsi="Times New Roman"/>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5</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Webcast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access the Internet webcast, please go to the Partnerships website at www.paalp.com, choose Investor Relations, and then choose Conference Calls.  Following the live webcast, the call will be archived for a period of sixty (60) days on the Partnerships website.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you are unable to participate in the webcast, please dial 877-709-8150, or, for international callers, 201-689-8354, at approximately 10:55 AM (Eastern). No password or reservation number is required.  You may access the slide presentation accompanying the conference call a few minutes prior to the call under the Conference Call Summaries portion of the Conference Calls tab of the Investor Relations section of PAAs website at www.paalp.com.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Telephonic Replay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listen to a telephonic replay of the conference call, please dial 877-660-6853, or, for international callers, 201-612-7415, and enter account number 232 and replay ID number 319174.  The replay will be available beginning Thursday, May 7, 2009, at approximately 1:00 PM (Eastern) and continue until 11:59 PM (Eastern) Sunday, June 7, 2009.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publicly traded master limited partnership engaged in the transportation, storage, terminalling and marketing of crude oil, refined products and liquefied petroleum gas and other natural gas related petroleum products. Through its 50% indirect ownership in PAA Natural Gas Storage LLC, the partnership is also engaged in the development and operation of natural gas storage facilities. The Partnership is headquartered in Houston, Texas.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Forward 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for the historical information contained herein, the matters discussed in this report are forward-looking statements that involve certain risks and uncertainties that could cause actual results to differ materially from results anticipated in the forward-looking statements.  These risks and uncertainties include, among other things, failure to implement or capitalize on planned internal growth projects; maintenance of our credit rating and ability to receive open credit from our suppliers and trade counterparties; continued creditworthiness of, and performance by, our counterparties, including financial institutions and trading companies with which we do business; the success of our risk management activities; environmental liabilities or events that are not covered by an indemnity, insurance or existing reserves; abrupt or severe declines or interruptions in outer continental shelf production located offshore California and transported on our pipeline systems; shortages or cost increases of power supplies, materials or labor; 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fluctuations in refinery capacity in areas supplied by our mainlines and other factors affecting demand for various grades of crude oil, refined products and natural gas and resulting changes in pricing conditions or transportation throughput requirements; the availability of, and our ability to consummate, acquisition or combination opportunities; our ability to obtain debt or equity financing on satisfactory terms to fund additional acquisitions, expansion projects, working capital requirements and the repayment or refinancing of indebtedness;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3608"/>
        <w:gridCol w:w="2781"/>
        <w:gridCol w:w="3816"/>
      </w:tblGrid>
      <w:tr>
        <w:trPr/>
        <w:tc>
          <w:tcPr>
            <w:tcW w:w="3608" w:type="dxa"/>
            <w:tcBorders>
              <w:top w:val="single" w:sz="8" w:space="0" w:color="000000"/>
            </w:tcBorders>
            <w:shd w:fill="auto" w:val="clear"/>
          </w:tcPr>
          <w:p>
            <w:pPr>
              <w:pStyle w:val="TableContents"/>
              <w:spacing w:before="0" w:after="0"/>
              <w:ind w:left="0" w:right="0" w:hanging="0"/>
              <w:jc w:val="right"/>
              <w:rPr/>
            </w:pPr>
            <w:r>
              <w:rPr/>
              <w:t> </w:t>
            </w:r>
          </w:p>
        </w:tc>
        <w:tc>
          <w:tcPr>
            <w:tcW w:w="2781" w:type="dxa"/>
            <w:tcBorders>
              <w:top w:val="single" w:sz="8" w:space="0" w:color="000000"/>
            </w:tcBorders>
            <w:shd w:fill="auto" w:val="clear"/>
          </w:tcPr>
          <w:p>
            <w:pPr>
              <w:pStyle w:val="TableContents"/>
              <w:spacing w:before="0" w:after="0"/>
              <w:ind w:left="0" w:right="0" w:hanging="0"/>
              <w:jc w:val="center"/>
              <w:rPr/>
            </w:pPr>
            <w:r>
              <w:rPr/>
              <w:t> </w:t>
            </w:r>
          </w:p>
        </w:tc>
        <w:tc>
          <w:tcPr>
            <w:tcW w:w="3816" w:type="dxa"/>
            <w:tcBorders>
              <w:top w:val="single" w:sz="8" w:space="0" w:color="000000"/>
            </w:tcBorders>
            <w:shd w:fill="auto" w:val="clear"/>
          </w:tcPr>
          <w:p>
            <w:pPr>
              <w:pStyle w:val="TableContents"/>
              <w:spacing w:before="0" w:after="0"/>
              <w:ind w:left="0" w:right="0" w:hanging="0"/>
              <w:rPr/>
            </w:pPr>
            <w:r>
              <w:rPr/>
              <w:t> </w:t>
            </w:r>
          </w:p>
        </w:tc>
      </w:tr>
      <w:tr>
        <w:trPr/>
        <w:tc>
          <w:tcPr>
            <w:tcW w:w="3608" w:type="dxa"/>
            <w:tcBorders/>
            <w:shd w:fill="auto" w:val="clear"/>
            <w:tcMar>
              <w:top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333 Clay Street, Suite 1600</w:t>
            </w:r>
          </w:p>
        </w:tc>
        <w:tc>
          <w:tcPr>
            <w:tcW w:w="2781" w:type="dxa"/>
            <w:tcBorders/>
            <w:shd w:fill="auto" w:val="clear"/>
            <w:tcMar>
              <w:top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Houston, Texas 77002</w:t>
            </w:r>
          </w:p>
        </w:tc>
        <w:tc>
          <w:tcPr>
            <w:tcW w:w="3816" w:type="dxa"/>
            <w:tcBorders/>
            <w:shd w:fill="auto" w:val="clear"/>
            <w:tcMar>
              <w:top w:w="0" w:type="dxa"/>
            </w:tcMar>
          </w:tcPr>
          <w:p>
            <w:pPr>
              <w:pStyle w:val="TableContents"/>
              <w:spacing w:before="0" w:after="0"/>
              <w:ind w:left="0" w:right="0" w:hanging="0"/>
              <w:rPr>
                <w:rFonts w:ascii="Times New Roman" w:hAnsi="Times New Roman"/>
                <w:sz w:val="17"/>
              </w:rPr>
            </w:pPr>
            <w:r>
              <w:rPr>
                <w:rFonts w:ascii="Times New Roman" w:hAnsi="Times New Roman"/>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6</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 unanticipated changes in crude oil market structure and volatility (or lack thereof); the impact of current and future laws, rulings, governmental regulations, accounting standards and statements and related interpretations; the effects of competition; interruptions in service and fluctuations in tariffs or volumes on third-party pipelines; increased costs or lack of availability of insurance; fluctuations in the debt and equity markets, including the price of our units at the time of vesting under our long-term incentive plans; the currency exchange rate of the Canadian dollar; weather interference with business operations or project construction; risks related to the development and operation of natural gas storage facilities; future developments and circumstances at the time distributions are declared; general economic, market or business conditions and the amplification of other risks caused by deteriorated financial markets, capital constraints and pervasive liquidity concerns; and other factors and uncertainties inherent in the transportation, storage, terminalling and marketing of crude oil, refined products and liquefied petroleum gas and other natural gas related petroleum products discussed in the Partnerships filings with the Securities and Exchange Commission.</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3608"/>
        <w:gridCol w:w="2781"/>
        <w:gridCol w:w="3816"/>
      </w:tblGrid>
      <w:tr>
        <w:trPr/>
        <w:tc>
          <w:tcPr>
            <w:tcW w:w="3608" w:type="dxa"/>
            <w:tcBorders>
              <w:top w:val="single" w:sz="8" w:space="0" w:color="000000"/>
            </w:tcBorders>
            <w:shd w:fill="auto" w:val="clear"/>
          </w:tcPr>
          <w:p>
            <w:pPr>
              <w:pStyle w:val="TableContents"/>
              <w:spacing w:before="0" w:after="0"/>
              <w:ind w:left="0" w:right="0" w:hanging="0"/>
              <w:jc w:val="right"/>
              <w:rPr/>
            </w:pPr>
            <w:r>
              <w:rPr/>
              <w:t> </w:t>
            </w:r>
          </w:p>
        </w:tc>
        <w:tc>
          <w:tcPr>
            <w:tcW w:w="2781" w:type="dxa"/>
            <w:tcBorders>
              <w:top w:val="single" w:sz="8" w:space="0" w:color="000000"/>
            </w:tcBorders>
            <w:shd w:fill="auto" w:val="clear"/>
          </w:tcPr>
          <w:p>
            <w:pPr>
              <w:pStyle w:val="TableContents"/>
              <w:spacing w:before="0" w:after="0"/>
              <w:ind w:left="0" w:right="0" w:hanging="0"/>
              <w:jc w:val="center"/>
              <w:rPr/>
            </w:pPr>
            <w:r>
              <w:rPr/>
              <w:t> </w:t>
            </w:r>
          </w:p>
        </w:tc>
        <w:tc>
          <w:tcPr>
            <w:tcW w:w="3816" w:type="dxa"/>
            <w:tcBorders>
              <w:top w:val="single" w:sz="8" w:space="0" w:color="000000"/>
            </w:tcBorders>
            <w:shd w:fill="auto" w:val="clear"/>
          </w:tcPr>
          <w:p>
            <w:pPr>
              <w:pStyle w:val="TableContents"/>
              <w:spacing w:before="0" w:after="0"/>
              <w:ind w:left="0" w:right="0" w:hanging="0"/>
              <w:rPr/>
            </w:pPr>
            <w:r>
              <w:rPr/>
              <w:t> </w:t>
            </w:r>
          </w:p>
        </w:tc>
      </w:tr>
      <w:tr>
        <w:trPr/>
        <w:tc>
          <w:tcPr>
            <w:tcW w:w="3608" w:type="dxa"/>
            <w:tcBorders/>
            <w:shd w:fill="auto" w:val="clear"/>
            <w:tcMar>
              <w:top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333 Clay Street, Suite 1600</w:t>
            </w:r>
          </w:p>
        </w:tc>
        <w:tc>
          <w:tcPr>
            <w:tcW w:w="2781" w:type="dxa"/>
            <w:tcBorders/>
            <w:shd w:fill="auto" w:val="clear"/>
            <w:tcMar>
              <w:top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Houston, Texas 77002</w:t>
            </w:r>
          </w:p>
        </w:tc>
        <w:tc>
          <w:tcPr>
            <w:tcW w:w="3816" w:type="dxa"/>
            <w:tcBorders/>
            <w:shd w:fill="auto" w:val="clear"/>
            <w:tcMar>
              <w:top w:w="0" w:type="dxa"/>
            </w:tcMar>
          </w:tcPr>
          <w:p>
            <w:pPr>
              <w:pStyle w:val="TableContents"/>
              <w:spacing w:before="0" w:after="0"/>
              <w:ind w:left="0" w:right="0" w:hanging="0"/>
              <w:rPr>
                <w:rFonts w:ascii="Times New Roman" w:hAnsi="Times New Roman"/>
                <w:sz w:val="17"/>
              </w:rPr>
            </w:pPr>
            <w:r>
              <w:rPr>
                <w:rFonts w:ascii="Times New Roman" w:hAnsi="Times New Roman"/>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7</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CONSOLIDATED STATEMENTS OF OPERATIONS</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258"/>
        <w:gridCol w:w="211"/>
        <w:gridCol w:w="119"/>
        <w:gridCol w:w="1082"/>
        <w:gridCol w:w="215"/>
        <w:gridCol w:w="119"/>
        <w:gridCol w:w="1082"/>
        <w:gridCol w:w="119"/>
      </w:tblGrid>
      <w:tr>
        <w:trPr/>
        <w:tc>
          <w:tcPr>
            <w:tcW w:w="725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61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19" w:type="dxa"/>
            <w:tcBorders/>
            <w:shd w:fill="auto" w:val="clear"/>
            <w:vAlign w:val="bottom"/>
          </w:tcPr>
          <w:p>
            <w:pPr>
              <w:pStyle w:val="TableContents"/>
              <w:spacing w:before="0" w:after="0"/>
              <w:ind w:left="0" w:right="0" w:hanging="0"/>
              <w:jc w:val="center"/>
              <w:rPr/>
            </w:pPr>
            <w:r>
              <w:rPr/>
              <w:t> </w:t>
            </w:r>
          </w:p>
        </w:tc>
      </w:tr>
      <w:tr>
        <w:trPr/>
        <w:tc>
          <w:tcPr>
            <w:tcW w:w="725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61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19" w:type="dxa"/>
            <w:tcBorders/>
            <w:shd w:fill="auto" w:val="clear"/>
            <w:vAlign w:val="bottom"/>
          </w:tcPr>
          <w:p>
            <w:pPr>
              <w:pStyle w:val="TableContents"/>
              <w:spacing w:before="0" w:after="0"/>
              <w:ind w:left="0" w:right="0" w:hanging="0"/>
              <w:jc w:val="center"/>
              <w:rPr/>
            </w:pPr>
            <w:r>
              <w:rPr/>
              <w:t> </w:t>
            </w:r>
          </w:p>
        </w:tc>
      </w:tr>
      <w:tr>
        <w:trPr/>
        <w:tc>
          <w:tcPr>
            <w:tcW w:w="725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0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19" w:type="dxa"/>
            <w:tcBorders/>
            <w:shd w:fill="auto" w:val="clear"/>
            <w:vAlign w:val="bottom"/>
          </w:tcPr>
          <w:p>
            <w:pPr>
              <w:pStyle w:val="TableContents"/>
              <w:spacing w:before="0" w:after="0"/>
              <w:ind w:left="0" w:right="0" w:hanging="0"/>
              <w:jc w:val="center"/>
              <w:rPr/>
            </w:pPr>
            <w:r>
              <w:rPr/>
              <w:t> </w:t>
            </w:r>
          </w:p>
        </w:tc>
      </w:tr>
      <w:tr>
        <w:trPr/>
        <w:tc>
          <w:tcPr>
            <w:tcW w:w="725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11"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3,302</w:t>
            </w:r>
          </w:p>
        </w:tc>
        <w:tc>
          <w:tcPr>
            <w:tcW w:w="215"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7,195</w:t>
            </w:r>
          </w:p>
        </w:tc>
        <w:tc>
          <w:tcPr>
            <w:tcW w:w="119" w:type="dxa"/>
            <w:tcBorders/>
            <w:shd w:fill="CCEEFF" w:val="clear"/>
            <w:vAlign w:val="bottom"/>
          </w:tcPr>
          <w:p>
            <w:pPr>
              <w:pStyle w:val="TableContents"/>
              <w:spacing w:before="0" w:after="0"/>
              <w:ind w:left="0" w:right="0" w:hanging="0"/>
              <w:rPr/>
            </w:pPr>
            <w:r>
              <w:rPr/>
              <w:t> </w:t>
            </w:r>
          </w:p>
        </w:tc>
      </w:tr>
      <w:tr>
        <w:trPr/>
        <w:tc>
          <w:tcPr>
            <w:tcW w:w="7258"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25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11"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2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LPG purchases and related costs</w:t>
            </w:r>
          </w:p>
        </w:tc>
        <w:tc>
          <w:tcPr>
            <w:tcW w:w="211"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2,790</w:t>
            </w:r>
          </w:p>
        </w:tc>
        <w:tc>
          <w:tcPr>
            <w:tcW w:w="215"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6,836</w:t>
            </w:r>
          </w:p>
        </w:tc>
        <w:tc>
          <w:tcPr>
            <w:tcW w:w="119" w:type="dxa"/>
            <w:tcBorders/>
            <w:shd w:fill="auto" w:val="clear"/>
            <w:vAlign w:val="bottom"/>
          </w:tcPr>
          <w:p>
            <w:pPr>
              <w:pStyle w:val="TableContents"/>
              <w:spacing w:before="0" w:after="0"/>
              <w:ind w:left="0" w:right="0" w:hanging="0"/>
              <w:rPr/>
            </w:pPr>
            <w:r>
              <w:rPr/>
              <w:t> </w:t>
            </w:r>
          </w:p>
        </w:tc>
      </w:tr>
      <w:tr>
        <w:trPr/>
        <w:tc>
          <w:tcPr>
            <w:tcW w:w="725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211"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15"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19" w:type="dxa"/>
            <w:tcBorders/>
            <w:shd w:fill="CCEEFF" w:val="clear"/>
            <w:vAlign w:val="bottom"/>
          </w:tcPr>
          <w:p>
            <w:pPr>
              <w:pStyle w:val="TableContents"/>
              <w:spacing w:before="0" w:after="0"/>
              <w:ind w:left="0" w:right="0" w:hanging="0"/>
              <w:rPr/>
            </w:pPr>
            <w:r>
              <w:rPr/>
              <w:t> </w:t>
            </w:r>
          </w:p>
        </w:tc>
      </w:tr>
      <w:tr>
        <w:trPr/>
        <w:tc>
          <w:tcPr>
            <w:tcW w:w="72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211"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15"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19" w:type="dxa"/>
            <w:tcBorders/>
            <w:shd w:fill="auto" w:val="clear"/>
            <w:vAlign w:val="bottom"/>
          </w:tcPr>
          <w:p>
            <w:pPr>
              <w:pStyle w:val="TableContents"/>
              <w:spacing w:before="0" w:after="0"/>
              <w:ind w:left="0" w:right="0" w:hanging="0"/>
              <w:rPr/>
            </w:pPr>
            <w:r>
              <w:rPr/>
              <w:t> </w:t>
            </w:r>
          </w:p>
        </w:tc>
      </w:tr>
      <w:tr>
        <w:trPr/>
        <w:tc>
          <w:tcPr>
            <w:tcW w:w="725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1" w:type="dxa"/>
            <w:tcBorders/>
            <w:shd w:fill="CCEEFF"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5" w:type="dxa"/>
            <w:tcBorders/>
            <w:shd w:fill="CCEEFF"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19" w:type="dxa"/>
            <w:tcBorders/>
            <w:shd w:fill="CCEEFF" w:val="clear"/>
            <w:vAlign w:val="bottom"/>
          </w:tcPr>
          <w:p>
            <w:pPr>
              <w:pStyle w:val="TableContents"/>
              <w:spacing w:before="0" w:after="0"/>
              <w:ind w:left="0" w:right="0" w:hanging="0"/>
              <w:rPr/>
            </w:pPr>
            <w:r>
              <w:rPr/>
              <w:t> </w:t>
            </w:r>
          </w:p>
        </w:tc>
      </w:tr>
      <w:tr>
        <w:trPr/>
        <w:tc>
          <w:tcPr>
            <w:tcW w:w="7258"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25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costs and expenses</w:t>
            </w:r>
          </w:p>
        </w:tc>
        <w:tc>
          <w:tcPr>
            <w:tcW w:w="211" w:type="dxa"/>
            <w:tcBorders/>
            <w:shd w:fill="CCEEFF"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3,046</w:t>
            </w:r>
          </w:p>
        </w:tc>
        <w:tc>
          <w:tcPr>
            <w:tcW w:w="215" w:type="dxa"/>
            <w:tcBorders/>
            <w:shd w:fill="CCEEFF"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7,068</w:t>
            </w:r>
          </w:p>
        </w:tc>
        <w:tc>
          <w:tcPr>
            <w:tcW w:w="119" w:type="dxa"/>
            <w:tcBorders/>
            <w:shd w:fill="CCEEFF" w:val="clear"/>
            <w:vAlign w:val="bottom"/>
          </w:tcPr>
          <w:p>
            <w:pPr>
              <w:pStyle w:val="TableContents"/>
              <w:spacing w:before="0" w:after="0"/>
              <w:ind w:left="0" w:right="0" w:hanging="0"/>
              <w:rPr/>
            </w:pPr>
            <w:r>
              <w:rPr/>
              <w:t> </w:t>
            </w:r>
          </w:p>
        </w:tc>
      </w:tr>
      <w:tr>
        <w:trPr/>
        <w:tc>
          <w:tcPr>
            <w:tcW w:w="7258"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25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11"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215"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19" w:type="dxa"/>
            <w:tcBorders/>
            <w:shd w:fill="CCEEFF" w:val="clear"/>
            <w:vAlign w:val="bottom"/>
          </w:tcPr>
          <w:p>
            <w:pPr>
              <w:pStyle w:val="TableContents"/>
              <w:spacing w:before="0" w:after="0"/>
              <w:ind w:left="0" w:right="0" w:hanging="0"/>
              <w:rPr/>
            </w:pPr>
            <w:r>
              <w:rPr/>
              <w:t> </w:t>
            </w:r>
          </w:p>
        </w:tc>
      </w:tr>
      <w:tr>
        <w:trPr/>
        <w:tc>
          <w:tcPr>
            <w:tcW w:w="7258"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25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11"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2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1"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5"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9" w:type="dxa"/>
            <w:tcBorders/>
            <w:shd w:fill="auto" w:val="clear"/>
            <w:vAlign w:val="bottom"/>
          </w:tcPr>
          <w:p>
            <w:pPr>
              <w:pStyle w:val="TableContents"/>
              <w:spacing w:before="0" w:after="0"/>
              <w:ind w:left="0" w:right="0" w:hanging="0"/>
              <w:rPr/>
            </w:pPr>
            <w:r>
              <w:rPr/>
              <w:t> </w:t>
            </w:r>
          </w:p>
        </w:tc>
      </w:tr>
      <w:tr>
        <w:trPr/>
        <w:tc>
          <w:tcPr>
            <w:tcW w:w="725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1"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2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Interest income and other income (expense), net</w:t>
            </w:r>
          </w:p>
        </w:tc>
        <w:tc>
          <w:tcPr>
            <w:tcW w:w="211" w:type="dxa"/>
            <w:tcBorders/>
            <w:shd w:fill="auto"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5" w:type="dxa"/>
            <w:tcBorders/>
            <w:shd w:fill="auto"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9" w:type="dxa"/>
            <w:tcBorders/>
            <w:shd w:fill="auto" w:val="clear"/>
            <w:vAlign w:val="bottom"/>
          </w:tcPr>
          <w:p>
            <w:pPr>
              <w:pStyle w:val="TableContents"/>
              <w:spacing w:before="0" w:after="0"/>
              <w:ind w:left="0" w:right="0" w:hanging="0"/>
              <w:rPr/>
            </w:pPr>
            <w:r>
              <w:rPr/>
              <w:t> </w:t>
            </w:r>
          </w:p>
        </w:tc>
      </w:tr>
      <w:tr>
        <w:trPr/>
        <w:tc>
          <w:tcPr>
            <w:tcW w:w="7258"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258"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11"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212</w:t>
            </w:r>
          </w:p>
        </w:tc>
        <w:tc>
          <w:tcPr>
            <w:tcW w:w="215"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19" w:type="dxa"/>
            <w:tcBorders/>
            <w:shd w:fill="auto" w:val="clear"/>
            <w:vAlign w:val="bottom"/>
          </w:tcPr>
          <w:p>
            <w:pPr>
              <w:pStyle w:val="TableContents"/>
              <w:spacing w:before="0" w:after="0"/>
              <w:ind w:left="0" w:right="0" w:hanging="0"/>
              <w:rPr/>
            </w:pPr>
            <w:r>
              <w:rPr/>
              <w:t> </w:t>
            </w:r>
          </w:p>
        </w:tc>
      </w:tr>
      <w:tr>
        <w:trPr/>
        <w:tc>
          <w:tcPr>
            <w:tcW w:w="725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1"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2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w:t>
            </w:r>
          </w:p>
        </w:tc>
        <w:tc>
          <w:tcPr>
            <w:tcW w:w="211" w:type="dxa"/>
            <w:tcBorders/>
            <w:shd w:fill="auto"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auto"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9" w:type="dxa"/>
            <w:tcBorders/>
            <w:shd w:fill="auto" w:val="clear"/>
            <w:vAlign w:val="bottom"/>
          </w:tcPr>
          <w:p>
            <w:pPr>
              <w:pStyle w:val="TableContents"/>
              <w:spacing w:before="0" w:after="0"/>
              <w:ind w:left="0" w:right="0" w:hanging="0"/>
              <w:rPr/>
            </w:pPr>
            <w:r>
              <w:rPr/>
              <w:t> </w:t>
            </w:r>
          </w:p>
        </w:tc>
      </w:tr>
      <w:tr>
        <w:trPr/>
        <w:tc>
          <w:tcPr>
            <w:tcW w:w="7258"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258"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1"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215"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19" w:type="dxa"/>
            <w:tcBorders/>
            <w:shd w:fill="auto" w:val="clear"/>
            <w:vAlign w:val="bottom"/>
          </w:tcPr>
          <w:p>
            <w:pPr>
              <w:pStyle w:val="TableContents"/>
              <w:spacing w:before="0" w:after="0"/>
              <w:ind w:left="0" w:right="0" w:hanging="0"/>
              <w:rPr/>
            </w:pPr>
            <w:r>
              <w:rPr/>
              <w:t> </w:t>
            </w:r>
          </w:p>
        </w:tc>
      </w:tr>
      <w:tr>
        <w:trPr/>
        <w:tc>
          <w:tcPr>
            <w:tcW w:w="7258"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258"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NET INCOME - LIMITED PARTNERS</w:t>
            </w:r>
          </w:p>
        </w:tc>
        <w:tc>
          <w:tcPr>
            <w:tcW w:w="211"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215"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19" w:type="dxa"/>
            <w:tcBorders/>
            <w:shd w:fill="auto" w:val="clear"/>
            <w:vAlign w:val="bottom"/>
          </w:tcPr>
          <w:p>
            <w:pPr>
              <w:pStyle w:val="TableContents"/>
              <w:spacing w:before="0" w:after="0"/>
              <w:ind w:left="0" w:right="0" w:hanging="0"/>
              <w:rPr/>
            </w:pPr>
            <w:r>
              <w:rPr/>
              <w:t> </w:t>
            </w:r>
          </w:p>
        </w:tc>
      </w:tr>
      <w:tr>
        <w:trPr/>
        <w:tc>
          <w:tcPr>
            <w:tcW w:w="7258"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258"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NET INCOME - GENERAL PARTNER</w:t>
            </w:r>
          </w:p>
        </w:tc>
        <w:tc>
          <w:tcPr>
            <w:tcW w:w="211"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15"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19" w:type="dxa"/>
            <w:tcBorders/>
            <w:shd w:fill="auto" w:val="clear"/>
            <w:vAlign w:val="bottom"/>
          </w:tcPr>
          <w:p>
            <w:pPr>
              <w:pStyle w:val="TableContents"/>
              <w:spacing w:before="0" w:after="0"/>
              <w:ind w:left="0" w:right="0" w:hanging="0"/>
              <w:rPr/>
            </w:pPr>
            <w:r>
              <w:rPr/>
              <w:t> </w:t>
            </w:r>
          </w:p>
        </w:tc>
      </w:tr>
      <w:tr>
        <w:trPr/>
        <w:tc>
          <w:tcPr>
            <w:tcW w:w="7258"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258"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1"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15"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0.56</w:t>
            </w:r>
          </w:p>
        </w:tc>
        <w:tc>
          <w:tcPr>
            <w:tcW w:w="119" w:type="dxa"/>
            <w:tcBorders/>
            <w:shd w:fill="auto" w:val="clear"/>
            <w:vAlign w:val="bottom"/>
          </w:tcPr>
          <w:p>
            <w:pPr>
              <w:pStyle w:val="TableContents"/>
              <w:spacing w:before="0" w:after="0"/>
              <w:ind w:left="0" w:right="0" w:hanging="0"/>
              <w:rPr/>
            </w:pPr>
            <w:r>
              <w:rPr/>
              <w:t> </w:t>
            </w:r>
          </w:p>
        </w:tc>
      </w:tr>
      <w:tr>
        <w:trPr/>
        <w:tc>
          <w:tcPr>
            <w:tcW w:w="7258"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258"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1"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15"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0.56</w:t>
            </w:r>
          </w:p>
        </w:tc>
        <w:tc>
          <w:tcPr>
            <w:tcW w:w="119" w:type="dxa"/>
            <w:tcBorders/>
            <w:shd w:fill="auto" w:val="clear"/>
            <w:vAlign w:val="bottom"/>
          </w:tcPr>
          <w:p>
            <w:pPr>
              <w:pStyle w:val="TableContents"/>
              <w:spacing w:before="0" w:after="0"/>
              <w:ind w:left="0" w:right="0" w:hanging="0"/>
              <w:rPr/>
            </w:pPr>
            <w:r>
              <w:rPr/>
              <w:t> </w:t>
            </w:r>
          </w:p>
        </w:tc>
      </w:tr>
      <w:tr>
        <w:trPr/>
        <w:tc>
          <w:tcPr>
            <w:tcW w:w="7258"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258"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211" w:type="dxa"/>
            <w:tcBorders/>
            <w:shd w:fill="auto" w:val="clear"/>
            <w:vAlign w:val="bottom"/>
          </w:tcPr>
          <w:p>
            <w:pPr>
              <w:pStyle w:val="TableContents"/>
              <w:spacing w:before="0" w:after="0"/>
              <w:ind w:left="0" w:right="0" w:hanging="0"/>
              <w:rPr/>
            </w:pPr>
            <w:r>
              <w:rPr/>
              <w:t> </w:t>
            </w:r>
          </w:p>
        </w:tc>
        <w:tc>
          <w:tcPr>
            <w:tcW w:w="120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15" w:type="dxa"/>
            <w:tcBorders/>
            <w:shd w:fill="auto" w:val="clear"/>
            <w:vAlign w:val="bottom"/>
          </w:tcPr>
          <w:p>
            <w:pPr>
              <w:pStyle w:val="TableContents"/>
              <w:spacing w:before="0" w:after="0"/>
              <w:ind w:left="0" w:right="0" w:hanging="0"/>
              <w:rPr/>
            </w:pPr>
            <w:r>
              <w:rPr/>
              <w:t> </w:t>
            </w:r>
          </w:p>
        </w:tc>
        <w:tc>
          <w:tcPr>
            <w:tcW w:w="120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w:t>
            </w:r>
          </w:p>
        </w:tc>
        <w:tc>
          <w:tcPr>
            <w:tcW w:w="119" w:type="dxa"/>
            <w:tcBorders/>
            <w:shd w:fill="auto" w:val="clear"/>
            <w:vAlign w:val="bottom"/>
          </w:tcPr>
          <w:p>
            <w:pPr>
              <w:pStyle w:val="TableContents"/>
              <w:spacing w:before="0" w:after="0"/>
              <w:ind w:left="0" w:right="0" w:hanging="0"/>
              <w:rPr/>
            </w:pPr>
            <w:r>
              <w:rPr/>
              <w:t> </w:t>
            </w:r>
          </w:p>
        </w:tc>
      </w:tr>
      <w:tr>
        <w:trPr/>
        <w:tc>
          <w:tcPr>
            <w:tcW w:w="7258"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258"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211" w:type="dxa"/>
            <w:tcBorders/>
            <w:shd w:fill="auto" w:val="clear"/>
            <w:vAlign w:val="bottom"/>
          </w:tcPr>
          <w:p>
            <w:pPr>
              <w:pStyle w:val="TableContents"/>
              <w:spacing w:before="0" w:after="0"/>
              <w:ind w:left="0" w:right="0" w:hanging="0"/>
              <w:rPr/>
            </w:pPr>
            <w:r>
              <w:rPr/>
              <w:t> </w:t>
            </w:r>
          </w:p>
        </w:tc>
        <w:tc>
          <w:tcPr>
            <w:tcW w:w="120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15" w:type="dxa"/>
            <w:tcBorders/>
            <w:shd w:fill="auto" w:val="clear"/>
            <w:vAlign w:val="bottom"/>
          </w:tcPr>
          <w:p>
            <w:pPr>
              <w:pStyle w:val="TableContents"/>
              <w:spacing w:before="0" w:after="0"/>
              <w:ind w:left="0" w:right="0" w:hanging="0"/>
              <w:rPr/>
            </w:pPr>
            <w:r>
              <w:rPr/>
              <w:t> </w:t>
            </w:r>
          </w:p>
        </w:tc>
        <w:tc>
          <w:tcPr>
            <w:tcW w:w="120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11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3606"/>
        <w:gridCol w:w="2782"/>
        <w:gridCol w:w="3817"/>
      </w:tblGrid>
      <w:tr>
        <w:trPr/>
        <w:tc>
          <w:tcPr>
            <w:tcW w:w="3606" w:type="dxa"/>
            <w:tcBorders>
              <w:top w:val="single" w:sz="8" w:space="0" w:color="000000"/>
            </w:tcBorders>
            <w:shd w:fill="auto" w:val="clear"/>
          </w:tcPr>
          <w:p>
            <w:pPr>
              <w:pStyle w:val="TableContents"/>
              <w:spacing w:before="0" w:after="0"/>
              <w:ind w:left="0" w:right="0" w:hanging="0"/>
              <w:jc w:val="right"/>
              <w:rPr/>
            </w:pPr>
            <w:r>
              <w:rPr/>
              <w:t> </w:t>
            </w:r>
          </w:p>
        </w:tc>
        <w:tc>
          <w:tcPr>
            <w:tcW w:w="2782" w:type="dxa"/>
            <w:tcBorders>
              <w:top w:val="single" w:sz="8" w:space="0" w:color="000000"/>
            </w:tcBorders>
            <w:shd w:fill="auto" w:val="clear"/>
          </w:tcPr>
          <w:p>
            <w:pPr>
              <w:pStyle w:val="TableContents"/>
              <w:spacing w:before="0" w:after="0"/>
              <w:ind w:left="0" w:right="0" w:hanging="0"/>
              <w:rPr/>
            </w:pPr>
            <w:r>
              <w:rPr/>
              <w:t> </w:t>
            </w:r>
          </w:p>
        </w:tc>
        <w:tc>
          <w:tcPr>
            <w:tcW w:w="3817" w:type="dxa"/>
            <w:tcBorders>
              <w:top w:val="single" w:sz="8" w:space="0" w:color="000000"/>
            </w:tcBorders>
            <w:shd w:fill="auto" w:val="clear"/>
          </w:tcPr>
          <w:p>
            <w:pPr>
              <w:pStyle w:val="TableContents"/>
              <w:spacing w:before="0" w:after="0"/>
              <w:ind w:left="0" w:right="0" w:hanging="0"/>
              <w:rPr/>
            </w:pPr>
            <w:r>
              <w:rPr/>
              <w:t> </w:t>
            </w:r>
          </w:p>
        </w:tc>
      </w:tr>
      <w:tr>
        <w:trPr/>
        <w:tc>
          <w:tcPr>
            <w:tcW w:w="3606" w:type="dxa"/>
            <w:tcBorders/>
            <w:shd w:fill="auto" w:val="clear"/>
            <w:tcMar>
              <w:top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333 Clay Street, Suite 1600</w:t>
            </w:r>
          </w:p>
        </w:tc>
        <w:tc>
          <w:tcPr>
            <w:tcW w:w="2782" w:type="dxa"/>
            <w:tcBorders/>
            <w:shd w:fill="auto" w:val="clear"/>
            <w:tcMar>
              <w:top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Houston, Texas 77002</w:t>
            </w:r>
          </w:p>
        </w:tc>
        <w:tc>
          <w:tcPr>
            <w:tcW w:w="3817" w:type="dxa"/>
            <w:tcBorders/>
            <w:shd w:fill="auto" w:val="clear"/>
            <w:tcMar>
              <w:top w:w="0" w:type="dxa"/>
            </w:tcMar>
          </w:tcPr>
          <w:p>
            <w:pPr>
              <w:pStyle w:val="TableContents"/>
              <w:spacing w:before="0" w:after="0"/>
              <w:ind w:left="0" w:right="0" w:hanging="0"/>
              <w:rPr>
                <w:rFonts w:ascii="Times New Roman" w:hAnsi="Times New Roman"/>
                <w:sz w:val="17"/>
              </w:rPr>
            </w:pPr>
            <w:r>
              <w:rPr>
                <w:rFonts w:ascii="Times New Roman" w:hAnsi="Times New Roman"/>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8</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196"/>
        <w:gridCol w:w="5020"/>
        <w:gridCol w:w="209"/>
        <w:gridCol w:w="1255"/>
        <w:gridCol w:w="209"/>
        <w:gridCol w:w="1255"/>
        <w:gridCol w:w="61"/>
      </w:tblGrid>
      <w:tr>
        <w:trPr/>
        <w:tc>
          <w:tcPr>
            <w:tcW w:w="7216" w:type="dxa"/>
            <w:gridSpan w:val="2"/>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719"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61" w:type="dxa"/>
            <w:tcBorders/>
            <w:shd w:fill="auto" w:val="clear"/>
            <w:vAlign w:val="bottom"/>
          </w:tcPr>
          <w:p>
            <w:pPr>
              <w:pStyle w:val="TableContents"/>
              <w:spacing w:before="0" w:after="0"/>
              <w:ind w:left="0" w:right="0" w:hanging="0"/>
              <w:jc w:val="center"/>
              <w:rPr/>
            </w:pPr>
            <w:r>
              <w:rPr/>
              <w:t> </w:t>
            </w:r>
          </w:p>
        </w:tc>
      </w:tr>
      <w:tr>
        <w:trPr/>
        <w:tc>
          <w:tcPr>
            <w:tcW w:w="7216" w:type="dxa"/>
            <w:gridSpan w:val="2"/>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719"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61" w:type="dxa"/>
            <w:tcBorders/>
            <w:shd w:fill="auto" w:val="clear"/>
            <w:vAlign w:val="bottom"/>
          </w:tcPr>
          <w:p>
            <w:pPr>
              <w:pStyle w:val="TableContents"/>
              <w:spacing w:before="0" w:after="0"/>
              <w:ind w:left="0" w:right="0" w:hanging="0"/>
              <w:jc w:val="center"/>
              <w:rPr/>
            </w:pPr>
            <w:r>
              <w:rPr/>
              <w:t> </w:t>
            </w:r>
          </w:p>
        </w:tc>
      </w:tr>
      <w:tr>
        <w:trPr/>
        <w:tc>
          <w:tcPr>
            <w:tcW w:w="2196"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OPERATING DATA</w:t>
            </w:r>
            <w:r>
              <w:rPr/>
              <w:t xml:space="preserve"> </w:t>
            </w:r>
            <w:r>
              <w:rPr>
                <w:b/>
                <w:sz w:val="11"/>
              </w:rPr>
              <w:t>(1)</w:t>
            </w:r>
          </w:p>
        </w:tc>
        <w:tc>
          <w:tcPr>
            <w:tcW w:w="5020"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25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09" w:type="dxa"/>
            <w:tcBorders/>
            <w:shd w:fill="auto" w:val="clear"/>
            <w:vAlign w:val="bottom"/>
          </w:tcPr>
          <w:p>
            <w:pPr>
              <w:pStyle w:val="TableContents"/>
              <w:spacing w:before="0" w:after="0"/>
              <w:ind w:left="0" w:right="0" w:hanging="0"/>
              <w:jc w:val="center"/>
              <w:rPr/>
            </w:pPr>
            <w:r>
              <w:rPr/>
              <w:t> </w:t>
            </w:r>
          </w:p>
        </w:tc>
        <w:tc>
          <w:tcPr>
            <w:tcW w:w="125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61" w:type="dxa"/>
            <w:tcBorders/>
            <w:shd w:fill="auto" w:val="clear"/>
            <w:vAlign w:val="bottom"/>
          </w:tcPr>
          <w:p>
            <w:pPr>
              <w:pStyle w:val="TableContents"/>
              <w:spacing w:before="0" w:after="0"/>
              <w:ind w:left="0" w:right="0" w:hanging="0"/>
              <w:jc w:val="center"/>
              <w:rPr/>
            </w:pPr>
            <w:r>
              <w:rPr/>
              <w:t> </w:t>
            </w:r>
          </w:p>
        </w:tc>
      </w:tr>
      <w:tr>
        <w:trPr/>
        <w:tc>
          <w:tcPr>
            <w:tcW w:w="7216" w:type="dxa"/>
            <w:gridSpan w:val="2"/>
            <w:tcBorders/>
            <w:shd w:fill="auto" w:val="clear"/>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255"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255" w:type="dxa"/>
            <w:tcBorders/>
            <w:shd w:fill="auto" w:val="clear"/>
            <w:vAlign w:val="bottom"/>
          </w:tcPr>
          <w:p>
            <w:pPr>
              <w:pStyle w:val="TableContents"/>
              <w:spacing w:before="0" w:after="0"/>
              <w:ind w:left="0" w:right="0" w:hanging="0"/>
              <w:jc w:val="right"/>
              <w:rPr/>
            </w:pPr>
            <w:r>
              <w:rPr/>
              <w:t> </w:t>
            </w:r>
          </w:p>
        </w:tc>
        <w:tc>
          <w:tcPr>
            <w:tcW w:w="61" w:type="dxa"/>
            <w:tcBorders/>
            <w:shd w:fill="auto" w:val="clear"/>
            <w:vAlign w:val="bottom"/>
          </w:tcPr>
          <w:p>
            <w:pPr>
              <w:pStyle w:val="TableContents"/>
              <w:spacing w:before="0" w:after="0"/>
              <w:ind w:left="0" w:right="0" w:hanging="0"/>
              <w:rPr/>
            </w:pPr>
            <w:r>
              <w:rPr/>
              <w:t> </w:t>
            </w:r>
          </w:p>
        </w:tc>
      </w:tr>
      <w:tr>
        <w:trPr/>
        <w:tc>
          <w:tcPr>
            <w:tcW w:w="7216" w:type="dxa"/>
            <w:gridSpan w:val="2"/>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Transportation activities (Average Daily Volumes, thousands of barrels):</w:t>
            </w:r>
          </w:p>
        </w:tc>
        <w:tc>
          <w:tcPr>
            <w:tcW w:w="209" w:type="dxa"/>
            <w:tcBorders/>
            <w:shd w:fill="CCEEFF" w:val="clear"/>
            <w:vAlign w:val="bottom"/>
          </w:tcPr>
          <w:p>
            <w:pPr>
              <w:pStyle w:val="TableContents"/>
              <w:spacing w:before="0" w:after="0"/>
              <w:ind w:left="0" w:right="0" w:hanging="0"/>
              <w:rPr/>
            </w:pPr>
            <w:r>
              <w:rPr/>
              <w:t> </w:t>
            </w:r>
          </w:p>
        </w:tc>
        <w:tc>
          <w:tcPr>
            <w:tcW w:w="1255"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255" w:type="dxa"/>
            <w:tcBorders/>
            <w:shd w:fill="CCEEFF" w:val="clear"/>
            <w:vAlign w:val="bottom"/>
          </w:tcPr>
          <w:p>
            <w:pPr>
              <w:pStyle w:val="TableContents"/>
              <w:spacing w:before="0" w:after="0"/>
              <w:ind w:left="0" w:right="0" w:hanging="0"/>
              <w:jc w:val="right"/>
              <w:rPr/>
            </w:pPr>
            <w:r>
              <w:rPr/>
              <w:t> </w:t>
            </w:r>
          </w:p>
        </w:tc>
        <w:tc>
          <w:tcPr>
            <w:tcW w:w="61" w:type="dxa"/>
            <w:tcBorders/>
            <w:shd w:fill="CCEEFF" w:val="clear"/>
            <w:vAlign w:val="bottom"/>
          </w:tcPr>
          <w:p>
            <w:pPr>
              <w:pStyle w:val="TableContents"/>
              <w:spacing w:before="0" w:after="0"/>
              <w:ind w:left="0" w:right="0" w:hanging="0"/>
              <w:rPr/>
            </w:pPr>
            <w:r>
              <w:rPr/>
              <w:t> </w:t>
            </w:r>
          </w:p>
        </w:tc>
      </w:tr>
      <w:tr>
        <w:trPr/>
        <w:tc>
          <w:tcPr>
            <w:tcW w:w="721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209" w:type="dxa"/>
            <w:tcBorders/>
            <w:shd w:fill="auto" w:val="clear"/>
            <w:vAlign w:val="bottom"/>
          </w:tcPr>
          <w:p>
            <w:pPr>
              <w:pStyle w:val="TableContents"/>
              <w:spacing w:before="0" w:after="0"/>
              <w:ind w:left="0" w:right="0" w:hanging="0"/>
              <w:rPr/>
            </w:pPr>
            <w:r>
              <w:rPr/>
              <w:t> </w:t>
            </w:r>
          </w:p>
        </w:tc>
        <w:tc>
          <w:tcPr>
            <w:tcW w:w="1255"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255" w:type="dxa"/>
            <w:tcBorders/>
            <w:shd w:fill="auto" w:val="clear"/>
            <w:vAlign w:val="bottom"/>
          </w:tcPr>
          <w:p>
            <w:pPr>
              <w:pStyle w:val="TableContents"/>
              <w:spacing w:before="0" w:after="0"/>
              <w:ind w:left="0" w:right="0" w:hanging="0"/>
              <w:jc w:val="right"/>
              <w:rPr/>
            </w:pPr>
            <w:r>
              <w:rPr/>
              <w:t> </w:t>
            </w:r>
          </w:p>
        </w:tc>
        <w:tc>
          <w:tcPr>
            <w:tcW w:w="61" w:type="dxa"/>
            <w:tcBorders/>
            <w:shd w:fill="auto" w:val="clear"/>
            <w:vAlign w:val="bottom"/>
          </w:tcPr>
          <w:p>
            <w:pPr>
              <w:pStyle w:val="TableContents"/>
              <w:spacing w:before="0" w:after="0"/>
              <w:ind w:left="0" w:right="0" w:hanging="0"/>
              <w:rPr/>
            </w:pPr>
            <w:r>
              <w:rPr/>
              <w:t> </w:t>
            </w:r>
          </w:p>
        </w:tc>
      </w:tr>
      <w:tr>
        <w:trPr/>
        <w:tc>
          <w:tcPr>
            <w:tcW w:w="7216" w:type="dxa"/>
            <w:gridSpan w:val="2"/>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209" w:type="dxa"/>
            <w:tcBorders/>
            <w:shd w:fill="CCEEFF" w:val="clear"/>
            <w:vAlign w:val="bottom"/>
          </w:tcPr>
          <w:p>
            <w:pPr>
              <w:pStyle w:val="TableContents"/>
              <w:spacing w:before="0" w:after="0"/>
              <w:ind w:left="0" w:right="0" w:hanging="0"/>
              <w:rPr/>
            </w:pPr>
            <w:r>
              <w:rPr/>
              <w:t> </w:t>
            </w:r>
          </w:p>
        </w:tc>
        <w:tc>
          <w:tcPr>
            <w:tcW w:w="12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09" w:type="dxa"/>
            <w:tcBorders/>
            <w:shd w:fill="CCEEFF" w:val="clear"/>
            <w:vAlign w:val="bottom"/>
          </w:tcPr>
          <w:p>
            <w:pPr>
              <w:pStyle w:val="TableContents"/>
              <w:spacing w:before="0" w:after="0"/>
              <w:ind w:left="0" w:right="0" w:hanging="0"/>
              <w:rPr/>
            </w:pPr>
            <w:r>
              <w:rPr/>
              <w:t> </w:t>
            </w:r>
          </w:p>
        </w:tc>
        <w:tc>
          <w:tcPr>
            <w:tcW w:w="12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61" w:type="dxa"/>
            <w:tcBorders/>
            <w:shd w:fill="CCEEFF" w:val="clear"/>
            <w:vAlign w:val="bottom"/>
          </w:tcPr>
          <w:p>
            <w:pPr>
              <w:pStyle w:val="TableContents"/>
              <w:spacing w:before="0" w:after="0"/>
              <w:ind w:left="0" w:right="0" w:hanging="0"/>
              <w:rPr/>
            </w:pPr>
            <w:r>
              <w:rPr/>
              <w:t> </w:t>
            </w:r>
          </w:p>
        </w:tc>
      </w:tr>
      <w:tr>
        <w:trPr/>
        <w:tc>
          <w:tcPr>
            <w:tcW w:w="721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209" w:type="dxa"/>
            <w:tcBorders/>
            <w:shd w:fill="auto" w:val="clear"/>
            <w:vAlign w:val="bottom"/>
          </w:tcPr>
          <w:p>
            <w:pPr>
              <w:pStyle w:val="TableContents"/>
              <w:spacing w:before="0" w:after="0"/>
              <w:ind w:left="0" w:right="0" w:hanging="0"/>
              <w:rPr/>
            </w:pPr>
            <w:r>
              <w:rPr/>
              <w:t> </w:t>
            </w:r>
          </w:p>
        </w:tc>
        <w:tc>
          <w:tcPr>
            <w:tcW w:w="12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393</w:t>
            </w:r>
          </w:p>
        </w:tc>
        <w:tc>
          <w:tcPr>
            <w:tcW w:w="209" w:type="dxa"/>
            <w:tcBorders/>
            <w:shd w:fill="auto" w:val="clear"/>
            <w:vAlign w:val="bottom"/>
          </w:tcPr>
          <w:p>
            <w:pPr>
              <w:pStyle w:val="TableContents"/>
              <w:spacing w:before="0" w:after="0"/>
              <w:ind w:left="0" w:right="0" w:hanging="0"/>
              <w:rPr/>
            </w:pPr>
            <w:r>
              <w:rPr/>
              <w:t> </w:t>
            </w:r>
          </w:p>
        </w:tc>
        <w:tc>
          <w:tcPr>
            <w:tcW w:w="12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w:t>
            </w:r>
          </w:p>
        </w:tc>
        <w:tc>
          <w:tcPr>
            <w:tcW w:w="61" w:type="dxa"/>
            <w:tcBorders/>
            <w:shd w:fill="auto" w:val="clear"/>
            <w:vAlign w:val="bottom"/>
          </w:tcPr>
          <w:p>
            <w:pPr>
              <w:pStyle w:val="TableContents"/>
              <w:spacing w:before="0" w:after="0"/>
              <w:ind w:left="0" w:right="0" w:hanging="0"/>
              <w:rPr/>
            </w:pPr>
            <w:r>
              <w:rPr/>
              <w:t> </w:t>
            </w:r>
          </w:p>
        </w:tc>
      </w:tr>
      <w:tr>
        <w:trPr/>
        <w:tc>
          <w:tcPr>
            <w:tcW w:w="7216" w:type="dxa"/>
            <w:gridSpan w:val="2"/>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209" w:type="dxa"/>
            <w:tcBorders/>
            <w:shd w:fill="CCEEFF" w:val="clear"/>
            <w:vAlign w:val="bottom"/>
          </w:tcPr>
          <w:p>
            <w:pPr>
              <w:pStyle w:val="TableContents"/>
              <w:spacing w:before="0" w:after="0"/>
              <w:ind w:left="0" w:right="0" w:hanging="0"/>
              <w:rPr/>
            </w:pPr>
            <w:r>
              <w:rPr/>
              <w:t> </w:t>
            </w:r>
          </w:p>
        </w:tc>
        <w:tc>
          <w:tcPr>
            <w:tcW w:w="12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206</w:t>
            </w:r>
          </w:p>
        </w:tc>
        <w:tc>
          <w:tcPr>
            <w:tcW w:w="209" w:type="dxa"/>
            <w:tcBorders/>
            <w:shd w:fill="CCEEFF" w:val="clear"/>
            <w:vAlign w:val="bottom"/>
          </w:tcPr>
          <w:p>
            <w:pPr>
              <w:pStyle w:val="TableContents"/>
              <w:spacing w:before="0" w:after="0"/>
              <w:ind w:left="0" w:right="0" w:hanging="0"/>
              <w:rPr/>
            </w:pPr>
            <w:r>
              <w:rPr/>
              <w:t> </w:t>
            </w:r>
          </w:p>
        </w:tc>
        <w:tc>
          <w:tcPr>
            <w:tcW w:w="12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61" w:type="dxa"/>
            <w:tcBorders/>
            <w:shd w:fill="CCEEFF" w:val="clear"/>
            <w:vAlign w:val="bottom"/>
          </w:tcPr>
          <w:p>
            <w:pPr>
              <w:pStyle w:val="TableContents"/>
              <w:spacing w:before="0" w:after="0"/>
              <w:ind w:left="0" w:right="0" w:hanging="0"/>
              <w:rPr/>
            </w:pPr>
            <w:r>
              <w:rPr/>
              <w:t> </w:t>
            </w:r>
          </w:p>
        </w:tc>
      </w:tr>
      <w:tr>
        <w:trPr/>
        <w:tc>
          <w:tcPr>
            <w:tcW w:w="721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Line 63/Line 2000</w:t>
            </w:r>
          </w:p>
        </w:tc>
        <w:tc>
          <w:tcPr>
            <w:tcW w:w="209" w:type="dxa"/>
            <w:tcBorders/>
            <w:shd w:fill="auto" w:val="clear"/>
            <w:vAlign w:val="bottom"/>
          </w:tcPr>
          <w:p>
            <w:pPr>
              <w:pStyle w:val="TableContents"/>
              <w:spacing w:before="0" w:after="0"/>
              <w:ind w:left="0" w:right="0" w:hanging="0"/>
              <w:rPr/>
            </w:pPr>
            <w:r>
              <w:rPr/>
              <w:t> </w:t>
            </w:r>
          </w:p>
        </w:tc>
        <w:tc>
          <w:tcPr>
            <w:tcW w:w="12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209" w:type="dxa"/>
            <w:tcBorders/>
            <w:shd w:fill="auto" w:val="clear"/>
            <w:vAlign w:val="bottom"/>
          </w:tcPr>
          <w:p>
            <w:pPr>
              <w:pStyle w:val="TableContents"/>
              <w:spacing w:before="0" w:after="0"/>
              <w:ind w:left="0" w:right="0" w:hanging="0"/>
              <w:rPr/>
            </w:pPr>
            <w:r>
              <w:rPr/>
              <w:t> </w:t>
            </w:r>
          </w:p>
        </w:tc>
        <w:tc>
          <w:tcPr>
            <w:tcW w:w="12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61" w:type="dxa"/>
            <w:tcBorders/>
            <w:shd w:fill="auto" w:val="clear"/>
            <w:vAlign w:val="bottom"/>
          </w:tcPr>
          <w:p>
            <w:pPr>
              <w:pStyle w:val="TableContents"/>
              <w:spacing w:before="0" w:after="0"/>
              <w:ind w:left="0" w:right="0" w:hanging="0"/>
              <w:rPr/>
            </w:pPr>
            <w:r>
              <w:rPr/>
              <w:t> </w:t>
            </w:r>
          </w:p>
        </w:tc>
      </w:tr>
      <w:tr>
        <w:trPr/>
        <w:tc>
          <w:tcPr>
            <w:tcW w:w="7216" w:type="dxa"/>
            <w:gridSpan w:val="2"/>
            <w:tcBorders/>
            <w:shd w:fill="CCEEFF" w:val="clear"/>
          </w:tcPr>
          <w:p>
            <w:pPr>
              <w:pStyle w:val="TableContents"/>
              <w:spacing w:before="0" w:after="0"/>
              <w:ind w:left="0" w:right="0" w:hanging="0"/>
              <w:rPr/>
            </w:pPr>
            <w:r>
              <w:rPr>
                <w:rFonts w:ascii="Times New Roman" w:hAnsi="Times New Roman"/>
                <w:sz w:val="17"/>
              </w:rPr>
              <w:t xml:space="preserve">Salt Lake City Area Systems </w:t>
            </w:r>
            <w:r>
              <w:rPr>
                <w:sz w:val="11"/>
              </w:rPr>
              <w:t>(2)</w:t>
            </w:r>
          </w:p>
        </w:tc>
        <w:tc>
          <w:tcPr>
            <w:tcW w:w="209" w:type="dxa"/>
            <w:tcBorders/>
            <w:shd w:fill="CCEEFF" w:val="clear"/>
            <w:vAlign w:val="bottom"/>
          </w:tcPr>
          <w:p>
            <w:pPr>
              <w:pStyle w:val="TableContents"/>
              <w:spacing w:before="0" w:after="0"/>
              <w:ind w:left="0" w:right="0" w:hanging="0"/>
              <w:rPr/>
            </w:pPr>
            <w:r>
              <w:rPr/>
              <w:t> </w:t>
            </w:r>
          </w:p>
        </w:tc>
        <w:tc>
          <w:tcPr>
            <w:tcW w:w="12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09" w:type="dxa"/>
            <w:tcBorders/>
            <w:shd w:fill="CCEEFF" w:val="clear"/>
            <w:vAlign w:val="bottom"/>
          </w:tcPr>
          <w:p>
            <w:pPr>
              <w:pStyle w:val="TableContents"/>
              <w:spacing w:before="0" w:after="0"/>
              <w:ind w:left="0" w:right="0" w:hanging="0"/>
              <w:rPr/>
            </w:pPr>
            <w:r>
              <w:rPr/>
              <w:t> </w:t>
            </w:r>
          </w:p>
        </w:tc>
        <w:tc>
          <w:tcPr>
            <w:tcW w:w="12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61" w:type="dxa"/>
            <w:tcBorders/>
            <w:shd w:fill="CCEEFF" w:val="clear"/>
            <w:vAlign w:val="bottom"/>
          </w:tcPr>
          <w:p>
            <w:pPr>
              <w:pStyle w:val="TableContents"/>
              <w:spacing w:before="0" w:after="0"/>
              <w:ind w:left="0" w:right="0" w:hanging="0"/>
              <w:rPr/>
            </w:pPr>
            <w:r>
              <w:rPr/>
              <w:t> </w:t>
            </w:r>
          </w:p>
        </w:tc>
      </w:tr>
      <w:tr>
        <w:trPr/>
        <w:tc>
          <w:tcPr>
            <w:tcW w:w="7216" w:type="dxa"/>
            <w:gridSpan w:val="2"/>
            <w:tcBorders/>
            <w:shd w:fill="auto" w:val="clear"/>
          </w:tcPr>
          <w:p>
            <w:pPr>
              <w:pStyle w:val="TableContents"/>
              <w:spacing w:before="0" w:after="0"/>
              <w:ind w:left="0" w:right="0" w:hanging="0"/>
              <w:rPr/>
            </w:pPr>
            <w:r>
              <w:rPr>
                <w:rFonts w:ascii="Times New Roman" w:hAnsi="Times New Roman"/>
                <w:sz w:val="17"/>
              </w:rPr>
              <w:t xml:space="preserve">West Texas/New Mexico Area Systems </w:t>
            </w:r>
            <w:r>
              <w:rPr>
                <w:sz w:val="11"/>
              </w:rPr>
              <w:t>(2)</w:t>
            </w:r>
          </w:p>
        </w:tc>
        <w:tc>
          <w:tcPr>
            <w:tcW w:w="209" w:type="dxa"/>
            <w:tcBorders/>
            <w:shd w:fill="auto" w:val="clear"/>
            <w:vAlign w:val="bottom"/>
          </w:tcPr>
          <w:p>
            <w:pPr>
              <w:pStyle w:val="TableContents"/>
              <w:spacing w:before="0" w:after="0"/>
              <w:ind w:left="0" w:right="0" w:hanging="0"/>
              <w:rPr/>
            </w:pPr>
            <w:r>
              <w:rPr/>
              <w:t> </w:t>
            </w:r>
          </w:p>
        </w:tc>
        <w:tc>
          <w:tcPr>
            <w:tcW w:w="12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395</w:t>
            </w:r>
          </w:p>
        </w:tc>
        <w:tc>
          <w:tcPr>
            <w:tcW w:w="209" w:type="dxa"/>
            <w:tcBorders/>
            <w:shd w:fill="auto" w:val="clear"/>
            <w:vAlign w:val="bottom"/>
          </w:tcPr>
          <w:p>
            <w:pPr>
              <w:pStyle w:val="TableContents"/>
              <w:spacing w:before="0" w:after="0"/>
              <w:ind w:left="0" w:right="0" w:hanging="0"/>
              <w:rPr/>
            </w:pPr>
            <w:r>
              <w:rPr/>
              <w:t> </w:t>
            </w:r>
          </w:p>
        </w:tc>
        <w:tc>
          <w:tcPr>
            <w:tcW w:w="12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61" w:type="dxa"/>
            <w:tcBorders/>
            <w:shd w:fill="auto" w:val="clear"/>
            <w:vAlign w:val="bottom"/>
          </w:tcPr>
          <w:p>
            <w:pPr>
              <w:pStyle w:val="TableContents"/>
              <w:spacing w:before="0" w:after="0"/>
              <w:ind w:left="0" w:right="0" w:hanging="0"/>
              <w:rPr/>
            </w:pPr>
            <w:r>
              <w:rPr/>
              <w:t> </w:t>
            </w:r>
          </w:p>
        </w:tc>
      </w:tr>
      <w:tr>
        <w:trPr/>
        <w:tc>
          <w:tcPr>
            <w:tcW w:w="7216" w:type="dxa"/>
            <w:gridSpan w:val="2"/>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09" w:type="dxa"/>
            <w:tcBorders/>
            <w:shd w:fill="CCEEFF" w:val="clear"/>
            <w:vAlign w:val="bottom"/>
          </w:tcPr>
          <w:p>
            <w:pPr>
              <w:pStyle w:val="TableContents"/>
              <w:spacing w:before="0" w:after="0"/>
              <w:ind w:left="0" w:right="0" w:hanging="0"/>
              <w:rPr/>
            </w:pPr>
            <w:r>
              <w:rPr/>
              <w:t> </w:t>
            </w:r>
          </w:p>
        </w:tc>
        <w:tc>
          <w:tcPr>
            <w:tcW w:w="12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09" w:type="dxa"/>
            <w:tcBorders/>
            <w:shd w:fill="CCEEFF" w:val="clear"/>
            <w:vAlign w:val="bottom"/>
          </w:tcPr>
          <w:p>
            <w:pPr>
              <w:pStyle w:val="TableContents"/>
              <w:spacing w:before="0" w:after="0"/>
              <w:ind w:left="0" w:right="0" w:hanging="0"/>
              <w:rPr/>
            </w:pPr>
            <w:r>
              <w:rPr/>
              <w:t> </w:t>
            </w:r>
          </w:p>
        </w:tc>
        <w:tc>
          <w:tcPr>
            <w:tcW w:w="12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61" w:type="dxa"/>
            <w:tcBorders/>
            <w:shd w:fill="CCEEFF" w:val="clear"/>
            <w:vAlign w:val="bottom"/>
          </w:tcPr>
          <w:p>
            <w:pPr>
              <w:pStyle w:val="TableContents"/>
              <w:spacing w:before="0" w:after="0"/>
              <w:ind w:left="0" w:right="0" w:hanging="0"/>
              <w:rPr/>
            </w:pPr>
            <w:r>
              <w:rPr/>
              <w:t> </w:t>
            </w:r>
          </w:p>
        </w:tc>
      </w:tr>
      <w:tr>
        <w:trPr/>
        <w:tc>
          <w:tcPr>
            <w:tcW w:w="721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09" w:type="dxa"/>
            <w:tcBorders/>
            <w:shd w:fill="auto" w:val="clear"/>
            <w:vAlign w:val="bottom"/>
          </w:tcPr>
          <w:p>
            <w:pPr>
              <w:pStyle w:val="TableContents"/>
              <w:spacing w:before="0" w:after="0"/>
              <w:ind w:left="0" w:right="0" w:hanging="0"/>
              <w:rPr/>
            </w:pPr>
            <w:r>
              <w:rPr/>
              <w:t> </w:t>
            </w:r>
          </w:p>
        </w:tc>
        <w:tc>
          <w:tcPr>
            <w:tcW w:w="12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w:t>
            </w:r>
          </w:p>
        </w:tc>
        <w:tc>
          <w:tcPr>
            <w:tcW w:w="209" w:type="dxa"/>
            <w:tcBorders/>
            <w:shd w:fill="auto" w:val="clear"/>
            <w:vAlign w:val="bottom"/>
          </w:tcPr>
          <w:p>
            <w:pPr>
              <w:pStyle w:val="TableContents"/>
              <w:spacing w:before="0" w:after="0"/>
              <w:ind w:left="0" w:right="0" w:hanging="0"/>
              <w:rPr/>
            </w:pPr>
            <w:r>
              <w:rPr/>
              <w:t> </w:t>
            </w:r>
          </w:p>
        </w:tc>
        <w:tc>
          <w:tcPr>
            <w:tcW w:w="12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1" w:type="dxa"/>
            <w:tcBorders/>
            <w:shd w:fill="auto" w:val="clear"/>
            <w:vAlign w:val="bottom"/>
          </w:tcPr>
          <w:p>
            <w:pPr>
              <w:pStyle w:val="TableContents"/>
              <w:spacing w:before="0" w:after="0"/>
              <w:ind w:left="0" w:right="0" w:hanging="0"/>
              <w:rPr/>
            </w:pPr>
            <w:r>
              <w:rPr/>
              <w:t> </w:t>
            </w:r>
          </w:p>
        </w:tc>
      </w:tr>
      <w:tr>
        <w:trPr/>
        <w:tc>
          <w:tcPr>
            <w:tcW w:w="7216" w:type="dxa"/>
            <w:gridSpan w:val="2"/>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09" w:type="dxa"/>
            <w:tcBorders/>
            <w:shd w:fill="CCEEFF" w:val="clear"/>
            <w:vAlign w:val="bottom"/>
          </w:tcPr>
          <w:p>
            <w:pPr>
              <w:pStyle w:val="TableContents"/>
              <w:spacing w:before="0" w:after="0"/>
              <w:ind w:left="0" w:right="0" w:hanging="0"/>
              <w:rPr/>
            </w:pPr>
            <w:r>
              <w:rPr/>
              <w:t> </w:t>
            </w:r>
          </w:p>
        </w:tc>
        <w:tc>
          <w:tcPr>
            <w:tcW w:w="12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09" w:type="dxa"/>
            <w:tcBorders/>
            <w:shd w:fill="CCEEFF" w:val="clear"/>
            <w:vAlign w:val="bottom"/>
          </w:tcPr>
          <w:p>
            <w:pPr>
              <w:pStyle w:val="TableContents"/>
              <w:spacing w:before="0" w:after="0"/>
              <w:ind w:left="0" w:right="0" w:hanging="0"/>
              <w:rPr/>
            </w:pPr>
            <w:r>
              <w:rPr/>
              <w:t> </w:t>
            </w:r>
          </w:p>
        </w:tc>
        <w:tc>
          <w:tcPr>
            <w:tcW w:w="12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61" w:type="dxa"/>
            <w:tcBorders/>
            <w:shd w:fill="CCEEFF" w:val="clear"/>
            <w:vAlign w:val="bottom"/>
          </w:tcPr>
          <w:p>
            <w:pPr>
              <w:pStyle w:val="TableContents"/>
              <w:spacing w:before="0" w:after="0"/>
              <w:ind w:left="0" w:right="0" w:hanging="0"/>
              <w:rPr/>
            </w:pPr>
            <w:r>
              <w:rPr/>
              <w:t> </w:t>
            </w:r>
          </w:p>
        </w:tc>
      </w:tr>
      <w:tr>
        <w:trPr/>
        <w:tc>
          <w:tcPr>
            <w:tcW w:w="721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209" w:type="dxa"/>
            <w:tcBorders/>
            <w:shd w:fill="auto" w:val="clear"/>
            <w:vAlign w:val="bottom"/>
          </w:tcPr>
          <w:p>
            <w:pPr>
              <w:pStyle w:val="TableContents"/>
              <w:spacing w:before="0" w:after="0"/>
              <w:ind w:left="0" w:right="0" w:hanging="0"/>
              <w:rPr/>
            </w:pPr>
            <w:r>
              <w:rPr/>
              <w:t> </w:t>
            </w:r>
          </w:p>
        </w:tc>
        <w:tc>
          <w:tcPr>
            <w:tcW w:w="12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09" w:type="dxa"/>
            <w:tcBorders/>
            <w:shd w:fill="auto" w:val="clear"/>
            <w:vAlign w:val="bottom"/>
          </w:tcPr>
          <w:p>
            <w:pPr>
              <w:pStyle w:val="TableContents"/>
              <w:spacing w:before="0" w:after="0"/>
              <w:ind w:left="0" w:right="0" w:hanging="0"/>
              <w:rPr/>
            </w:pPr>
            <w:r>
              <w:rPr/>
              <w:t> </w:t>
            </w:r>
          </w:p>
        </w:tc>
        <w:tc>
          <w:tcPr>
            <w:tcW w:w="12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61" w:type="dxa"/>
            <w:tcBorders/>
            <w:shd w:fill="auto" w:val="clear"/>
            <w:vAlign w:val="bottom"/>
          </w:tcPr>
          <w:p>
            <w:pPr>
              <w:pStyle w:val="TableContents"/>
              <w:spacing w:before="0" w:after="0"/>
              <w:ind w:left="0" w:right="0" w:hanging="0"/>
              <w:rPr/>
            </w:pPr>
            <w:r>
              <w:rPr/>
              <w:t> </w:t>
            </w:r>
          </w:p>
        </w:tc>
      </w:tr>
      <w:tr>
        <w:trPr/>
        <w:tc>
          <w:tcPr>
            <w:tcW w:w="7216" w:type="dxa"/>
            <w:gridSpan w:val="2"/>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9" w:type="dxa"/>
            <w:tcBorders/>
            <w:shd w:fill="CCEEFF" w:val="clear"/>
            <w:vAlign w:val="bottom"/>
          </w:tcPr>
          <w:p>
            <w:pPr>
              <w:pStyle w:val="TableContents"/>
              <w:spacing w:before="0" w:after="0"/>
              <w:ind w:left="0" w:right="0" w:hanging="0"/>
              <w:rPr/>
            </w:pPr>
            <w:r>
              <w:rPr/>
              <w:t> </w:t>
            </w:r>
          </w:p>
        </w:tc>
        <w:tc>
          <w:tcPr>
            <w:tcW w:w="125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1,141</w:t>
            </w:r>
          </w:p>
        </w:tc>
        <w:tc>
          <w:tcPr>
            <w:tcW w:w="209" w:type="dxa"/>
            <w:tcBorders/>
            <w:shd w:fill="CCEEFF" w:val="clear"/>
            <w:vAlign w:val="bottom"/>
          </w:tcPr>
          <w:p>
            <w:pPr>
              <w:pStyle w:val="TableContents"/>
              <w:spacing w:before="0" w:after="0"/>
              <w:ind w:left="0" w:right="0" w:hanging="0"/>
              <w:rPr/>
            </w:pPr>
            <w:r>
              <w:rPr/>
              <w:t> </w:t>
            </w:r>
          </w:p>
        </w:tc>
        <w:tc>
          <w:tcPr>
            <w:tcW w:w="125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1,191</w:t>
            </w:r>
          </w:p>
        </w:tc>
        <w:tc>
          <w:tcPr>
            <w:tcW w:w="61" w:type="dxa"/>
            <w:tcBorders/>
            <w:shd w:fill="CCEEFF" w:val="clear"/>
            <w:vAlign w:val="bottom"/>
          </w:tcPr>
          <w:p>
            <w:pPr>
              <w:pStyle w:val="TableContents"/>
              <w:spacing w:before="0" w:after="0"/>
              <w:ind w:left="0" w:right="0" w:hanging="0"/>
              <w:rPr/>
            </w:pPr>
            <w:r>
              <w:rPr/>
              <w:t> </w:t>
            </w:r>
          </w:p>
        </w:tc>
      </w:tr>
      <w:tr>
        <w:trPr/>
        <w:tc>
          <w:tcPr>
            <w:tcW w:w="721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Tariff activities total</w:t>
            </w:r>
          </w:p>
        </w:tc>
        <w:tc>
          <w:tcPr>
            <w:tcW w:w="209" w:type="dxa"/>
            <w:tcBorders/>
            <w:shd w:fill="auto" w:val="clear"/>
            <w:vAlign w:val="bottom"/>
          </w:tcPr>
          <w:p>
            <w:pPr>
              <w:pStyle w:val="TableContents"/>
              <w:spacing w:before="0" w:after="0"/>
              <w:ind w:left="0" w:right="0" w:hanging="0"/>
              <w:rPr/>
            </w:pPr>
            <w:r>
              <w:rPr/>
              <w:t> </w:t>
            </w:r>
          </w:p>
        </w:tc>
        <w:tc>
          <w:tcPr>
            <w:tcW w:w="12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2,811</w:t>
            </w:r>
          </w:p>
        </w:tc>
        <w:tc>
          <w:tcPr>
            <w:tcW w:w="209" w:type="dxa"/>
            <w:tcBorders/>
            <w:shd w:fill="auto" w:val="clear"/>
            <w:vAlign w:val="bottom"/>
          </w:tcPr>
          <w:p>
            <w:pPr>
              <w:pStyle w:val="TableContents"/>
              <w:spacing w:before="0" w:after="0"/>
              <w:ind w:left="0" w:right="0" w:hanging="0"/>
              <w:rPr/>
            </w:pPr>
            <w:r>
              <w:rPr/>
              <w:t> </w:t>
            </w:r>
          </w:p>
        </w:tc>
        <w:tc>
          <w:tcPr>
            <w:tcW w:w="12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2,645</w:t>
            </w:r>
          </w:p>
        </w:tc>
        <w:tc>
          <w:tcPr>
            <w:tcW w:w="61" w:type="dxa"/>
            <w:tcBorders/>
            <w:shd w:fill="auto" w:val="clear"/>
            <w:vAlign w:val="bottom"/>
          </w:tcPr>
          <w:p>
            <w:pPr>
              <w:pStyle w:val="TableContents"/>
              <w:spacing w:before="0" w:after="0"/>
              <w:ind w:left="0" w:right="0" w:hanging="0"/>
              <w:rPr/>
            </w:pPr>
            <w:r>
              <w:rPr/>
              <w:t> </w:t>
            </w:r>
          </w:p>
        </w:tc>
      </w:tr>
      <w:tr>
        <w:trPr/>
        <w:tc>
          <w:tcPr>
            <w:tcW w:w="7216" w:type="dxa"/>
            <w:gridSpan w:val="2"/>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09" w:type="dxa"/>
            <w:tcBorders/>
            <w:shd w:fill="CCEEFF" w:val="clear"/>
            <w:vAlign w:val="bottom"/>
          </w:tcPr>
          <w:p>
            <w:pPr>
              <w:pStyle w:val="TableContents"/>
              <w:spacing w:before="0" w:after="0"/>
              <w:ind w:left="0" w:right="0" w:hanging="0"/>
              <w:rPr/>
            </w:pPr>
            <w:r>
              <w:rPr/>
              <w:t> </w:t>
            </w:r>
          </w:p>
        </w:tc>
        <w:tc>
          <w:tcPr>
            <w:tcW w:w="125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09" w:type="dxa"/>
            <w:tcBorders/>
            <w:shd w:fill="CCEEFF" w:val="clear"/>
            <w:vAlign w:val="bottom"/>
          </w:tcPr>
          <w:p>
            <w:pPr>
              <w:pStyle w:val="TableContents"/>
              <w:spacing w:before="0" w:after="0"/>
              <w:ind w:left="0" w:right="0" w:hanging="0"/>
              <w:rPr/>
            </w:pPr>
            <w:r>
              <w:rPr/>
              <w:t> </w:t>
            </w:r>
          </w:p>
        </w:tc>
        <w:tc>
          <w:tcPr>
            <w:tcW w:w="125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61" w:type="dxa"/>
            <w:tcBorders/>
            <w:shd w:fill="CCEEFF" w:val="clear"/>
            <w:vAlign w:val="bottom"/>
          </w:tcPr>
          <w:p>
            <w:pPr>
              <w:pStyle w:val="TableContents"/>
              <w:spacing w:before="0" w:after="0"/>
              <w:ind w:left="0" w:right="0" w:hanging="0"/>
              <w:rPr/>
            </w:pPr>
            <w:r>
              <w:rPr/>
              <w:t> </w:t>
            </w:r>
          </w:p>
        </w:tc>
      </w:tr>
      <w:tr>
        <w:trPr/>
        <w:tc>
          <w:tcPr>
            <w:tcW w:w="721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Transportation activities total</w:t>
            </w:r>
          </w:p>
        </w:tc>
        <w:tc>
          <w:tcPr>
            <w:tcW w:w="209" w:type="dxa"/>
            <w:tcBorders/>
            <w:shd w:fill="auto" w:val="clear"/>
            <w:vAlign w:val="bottom"/>
          </w:tcPr>
          <w:p>
            <w:pPr>
              <w:pStyle w:val="TableContents"/>
              <w:spacing w:before="0" w:after="0"/>
              <w:ind w:left="0" w:right="0" w:hanging="0"/>
              <w:rPr/>
            </w:pPr>
            <w:r>
              <w:rPr/>
              <w:t> </w:t>
            </w:r>
          </w:p>
        </w:tc>
        <w:tc>
          <w:tcPr>
            <w:tcW w:w="125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2,900</w:t>
            </w:r>
          </w:p>
        </w:tc>
        <w:tc>
          <w:tcPr>
            <w:tcW w:w="209" w:type="dxa"/>
            <w:tcBorders/>
            <w:shd w:fill="auto" w:val="clear"/>
            <w:vAlign w:val="bottom"/>
          </w:tcPr>
          <w:p>
            <w:pPr>
              <w:pStyle w:val="TableContents"/>
              <w:spacing w:before="0" w:after="0"/>
              <w:ind w:left="0" w:right="0" w:hanging="0"/>
              <w:rPr/>
            </w:pPr>
            <w:r>
              <w:rPr/>
              <w:t> </w:t>
            </w:r>
          </w:p>
        </w:tc>
        <w:tc>
          <w:tcPr>
            <w:tcW w:w="125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2,742</w:t>
            </w:r>
          </w:p>
        </w:tc>
        <w:tc>
          <w:tcPr>
            <w:tcW w:w="61" w:type="dxa"/>
            <w:tcBorders/>
            <w:shd w:fill="auto" w:val="clear"/>
            <w:vAlign w:val="bottom"/>
          </w:tcPr>
          <w:p>
            <w:pPr>
              <w:pStyle w:val="TableContents"/>
              <w:spacing w:before="0" w:after="0"/>
              <w:ind w:left="0" w:right="0" w:hanging="0"/>
              <w:rPr/>
            </w:pPr>
            <w:r>
              <w:rPr/>
              <w:t> </w:t>
            </w:r>
          </w:p>
        </w:tc>
      </w:tr>
      <w:tr>
        <w:trPr/>
        <w:tc>
          <w:tcPr>
            <w:tcW w:w="7216" w:type="dxa"/>
            <w:gridSpan w:val="2"/>
            <w:tcBorders/>
            <w:shd w:fill="CCEEFF" w:val="clear"/>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55"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255" w:type="dxa"/>
            <w:tcBorders/>
            <w:shd w:fill="CCEEFF" w:val="clear"/>
            <w:vAlign w:val="bottom"/>
          </w:tcPr>
          <w:p>
            <w:pPr>
              <w:pStyle w:val="TableContents"/>
              <w:spacing w:before="0" w:after="0"/>
              <w:ind w:left="0" w:right="0" w:hanging="0"/>
              <w:jc w:val="right"/>
              <w:rPr/>
            </w:pPr>
            <w:r>
              <w:rPr/>
              <w:t> </w:t>
            </w:r>
          </w:p>
        </w:tc>
        <w:tc>
          <w:tcPr>
            <w:tcW w:w="61" w:type="dxa"/>
            <w:tcBorders/>
            <w:shd w:fill="CCEEFF" w:val="clear"/>
            <w:vAlign w:val="bottom"/>
          </w:tcPr>
          <w:p>
            <w:pPr>
              <w:pStyle w:val="TableContents"/>
              <w:spacing w:before="0" w:after="0"/>
              <w:ind w:left="0" w:right="0" w:hanging="0"/>
              <w:rPr/>
            </w:pPr>
            <w:r>
              <w:rPr/>
              <w:t> </w:t>
            </w:r>
          </w:p>
        </w:tc>
      </w:tr>
      <w:tr>
        <w:trPr/>
        <w:tc>
          <w:tcPr>
            <w:tcW w:w="7216"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Facilities activities (Average Monthly Volumes):</w:t>
            </w:r>
          </w:p>
        </w:tc>
        <w:tc>
          <w:tcPr>
            <w:tcW w:w="209" w:type="dxa"/>
            <w:tcBorders/>
            <w:shd w:fill="auto" w:val="clear"/>
            <w:vAlign w:val="bottom"/>
          </w:tcPr>
          <w:p>
            <w:pPr>
              <w:pStyle w:val="TableContents"/>
              <w:spacing w:before="0" w:after="0"/>
              <w:ind w:left="0" w:right="0" w:hanging="0"/>
              <w:rPr/>
            </w:pPr>
            <w:r>
              <w:rPr/>
              <w:t> </w:t>
            </w:r>
          </w:p>
        </w:tc>
        <w:tc>
          <w:tcPr>
            <w:tcW w:w="1255"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255" w:type="dxa"/>
            <w:tcBorders/>
            <w:shd w:fill="auto" w:val="clear"/>
            <w:vAlign w:val="bottom"/>
          </w:tcPr>
          <w:p>
            <w:pPr>
              <w:pStyle w:val="TableContents"/>
              <w:spacing w:before="0" w:after="0"/>
              <w:ind w:left="0" w:right="0" w:hanging="0"/>
              <w:jc w:val="right"/>
              <w:rPr/>
            </w:pPr>
            <w:r>
              <w:rPr/>
              <w:t> </w:t>
            </w:r>
          </w:p>
        </w:tc>
        <w:tc>
          <w:tcPr>
            <w:tcW w:w="61" w:type="dxa"/>
            <w:tcBorders/>
            <w:shd w:fill="auto" w:val="clear"/>
            <w:vAlign w:val="bottom"/>
          </w:tcPr>
          <w:p>
            <w:pPr>
              <w:pStyle w:val="TableContents"/>
              <w:spacing w:before="0" w:after="0"/>
              <w:ind w:left="0" w:right="0" w:hanging="0"/>
              <w:rPr/>
            </w:pPr>
            <w:r>
              <w:rPr/>
              <w:t> </w:t>
            </w:r>
          </w:p>
        </w:tc>
      </w:tr>
      <w:tr>
        <w:trPr/>
        <w:tc>
          <w:tcPr>
            <w:tcW w:w="7216" w:type="dxa"/>
            <w:gridSpan w:val="2"/>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LPG storage</w:t>
              <w:br/>
              <w:t>(average monthly capacity in millions of barrels)</w:t>
            </w:r>
          </w:p>
        </w:tc>
        <w:tc>
          <w:tcPr>
            <w:tcW w:w="209" w:type="dxa"/>
            <w:tcBorders/>
            <w:shd w:fill="CCEEFF" w:val="clear"/>
            <w:vAlign w:val="bottom"/>
          </w:tcPr>
          <w:p>
            <w:pPr>
              <w:pStyle w:val="TableContents"/>
              <w:spacing w:before="0" w:after="0"/>
              <w:ind w:left="0" w:right="0" w:hanging="0"/>
              <w:rPr/>
            </w:pPr>
            <w:r>
              <w:rPr/>
              <w:t> </w:t>
            </w:r>
          </w:p>
        </w:tc>
        <w:tc>
          <w:tcPr>
            <w:tcW w:w="12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09" w:type="dxa"/>
            <w:tcBorders/>
            <w:shd w:fill="CCEEFF" w:val="clear"/>
            <w:vAlign w:val="bottom"/>
          </w:tcPr>
          <w:p>
            <w:pPr>
              <w:pStyle w:val="TableContents"/>
              <w:spacing w:before="0" w:after="0"/>
              <w:ind w:left="0" w:right="0" w:hanging="0"/>
              <w:rPr/>
            </w:pPr>
            <w:r>
              <w:rPr/>
              <w:t> </w:t>
            </w:r>
          </w:p>
        </w:tc>
        <w:tc>
          <w:tcPr>
            <w:tcW w:w="12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61" w:type="dxa"/>
            <w:tcBorders/>
            <w:shd w:fill="CCEEFF" w:val="clear"/>
            <w:vAlign w:val="bottom"/>
          </w:tcPr>
          <w:p>
            <w:pPr>
              <w:pStyle w:val="TableContents"/>
              <w:spacing w:before="0" w:after="0"/>
              <w:ind w:left="0" w:right="0" w:hanging="0"/>
              <w:rPr/>
            </w:pPr>
            <w:r>
              <w:rPr/>
              <w:t> </w:t>
            </w:r>
          </w:p>
        </w:tc>
      </w:tr>
      <w:tr>
        <w:trPr/>
        <w:tc>
          <w:tcPr>
            <w:tcW w:w="721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Natural gas storage, net to our 50% interest</w:t>
              <w:br/>
              <w:t>(average monthly capacity in billions of cubic feet)</w:t>
            </w:r>
          </w:p>
        </w:tc>
        <w:tc>
          <w:tcPr>
            <w:tcW w:w="209" w:type="dxa"/>
            <w:tcBorders/>
            <w:shd w:fill="auto" w:val="clear"/>
            <w:vAlign w:val="bottom"/>
          </w:tcPr>
          <w:p>
            <w:pPr>
              <w:pStyle w:val="TableContents"/>
              <w:spacing w:before="0" w:after="0"/>
              <w:ind w:left="0" w:right="0" w:hanging="0"/>
              <w:rPr/>
            </w:pPr>
            <w:r>
              <w:rPr/>
              <w:t> </w:t>
            </w:r>
          </w:p>
        </w:tc>
        <w:tc>
          <w:tcPr>
            <w:tcW w:w="125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09" w:type="dxa"/>
            <w:tcBorders/>
            <w:shd w:fill="auto" w:val="clear"/>
            <w:vAlign w:val="bottom"/>
          </w:tcPr>
          <w:p>
            <w:pPr>
              <w:pStyle w:val="TableContents"/>
              <w:spacing w:before="0" w:after="0"/>
              <w:ind w:left="0" w:right="0" w:hanging="0"/>
              <w:rPr/>
            </w:pPr>
            <w:r>
              <w:rPr/>
              <w:t> </w:t>
            </w:r>
          </w:p>
        </w:tc>
        <w:tc>
          <w:tcPr>
            <w:tcW w:w="125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61" w:type="dxa"/>
            <w:tcBorders/>
            <w:shd w:fill="auto" w:val="clear"/>
            <w:vAlign w:val="bottom"/>
          </w:tcPr>
          <w:p>
            <w:pPr>
              <w:pStyle w:val="TableContents"/>
              <w:spacing w:before="0" w:after="0"/>
              <w:ind w:left="0" w:right="0" w:hanging="0"/>
              <w:rPr/>
            </w:pPr>
            <w:r>
              <w:rPr/>
              <w:t> </w:t>
            </w:r>
          </w:p>
        </w:tc>
      </w:tr>
      <w:tr>
        <w:trPr/>
        <w:tc>
          <w:tcPr>
            <w:tcW w:w="7216" w:type="dxa"/>
            <w:gridSpan w:val="2"/>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LPG processing</w:t>
              <w:br/>
              <w:t>(average throughput in thousands of barrels per day)</w:t>
            </w:r>
          </w:p>
        </w:tc>
        <w:tc>
          <w:tcPr>
            <w:tcW w:w="209" w:type="dxa"/>
            <w:tcBorders/>
            <w:shd w:fill="CCEEFF" w:val="clear"/>
            <w:vAlign w:val="bottom"/>
          </w:tcPr>
          <w:p>
            <w:pPr>
              <w:pStyle w:val="TableContents"/>
              <w:spacing w:before="0" w:after="0"/>
              <w:ind w:left="0" w:right="0" w:hanging="0"/>
              <w:rPr/>
            </w:pPr>
            <w:r>
              <w:rPr/>
              <w:t> </w:t>
            </w:r>
          </w:p>
        </w:tc>
        <w:tc>
          <w:tcPr>
            <w:tcW w:w="12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9" w:type="dxa"/>
            <w:tcBorders/>
            <w:shd w:fill="CCEEFF" w:val="clear"/>
            <w:vAlign w:val="bottom"/>
          </w:tcPr>
          <w:p>
            <w:pPr>
              <w:pStyle w:val="TableContents"/>
              <w:spacing w:before="0" w:after="0"/>
              <w:ind w:left="0" w:right="0" w:hanging="0"/>
              <w:rPr/>
            </w:pPr>
            <w:r>
              <w:rPr/>
              <w:t> </w:t>
            </w:r>
          </w:p>
        </w:tc>
        <w:tc>
          <w:tcPr>
            <w:tcW w:w="12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61" w:type="dxa"/>
            <w:tcBorders/>
            <w:shd w:fill="CCEEFF" w:val="clear"/>
            <w:vAlign w:val="bottom"/>
          </w:tcPr>
          <w:p>
            <w:pPr>
              <w:pStyle w:val="TableContents"/>
              <w:spacing w:before="0" w:after="0"/>
              <w:ind w:left="0" w:right="0" w:hanging="0"/>
              <w:rPr/>
            </w:pPr>
            <w:r>
              <w:rPr/>
              <w:t> </w:t>
            </w:r>
          </w:p>
        </w:tc>
      </w:tr>
      <w:tr>
        <w:trPr/>
        <w:tc>
          <w:tcPr>
            <w:tcW w:w="7216" w:type="dxa"/>
            <w:gridSpan w:val="2"/>
            <w:tcBorders/>
            <w:shd w:fill="auto" w:val="clear"/>
          </w:tcPr>
          <w:p>
            <w:pPr>
              <w:pStyle w:val="TableContents"/>
              <w:spacing w:before="0" w:after="0"/>
              <w:ind w:left="0" w:right="0" w:hanging="0"/>
              <w:rPr/>
            </w:pPr>
            <w:r>
              <w:rPr>
                <w:rFonts w:ascii="Times New Roman" w:hAnsi="Times New Roman"/>
                <w:sz w:val="17"/>
              </w:rPr>
              <w:t>Facilities activities total</w:t>
              <w:br/>
              <w:t xml:space="preserve">(average monthly capacity in millions of barrels) </w:t>
            </w:r>
            <w:r>
              <w:rPr>
                <w:sz w:val="11"/>
              </w:rPr>
              <w:t>(3)</w:t>
            </w:r>
          </w:p>
        </w:tc>
        <w:tc>
          <w:tcPr>
            <w:tcW w:w="209" w:type="dxa"/>
            <w:tcBorders/>
            <w:shd w:fill="auto" w:val="clear"/>
            <w:vAlign w:val="bottom"/>
          </w:tcPr>
          <w:p>
            <w:pPr>
              <w:pStyle w:val="TableContents"/>
              <w:spacing w:before="0" w:after="0"/>
              <w:ind w:left="0" w:right="0" w:hanging="0"/>
              <w:rPr/>
            </w:pPr>
            <w:r>
              <w:rPr/>
              <w:t> </w:t>
            </w:r>
          </w:p>
        </w:tc>
        <w:tc>
          <w:tcPr>
            <w:tcW w:w="125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09" w:type="dxa"/>
            <w:tcBorders/>
            <w:shd w:fill="auto" w:val="clear"/>
            <w:vAlign w:val="bottom"/>
          </w:tcPr>
          <w:p>
            <w:pPr>
              <w:pStyle w:val="TableContents"/>
              <w:spacing w:before="0" w:after="0"/>
              <w:ind w:left="0" w:right="0" w:hanging="0"/>
              <w:rPr/>
            </w:pPr>
            <w:r>
              <w:rPr/>
              <w:t> </w:t>
            </w:r>
          </w:p>
        </w:tc>
        <w:tc>
          <w:tcPr>
            <w:tcW w:w="125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61" w:type="dxa"/>
            <w:tcBorders/>
            <w:shd w:fill="auto" w:val="clear"/>
            <w:vAlign w:val="bottom"/>
          </w:tcPr>
          <w:p>
            <w:pPr>
              <w:pStyle w:val="TableContents"/>
              <w:spacing w:before="0" w:after="0"/>
              <w:ind w:left="0" w:right="0" w:hanging="0"/>
              <w:rPr/>
            </w:pPr>
            <w:r>
              <w:rPr/>
              <w:t> </w:t>
            </w:r>
          </w:p>
        </w:tc>
      </w:tr>
      <w:tr>
        <w:trPr/>
        <w:tc>
          <w:tcPr>
            <w:tcW w:w="7216" w:type="dxa"/>
            <w:gridSpan w:val="2"/>
            <w:tcBorders/>
            <w:shd w:fill="CCEEFF" w:val="clear"/>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55"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255" w:type="dxa"/>
            <w:tcBorders/>
            <w:shd w:fill="CCEEFF" w:val="clear"/>
            <w:vAlign w:val="bottom"/>
          </w:tcPr>
          <w:p>
            <w:pPr>
              <w:pStyle w:val="TableContents"/>
              <w:spacing w:before="0" w:after="0"/>
              <w:ind w:left="0" w:right="0" w:hanging="0"/>
              <w:jc w:val="right"/>
              <w:rPr/>
            </w:pPr>
            <w:r>
              <w:rPr/>
              <w:t> </w:t>
            </w:r>
          </w:p>
        </w:tc>
        <w:tc>
          <w:tcPr>
            <w:tcW w:w="61" w:type="dxa"/>
            <w:tcBorders/>
            <w:shd w:fill="CCEEFF" w:val="clear"/>
            <w:vAlign w:val="bottom"/>
          </w:tcPr>
          <w:p>
            <w:pPr>
              <w:pStyle w:val="TableContents"/>
              <w:spacing w:before="0" w:after="0"/>
              <w:ind w:left="0" w:right="0" w:hanging="0"/>
              <w:rPr/>
            </w:pPr>
            <w:r>
              <w:rPr/>
              <w:t> </w:t>
            </w:r>
          </w:p>
        </w:tc>
      </w:tr>
      <w:tr>
        <w:trPr/>
        <w:tc>
          <w:tcPr>
            <w:tcW w:w="7216"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Marketing activities (Average Daily Volumes, thousands of barrels):</w:t>
            </w:r>
          </w:p>
        </w:tc>
        <w:tc>
          <w:tcPr>
            <w:tcW w:w="209" w:type="dxa"/>
            <w:tcBorders/>
            <w:shd w:fill="auto" w:val="clear"/>
            <w:vAlign w:val="bottom"/>
          </w:tcPr>
          <w:p>
            <w:pPr>
              <w:pStyle w:val="TableContents"/>
              <w:spacing w:before="0" w:after="0"/>
              <w:ind w:left="0" w:right="0" w:hanging="0"/>
              <w:rPr/>
            </w:pPr>
            <w:r>
              <w:rPr/>
              <w:t> </w:t>
            </w:r>
          </w:p>
        </w:tc>
        <w:tc>
          <w:tcPr>
            <w:tcW w:w="1255"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255" w:type="dxa"/>
            <w:tcBorders/>
            <w:shd w:fill="auto" w:val="clear"/>
            <w:vAlign w:val="bottom"/>
          </w:tcPr>
          <w:p>
            <w:pPr>
              <w:pStyle w:val="TableContents"/>
              <w:spacing w:before="0" w:after="0"/>
              <w:ind w:left="0" w:right="0" w:hanging="0"/>
              <w:jc w:val="right"/>
              <w:rPr/>
            </w:pPr>
            <w:r>
              <w:rPr/>
              <w:t> </w:t>
            </w:r>
          </w:p>
        </w:tc>
        <w:tc>
          <w:tcPr>
            <w:tcW w:w="61" w:type="dxa"/>
            <w:tcBorders/>
            <w:shd w:fill="auto" w:val="clear"/>
            <w:vAlign w:val="bottom"/>
          </w:tcPr>
          <w:p>
            <w:pPr>
              <w:pStyle w:val="TableContents"/>
              <w:spacing w:before="0" w:after="0"/>
              <w:ind w:left="0" w:right="0" w:hanging="0"/>
              <w:rPr/>
            </w:pPr>
            <w:r>
              <w:rPr/>
              <w:t> </w:t>
            </w:r>
          </w:p>
        </w:tc>
      </w:tr>
      <w:tr>
        <w:trPr/>
        <w:tc>
          <w:tcPr>
            <w:tcW w:w="7216" w:type="dxa"/>
            <w:gridSpan w:val="2"/>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209" w:type="dxa"/>
            <w:tcBorders/>
            <w:shd w:fill="CCEEFF" w:val="clear"/>
            <w:vAlign w:val="bottom"/>
          </w:tcPr>
          <w:p>
            <w:pPr>
              <w:pStyle w:val="TableContents"/>
              <w:spacing w:before="0" w:after="0"/>
              <w:ind w:left="0" w:right="0" w:hanging="0"/>
              <w:rPr/>
            </w:pPr>
            <w:r>
              <w:rPr/>
              <w:t> </w:t>
            </w:r>
          </w:p>
        </w:tc>
        <w:tc>
          <w:tcPr>
            <w:tcW w:w="12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631</w:t>
            </w:r>
          </w:p>
        </w:tc>
        <w:tc>
          <w:tcPr>
            <w:tcW w:w="209" w:type="dxa"/>
            <w:tcBorders/>
            <w:shd w:fill="CCEEFF" w:val="clear"/>
            <w:vAlign w:val="bottom"/>
          </w:tcPr>
          <w:p>
            <w:pPr>
              <w:pStyle w:val="TableContents"/>
              <w:spacing w:before="0" w:after="0"/>
              <w:ind w:left="0" w:right="0" w:hanging="0"/>
              <w:rPr/>
            </w:pPr>
            <w:r>
              <w:rPr/>
              <w:t> </w:t>
            </w:r>
          </w:p>
        </w:tc>
        <w:tc>
          <w:tcPr>
            <w:tcW w:w="12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680</w:t>
            </w:r>
          </w:p>
        </w:tc>
        <w:tc>
          <w:tcPr>
            <w:tcW w:w="61" w:type="dxa"/>
            <w:tcBorders/>
            <w:shd w:fill="CCEEFF" w:val="clear"/>
            <w:vAlign w:val="bottom"/>
          </w:tcPr>
          <w:p>
            <w:pPr>
              <w:pStyle w:val="TableContents"/>
              <w:spacing w:before="0" w:after="0"/>
              <w:ind w:left="0" w:right="0" w:hanging="0"/>
              <w:rPr/>
            </w:pPr>
            <w:r>
              <w:rPr/>
              <w:t> </w:t>
            </w:r>
          </w:p>
        </w:tc>
      </w:tr>
      <w:tr>
        <w:trPr/>
        <w:tc>
          <w:tcPr>
            <w:tcW w:w="721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Refined products sales</w:t>
            </w:r>
          </w:p>
        </w:tc>
        <w:tc>
          <w:tcPr>
            <w:tcW w:w="209" w:type="dxa"/>
            <w:tcBorders/>
            <w:shd w:fill="auto" w:val="clear"/>
            <w:vAlign w:val="bottom"/>
          </w:tcPr>
          <w:p>
            <w:pPr>
              <w:pStyle w:val="TableContents"/>
              <w:spacing w:before="0" w:after="0"/>
              <w:ind w:left="0" w:right="0" w:hanging="0"/>
              <w:rPr/>
            </w:pPr>
            <w:r>
              <w:rPr/>
              <w:t> </w:t>
            </w:r>
          </w:p>
        </w:tc>
        <w:tc>
          <w:tcPr>
            <w:tcW w:w="12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09" w:type="dxa"/>
            <w:tcBorders/>
            <w:shd w:fill="auto" w:val="clear"/>
            <w:vAlign w:val="bottom"/>
          </w:tcPr>
          <w:p>
            <w:pPr>
              <w:pStyle w:val="TableContents"/>
              <w:spacing w:before="0" w:after="0"/>
              <w:ind w:left="0" w:right="0" w:hanging="0"/>
              <w:rPr/>
            </w:pPr>
            <w:r>
              <w:rPr/>
              <w:t> </w:t>
            </w:r>
          </w:p>
        </w:tc>
        <w:tc>
          <w:tcPr>
            <w:tcW w:w="12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61" w:type="dxa"/>
            <w:tcBorders/>
            <w:shd w:fill="auto" w:val="clear"/>
            <w:vAlign w:val="bottom"/>
          </w:tcPr>
          <w:p>
            <w:pPr>
              <w:pStyle w:val="TableContents"/>
              <w:spacing w:before="0" w:after="0"/>
              <w:ind w:left="0" w:right="0" w:hanging="0"/>
              <w:rPr/>
            </w:pPr>
            <w:r>
              <w:rPr/>
              <w:t> </w:t>
            </w:r>
          </w:p>
        </w:tc>
      </w:tr>
      <w:tr>
        <w:trPr/>
        <w:tc>
          <w:tcPr>
            <w:tcW w:w="7216" w:type="dxa"/>
            <w:gridSpan w:val="2"/>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LPG sales</w:t>
            </w:r>
          </w:p>
        </w:tc>
        <w:tc>
          <w:tcPr>
            <w:tcW w:w="209" w:type="dxa"/>
            <w:tcBorders/>
            <w:shd w:fill="CCEEFF" w:val="clear"/>
            <w:vAlign w:val="bottom"/>
          </w:tcPr>
          <w:p>
            <w:pPr>
              <w:pStyle w:val="TableContents"/>
              <w:spacing w:before="0" w:after="0"/>
              <w:ind w:left="0" w:right="0" w:hanging="0"/>
              <w:rPr/>
            </w:pPr>
            <w:r>
              <w:rPr/>
              <w:t> </w:t>
            </w:r>
          </w:p>
        </w:tc>
        <w:tc>
          <w:tcPr>
            <w:tcW w:w="12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209" w:type="dxa"/>
            <w:tcBorders/>
            <w:shd w:fill="CCEEFF" w:val="clear"/>
            <w:vAlign w:val="bottom"/>
          </w:tcPr>
          <w:p>
            <w:pPr>
              <w:pStyle w:val="TableContents"/>
              <w:spacing w:before="0" w:after="0"/>
              <w:ind w:left="0" w:right="0" w:hanging="0"/>
              <w:rPr/>
            </w:pPr>
            <w:r>
              <w:rPr/>
              <w:t> </w:t>
            </w:r>
          </w:p>
        </w:tc>
        <w:tc>
          <w:tcPr>
            <w:tcW w:w="12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61" w:type="dxa"/>
            <w:tcBorders/>
            <w:shd w:fill="CCEEFF" w:val="clear"/>
            <w:vAlign w:val="bottom"/>
          </w:tcPr>
          <w:p>
            <w:pPr>
              <w:pStyle w:val="TableContents"/>
              <w:spacing w:before="0" w:after="0"/>
              <w:ind w:left="0" w:right="0" w:hanging="0"/>
              <w:rPr/>
            </w:pPr>
            <w:r>
              <w:rPr/>
              <w:t> </w:t>
            </w:r>
          </w:p>
        </w:tc>
      </w:tr>
      <w:tr>
        <w:trPr/>
        <w:tc>
          <w:tcPr>
            <w:tcW w:w="721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Waterborne foreign crude oil imported</w:t>
            </w:r>
          </w:p>
        </w:tc>
        <w:tc>
          <w:tcPr>
            <w:tcW w:w="209" w:type="dxa"/>
            <w:tcBorders/>
            <w:shd w:fill="auto" w:val="clear"/>
            <w:vAlign w:val="bottom"/>
          </w:tcPr>
          <w:p>
            <w:pPr>
              <w:pStyle w:val="TableContents"/>
              <w:spacing w:before="0" w:after="0"/>
              <w:ind w:left="0" w:right="0" w:hanging="0"/>
              <w:rPr/>
            </w:pPr>
            <w:r>
              <w:rPr/>
              <w:t> </w:t>
            </w:r>
          </w:p>
        </w:tc>
        <w:tc>
          <w:tcPr>
            <w:tcW w:w="125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09" w:type="dxa"/>
            <w:tcBorders/>
            <w:shd w:fill="auto" w:val="clear"/>
            <w:vAlign w:val="bottom"/>
          </w:tcPr>
          <w:p>
            <w:pPr>
              <w:pStyle w:val="TableContents"/>
              <w:spacing w:before="0" w:after="0"/>
              <w:ind w:left="0" w:right="0" w:hanging="0"/>
              <w:rPr/>
            </w:pPr>
            <w:r>
              <w:rPr/>
              <w:t> </w:t>
            </w:r>
          </w:p>
        </w:tc>
        <w:tc>
          <w:tcPr>
            <w:tcW w:w="125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61" w:type="dxa"/>
            <w:tcBorders/>
            <w:shd w:fill="auto" w:val="clear"/>
            <w:vAlign w:val="bottom"/>
          </w:tcPr>
          <w:p>
            <w:pPr>
              <w:pStyle w:val="TableContents"/>
              <w:spacing w:before="0" w:after="0"/>
              <w:ind w:left="0" w:right="0" w:hanging="0"/>
              <w:rPr/>
            </w:pPr>
            <w:r>
              <w:rPr/>
              <w:t> </w:t>
            </w:r>
          </w:p>
        </w:tc>
      </w:tr>
      <w:tr>
        <w:trPr/>
        <w:tc>
          <w:tcPr>
            <w:tcW w:w="7216" w:type="dxa"/>
            <w:gridSpan w:val="2"/>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Marketing activities total</w:t>
            </w:r>
          </w:p>
        </w:tc>
        <w:tc>
          <w:tcPr>
            <w:tcW w:w="209" w:type="dxa"/>
            <w:tcBorders/>
            <w:shd w:fill="CCEEFF" w:val="clear"/>
            <w:vAlign w:val="bottom"/>
          </w:tcPr>
          <w:p>
            <w:pPr>
              <w:pStyle w:val="TableContents"/>
              <w:spacing w:before="0" w:after="0"/>
              <w:ind w:left="0" w:right="0" w:hanging="0"/>
              <w:rPr/>
            </w:pPr>
            <w:r>
              <w:rPr/>
              <w:t> </w:t>
            </w:r>
          </w:p>
        </w:tc>
        <w:tc>
          <w:tcPr>
            <w:tcW w:w="12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869</w:t>
            </w:r>
          </w:p>
        </w:tc>
        <w:tc>
          <w:tcPr>
            <w:tcW w:w="209" w:type="dxa"/>
            <w:tcBorders/>
            <w:shd w:fill="CCEEFF" w:val="clear"/>
            <w:vAlign w:val="bottom"/>
          </w:tcPr>
          <w:p>
            <w:pPr>
              <w:pStyle w:val="TableContents"/>
              <w:spacing w:before="0" w:after="0"/>
              <w:ind w:left="0" w:right="0" w:hanging="0"/>
              <w:rPr/>
            </w:pPr>
            <w:r>
              <w:rPr/>
              <w:t> </w:t>
            </w:r>
          </w:p>
        </w:tc>
        <w:tc>
          <w:tcPr>
            <w:tcW w:w="12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910</w:t>
            </w:r>
          </w:p>
        </w:tc>
        <w:tc>
          <w:tcPr>
            <w:tcW w:w="61" w:type="dxa"/>
            <w:tcBorders/>
            <w:shd w:fill="CCEEFF" w:val="clear"/>
            <w:vAlign w:val="bottom"/>
          </w:tcPr>
          <w:p>
            <w:pPr>
              <w:pStyle w:val="TableContents"/>
              <w:spacing w:before="0" w:after="0"/>
              <w:ind w:left="0" w:right="0" w:hanging="0"/>
              <w:rPr/>
            </w:pPr>
            <w:r>
              <w:rPr/>
              <w:t> </w:t>
            </w:r>
          </w:p>
        </w:tc>
      </w:tr>
      <w:tr>
        <w:trPr/>
        <w:tc>
          <w:tcPr>
            <w:tcW w:w="2196" w:type="dxa"/>
            <w:tcBorders/>
            <w:shd w:fill="auto" w:val="clear"/>
            <w:vAlign w:val="center"/>
          </w:tcPr>
          <w:p>
            <w:pPr>
              <w:pStyle w:val="TableContents"/>
              <w:spacing w:before="0" w:after="283"/>
              <w:rPr>
                <w:sz w:val="4"/>
                <w:szCs w:val="4"/>
              </w:rPr>
            </w:pPr>
            <w:r>
              <w:rPr>
                <w:sz w:val="4"/>
                <w:szCs w:val="4"/>
              </w:rPr>
            </w:r>
          </w:p>
        </w:tc>
        <w:tc>
          <w:tcPr>
            <w:tcW w:w="502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8"/>
        </w:rPr>
        <w:t>(1)</w:t>
      </w:r>
      <w:r>
        <w:rPr>
          <w:rFonts w:ascii="Times New Roman" w:hAnsi="Times New Roman"/>
        </w:rPr>
        <w:t> </w:t>
      </w:r>
      <w:r>
        <w:rPr>
          <w:rFonts w:ascii="Times New Roman" w:hAnsi="Times New Roman"/>
          <w:sz w:val="13"/>
        </w:rPr>
        <w:t>Volumes associated with acquisitions represent total volumes for the number of days we actually owned the assets divided by the number of days in the period.</w:t>
      </w:r>
    </w:p>
    <w:p>
      <w:pPr>
        <w:pStyle w:val="TextBody"/>
        <w:spacing w:before="0" w:after="0"/>
        <w:ind w:left="0" w:right="0" w:hanging="0"/>
        <w:rPr>
          <w:rFonts w:ascii="Times New Roman" w:hAnsi="Times New Roman"/>
        </w:rPr>
      </w:pPr>
      <w:r>
        <w:rPr>
          <w:rFonts w:ascii="Times New Roman" w:hAnsi="Times New Roman"/>
          <w:sz w:val="8"/>
        </w:rPr>
        <w:t>(2)</w:t>
      </w:r>
      <w:r>
        <w:rPr>
          <w:rFonts w:ascii="Times New Roman" w:hAnsi="Times New Roman"/>
        </w:rPr>
        <w:t> </w:t>
      </w:r>
      <w:r>
        <w:rPr>
          <w:rFonts w:ascii="Times New Roman" w:hAnsi="Times New Roman"/>
          <w:sz w:val="13"/>
        </w:rPr>
        <w:t>The aggregate of multiple systems in the respective areas. The volumes for the West Texas/New Mexico Area Systems for the three months ended March 31, 2008 previously included amounts for the Mesa system, which has been reclassified to Other for all periods presented.</w:t>
      </w:r>
    </w:p>
    <w:p>
      <w:pPr>
        <w:pStyle w:val="TextBody"/>
        <w:spacing w:before="0" w:after="0"/>
        <w:ind w:left="0" w:right="0" w:hanging="0"/>
        <w:rPr>
          <w:rFonts w:ascii="Times New Roman" w:hAnsi="Times New Roman"/>
        </w:rPr>
      </w:pPr>
      <w:r>
        <w:rPr>
          <w:rFonts w:ascii="Times New Roman" w:hAnsi="Times New Roman"/>
          <w:sz w:val="8"/>
        </w:rPr>
        <w:t>(3)</w:t>
      </w:r>
      <w:r>
        <w:rPr>
          <w:rFonts w:ascii="Times New Roman" w:hAnsi="Times New Roman"/>
        </w:rPr>
        <w:t> </w:t>
      </w:r>
      <w:r>
        <w:rPr>
          <w:rFonts w:ascii="Times New Roman" w:hAnsi="Times New Roman"/>
          <w:sz w:val="13"/>
        </w:rPr>
        <w:t>Facilities total is calculated as the sum of: (i) crude oil, refined products and LPG storage capacity; (ii) natural gas storage capacity divided by 6 to account for the 6:1 mcf of gas to crude oil barrel ratio; and (iii) LPG processing volumes multiplied by the number of days in the period and divided by the number of months in the period.</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3606"/>
        <w:gridCol w:w="2782"/>
        <w:gridCol w:w="3817"/>
      </w:tblGrid>
      <w:tr>
        <w:trPr/>
        <w:tc>
          <w:tcPr>
            <w:tcW w:w="3606" w:type="dxa"/>
            <w:tcBorders>
              <w:top w:val="single" w:sz="8" w:space="0" w:color="000000"/>
            </w:tcBorders>
            <w:shd w:fill="auto" w:val="clear"/>
          </w:tcPr>
          <w:p>
            <w:pPr>
              <w:pStyle w:val="TableContents"/>
              <w:spacing w:before="0" w:after="0"/>
              <w:ind w:left="0" w:right="0" w:hanging="0"/>
              <w:jc w:val="right"/>
              <w:rPr/>
            </w:pPr>
            <w:r>
              <w:rPr/>
              <w:t> </w:t>
            </w:r>
          </w:p>
        </w:tc>
        <w:tc>
          <w:tcPr>
            <w:tcW w:w="2782" w:type="dxa"/>
            <w:tcBorders>
              <w:top w:val="single" w:sz="8" w:space="0" w:color="000000"/>
            </w:tcBorders>
            <w:shd w:fill="auto" w:val="clear"/>
          </w:tcPr>
          <w:p>
            <w:pPr>
              <w:pStyle w:val="TableContents"/>
              <w:spacing w:before="0" w:after="0"/>
              <w:ind w:left="0" w:right="0" w:hanging="0"/>
              <w:rPr/>
            </w:pPr>
            <w:r>
              <w:rPr/>
              <w:t> </w:t>
            </w:r>
          </w:p>
        </w:tc>
        <w:tc>
          <w:tcPr>
            <w:tcW w:w="3817" w:type="dxa"/>
            <w:tcBorders>
              <w:top w:val="single" w:sz="8" w:space="0" w:color="000000"/>
            </w:tcBorders>
            <w:shd w:fill="auto" w:val="clear"/>
          </w:tcPr>
          <w:p>
            <w:pPr>
              <w:pStyle w:val="TableContents"/>
              <w:spacing w:before="0" w:after="0"/>
              <w:ind w:left="0" w:right="0" w:hanging="0"/>
              <w:rPr/>
            </w:pPr>
            <w:r>
              <w:rPr/>
              <w:t> </w:t>
            </w:r>
          </w:p>
        </w:tc>
      </w:tr>
      <w:tr>
        <w:trPr/>
        <w:tc>
          <w:tcPr>
            <w:tcW w:w="3606" w:type="dxa"/>
            <w:tcBorders/>
            <w:shd w:fill="auto" w:val="clear"/>
            <w:tcMar>
              <w:top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333 Clay Street, Suite 1600</w:t>
            </w:r>
          </w:p>
        </w:tc>
        <w:tc>
          <w:tcPr>
            <w:tcW w:w="2782" w:type="dxa"/>
            <w:tcBorders/>
            <w:shd w:fill="auto" w:val="clear"/>
            <w:tcMar>
              <w:top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Houston, Texas 77002</w:t>
            </w:r>
          </w:p>
        </w:tc>
        <w:tc>
          <w:tcPr>
            <w:tcW w:w="3817" w:type="dxa"/>
            <w:tcBorders/>
            <w:shd w:fill="auto" w:val="clear"/>
            <w:tcMar>
              <w:top w:w="0" w:type="dxa"/>
            </w:tcMar>
          </w:tcPr>
          <w:p>
            <w:pPr>
              <w:pStyle w:val="TableContents"/>
              <w:spacing w:before="0" w:after="0"/>
              <w:ind w:left="0" w:right="0" w:hanging="0"/>
              <w:rPr>
                <w:rFonts w:ascii="Times New Roman" w:hAnsi="Times New Roman"/>
                <w:sz w:val="17"/>
              </w:rPr>
            </w:pPr>
            <w:r>
              <w:rPr>
                <w:rFonts w:ascii="Times New Roman" w:hAnsi="Times New Roman"/>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9</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CONDENSED CONSOLIDATED BALANCE SHEET DATA</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24"/>
        <w:gridCol w:w="211"/>
        <w:gridCol w:w="132"/>
        <w:gridCol w:w="1110"/>
        <w:gridCol w:w="211"/>
        <w:gridCol w:w="137"/>
        <w:gridCol w:w="1159"/>
        <w:gridCol w:w="121"/>
      </w:tblGrid>
      <w:tr>
        <w:trPr/>
        <w:tc>
          <w:tcPr>
            <w:tcW w:w="7124"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4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211" w:type="dxa"/>
            <w:tcBorders/>
            <w:shd w:fill="auto" w:val="clear"/>
            <w:vAlign w:val="bottom"/>
          </w:tcPr>
          <w:p>
            <w:pPr>
              <w:pStyle w:val="TableContents"/>
              <w:spacing w:before="0" w:after="0"/>
              <w:ind w:left="0" w:right="0" w:hanging="0"/>
              <w:jc w:val="center"/>
              <w:rPr/>
            </w:pPr>
            <w:r>
              <w:rPr/>
              <w:t> </w:t>
            </w:r>
          </w:p>
        </w:tc>
        <w:tc>
          <w:tcPr>
            <w:tcW w:w="129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1" w:type="dxa"/>
            <w:tcBorders/>
            <w:shd w:fill="auto" w:val="clear"/>
            <w:vAlign w:val="bottom"/>
          </w:tcPr>
          <w:p>
            <w:pPr>
              <w:pStyle w:val="TableContents"/>
              <w:spacing w:before="0" w:after="0"/>
              <w:ind w:left="0" w:right="0" w:hanging="0"/>
              <w:jc w:val="center"/>
              <w:rPr/>
            </w:pPr>
            <w:r>
              <w:rPr/>
              <w:t> </w:t>
            </w:r>
          </w:p>
        </w:tc>
      </w:tr>
      <w:tr>
        <w:trPr/>
        <w:tc>
          <w:tcPr>
            <w:tcW w:w="7124"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1" w:type="dxa"/>
            <w:tcBorders/>
            <w:shd w:fill="auto" w:val="clear"/>
            <w:vAlign w:val="bottom"/>
          </w:tcPr>
          <w:p>
            <w:pPr>
              <w:pStyle w:val="TableContents"/>
              <w:spacing w:before="0" w:after="0"/>
              <w:ind w:left="0" w:right="0" w:hanging="0"/>
              <w:jc w:val="center"/>
              <w:rPr/>
            </w:pPr>
            <w:r>
              <w:rPr/>
              <w:t> </w:t>
            </w:r>
          </w:p>
        </w:tc>
        <w:tc>
          <w:tcPr>
            <w:tcW w:w="129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21" w:type="dxa"/>
            <w:tcBorders/>
            <w:shd w:fill="auto" w:val="clear"/>
            <w:vAlign w:val="bottom"/>
          </w:tcPr>
          <w:p>
            <w:pPr>
              <w:pStyle w:val="TableContents"/>
              <w:spacing w:before="0" w:after="0"/>
              <w:ind w:left="0" w:right="0" w:hanging="0"/>
              <w:jc w:val="center"/>
              <w:rPr/>
            </w:pPr>
            <w:r>
              <w:rPr/>
              <w:t> </w:t>
            </w:r>
          </w:p>
        </w:tc>
      </w:tr>
      <w:tr>
        <w:trPr/>
        <w:tc>
          <w:tcPr>
            <w:tcW w:w="712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11"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71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Current assets</w:t>
            </w:r>
          </w:p>
        </w:tc>
        <w:tc>
          <w:tcPr>
            <w:tcW w:w="211"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2,013</w:t>
            </w:r>
          </w:p>
        </w:tc>
        <w:tc>
          <w:tcPr>
            <w:tcW w:w="211"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2,596</w:t>
            </w:r>
          </w:p>
        </w:tc>
        <w:tc>
          <w:tcPr>
            <w:tcW w:w="121" w:type="dxa"/>
            <w:tcBorders/>
            <w:shd w:fill="auto" w:val="clear"/>
            <w:vAlign w:val="bottom"/>
          </w:tcPr>
          <w:p>
            <w:pPr>
              <w:pStyle w:val="TableContents"/>
              <w:spacing w:before="0" w:after="0"/>
              <w:ind w:left="0" w:right="0" w:hanging="0"/>
              <w:rPr/>
            </w:pPr>
            <w:r>
              <w:rPr/>
              <w:t> </w:t>
            </w:r>
          </w:p>
        </w:tc>
      </w:tr>
      <w:tr>
        <w:trPr/>
        <w:tc>
          <w:tcPr>
            <w:tcW w:w="712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211"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5,083</w:t>
            </w:r>
          </w:p>
        </w:tc>
        <w:tc>
          <w:tcPr>
            <w:tcW w:w="211"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5,059</w:t>
            </w:r>
          </w:p>
        </w:tc>
        <w:tc>
          <w:tcPr>
            <w:tcW w:w="121" w:type="dxa"/>
            <w:tcBorders/>
            <w:shd w:fill="CCEEFF" w:val="clear"/>
            <w:vAlign w:val="bottom"/>
          </w:tcPr>
          <w:p>
            <w:pPr>
              <w:pStyle w:val="TableContents"/>
              <w:spacing w:before="0" w:after="0"/>
              <w:ind w:left="0" w:right="0" w:hanging="0"/>
              <w:rPr/>
            </w:pPr>
            <w:r>
              <w:rPr/>
              <w:t> </w:t>
            </w:r>
          </w:p>
        </w:tc>
      </w:tr>
      <w:tr>
        <w:trPr/>
        <w:tc>
          <w:tcPr>
            <w:tcW w:w="71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Pipeline linefill in owned assets</w:t>
            </w:r>
          </w:p>
        </w:tc>
        <w:tc>
          <w:tcPr>
            <w:tcW w:w="211"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418</w:t>
            </w:r>
          </w:p>
        </w:tc>
        <w:tc>
          <w:tcPr>
            <w:tcW w:w="211"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425</w:t>
            </w:r>
          </w:p>
        </w:tc>
        <w:tc>
          <w:tcPr>
            <w:tcW w:w="121" w:type="dxa"/>
            <w:tcBorders/>
            <w:shd w:fill="auto" w:val="clear"/>
            <w:vAlign w:val="bottom"/>
          </w:tcPr>
          <w:p>
            <w:pPr>
              <w:pStyle w:val="TableContents"/>
              <w:spacing w:before="0" w:after="0"/>
              <w:ind w:left="0" w:right="0" w:hanging="0"/>
              <w:rPr/>
            </w:pPr>
            <w:r>
              <w:rPr/>
              <w:t> </w:t>
            </w:r>
          </w:p>
        </w:tc>
      </w:tr>
      <w:tr>
        <w:trPr/>
        <w:tc>
          <w:tcPr>
            <w:tcW w:w="712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11"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11"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121" w:type="dxa"/>
            <w:tcBorders/>
            <w:shd w:fill="CCEEFF" w:val="clear"/>
            <w:vAlign w:val="bottom"/>
          </w:tcPr>
          <w:p>
            <w:pPr>
              <w:pStyle w:val="TableContents"/>
              <w:spacing w:before="0" w:after="0"/>
              <w:ind w:left="0" w:right="0" w:hanging="0"/>
              <w:rPr/>
            </w:pPr>
            <w:r>
              <w:rPr/>
              <w:t> </w:t>
            </w:r>
          </w:p>
        </w:tc>
      </w:tr>
      <w:tr>
        <w:trPr/>
        <w:tc>
          <w:tcPr>
            <w:tcW w:w="71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Investment in unconsolidated entities</w:t>
            </w:r>
          </w:p>
        </w:tc>
        <w:tc>
          <w:tcPr>
            <w:tcW w:w="211"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11"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121" w:type="dxa"/>
            <w:tcBorders/>
            <w:shd w:fill="auto" w:val="clear"/>
            <w:vAlign w:val="bottom"/>
          </w:tcPr>
          <w:p>
            <w:pPr>
              <w:pStyle w:val="TableContents"/>
              <w:spacing w:before="0" w:after="0"/>
              <w:ind w:left="0" w:right="0" w:hanging="0"/>
              <w:rPr/>
            </w:pPr>
            <w:r>
              <w:rPr/>
              <w:t> </w:t>
            </w:r>
          </w:p>
        </w:tc>
      </w:tr>
      <w:tr>
        <w:trPr/>
        <w:tc>
          <w:tcPr>
            <w:tcW w:w="712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11"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1,201</w:t>
            </w:r>
          </w:p>
        </w:tc>
        <w:tc>
          <w:tcPr>
            <w:tcW w:w="211"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1,210</w:t>
            </w:r>
          </w:p>
        </w:tc>
        <w:tc>
          <w:tcPr>
            <w:tcW w:w="121" w:type="dxa"/>
            <w:tcBorders/>
            <w:shd w:fill="CCEEFF" w:val="clear"/>
            <w:vAlign w:val="bottom"/>
          </w:tcPr>
          <w:p>
            <w:pPr>
              <w:pStyle w:val="TableContents"/>
              <w:spacing w:before="0" w:after="0"/>
              <w:ind w:left="0" w:right="0" w:hanging="0"/>
              <w:rPr/>
            </w:pPr>
            <w:r>
              <w:rPr/>
              <w:t> </w:t>
            </w:r>
          </w:p>
        </w:tc>
      </w:tr>
      <w:tr>
        <w:trPr/>
        <w:tc>
          <w:tcPr>
            <w:tcW w:w="71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long-term assets, net</w:t>
            </w:r>
          </w:p>
        </w:tc>
        <w:tc>
          <w:tcPr>
            <w:tcW w:w="211"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11" w:type="dxa"/>
            <w:tcBorders/>
            <w:shd w:fill="auto" w:val="clear"/>
            <w:vAlign w:val="bottom"/>
          </w:tcPr>
          <w:p>
            <w:pPr>
              <w:pStyle w:val="TableContents"/>
              <w:spacing w:before="0" w:after="0"/>
              <w:ind w:left="0" w:right="0" w:hanging="0"/>
              <w:rPr/>
            </w:pPr>
            <w:r>
              <w:rPr/>
              <w:t> </w:t>
            </w:r>
          </w:p>
        </w:tc>
        <w:tc>
          <w:tcPr>
            <w:tcW w:w="12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w:t>
            </w:r>
          </w:p>
        </w:tc>
        <w:tc>
          <w:tcPr>
            <w:tcW w:w="121" w:type="dxa"/>
            <w:tcBorders/>
            <w:shd w:fill="auto" w:val="clear"/>
            <w:vAlign w:val="bottom"/>
          </w:tcPr>
          <w:p>
            <w:pPr>
              <w:pStyle w:val="TableContents"/>
              <w:spacing w:before="0" w:after="0"/>
              <w:ind w:left="0" w:right="0" w:hanging="0"/>
              <w:rPr/>
            </w:pPr>
            <w:r>
              <w:rPr/>
              <w:t> </w:t>
            </w:r>
          </w:p>
        </w:tc>
      </w:tr>
      <w:tr>
        <w:trPr/>
        <w:tc>
          <w:tcPr>
            <w:tcW w:w="7124"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71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11"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9,385</w:t>
            </w:r>
          </w:p>
        </w:tc>
        <w:tc>
          <w:tcPr>
            <w:tcW w:w="211" w:type="dxa"/>
            <w:tcBorders/>
            <w:shd w:fill="auto" w:val="clear"/>
            <w:vAlign w:val="bottom"/>
          </w:tcPr>
          <w:p>
            <w:pPr>
              <w:pStyle w:val="TableContents"/>
              <w:spacing w:before="0" w:after="0"/>
              <w:ind w:left="0" w:right="0" w:hanging="0"/>
              <w:rPr/>
            </w:pPr>
            <w:r>
              <w:rPr/>
              <w:t> </w:t>
            </w:r>
          </w:p>
        </w:tc>
        <w:tc>
          <w:tcPr>
            <w:tcW w:w="1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10,032</w:t>
            </w:r>
          </w:p>
        </w:tc>
        <w:tc>
          <w:tcPr>
            <w:tcW w:w="121" w:type="dxa"/>
            <w:tcBorders/>
            <w:shd w:fill="auto" w:val="clear"/>
            <w:vAlign w:val="bottom"/>
          </w:tcPr>
          <w:p>
            <w:pPr>
              <w:pStyle w:val="TableContents"/>
              <w:spacing w:before="0" w:after="0"/>
              <w:ind w:left="0" w:right="0" w:hanging="0"/>
              <w:rPr/>
            </w:pPr>
            <w:r>
              <w:rPr/>
              <w:t> </w:t>
            </w:r>
          </w:p>
        </w:tc>
      </w:tr>
      <w:tr>
        <w:trPr/>
        <w:tc>
          <w:tcPr>
            <w:tcW w:w="7124"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7124"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11"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712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Current liabilities</w:t>
            </w:r>
          </w:p>
        </w:tc>
        <w:tc>
          <w:tcPr>
            <w:tcW w:w="211"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2,211</w:t>
            </w:r>
          </w:p>
        </w:tc>
        <w:tc>
          <w:tcPr>
            <w:tcW w:w="211"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2,960</w:t>
            </w:r>
          </w:p>
        </w:tc>
        <w:tc>
          <w:tcPr>
            <w:tcW w:w="121" w:type="dxa"/>
            <w:tcBorders/>
            <w:shd w:fill="CCEEFF" w:val="clear"/>
            <w:vAlign w:val="bottom"/>
          </w:tcPr>
          <w:p>
            <w:pPr>
              <w:pStyle w:val="TableContents"/>
              <w:spacing w:before="0" w:after="0"/>
              <w:ind w:left="0" w:right="0" w:hanging="0"/>
              <w:rPr/>
            </w:pPr>
            <w:r>
              <w:rPr/>
              <w:t> </w:t>
            </w:r>
          </w:p>
        </w:tc>
      </w:tr>
      <w:tr>
        <w:trPr/>
        <w:tc>
          <w:tcPr>
            <w:tcW w:w="71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11"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1"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21" w:type="dxa"/>
            <w:tcBorders/>
            <w:shd w:fill="auto" w:val="clear"/>
            <w:vAlign w:val="bottom"/>
          </w:tcPr>
          <w:p>
            <w:pPr>
              <w:pStyle w:val="TableContents"/>
              <w:spacing w:before="0" w:after="0"/>
              <w:ind w:left="0" w:right="0" w:hanging="0"/>
              <w:rPr/>
            </w:pPr>
            <w:r>
              <w:rPr/>
              <w:t> </w:t>
            </w:r>
          </w:p>
        </w:tc>
      </w:tr>
      <w:tr>
        <w:trPr/>
        <w:tc>
          <w:tcPr>
            <w:tcW w:w="712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w:t>
            </w:r>
          </w:p>
        </w:tc>
        <w:tc>
          <w:tcPr>
            <w:tcW w:w="211"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3,219</w:t>
            </w:r>
          </w:p>
        </w:tc>
        <w:tc>
          <w:tcPr>
            <w:tcW w:w="211"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3,219</w:t>
            </w:r>
          </w:p>
        </w:tc>
        <w:tc>
          <w:tcPr>
            <w:tcW w:w="121" w:type="dxa"/>
            <w:tcBorders/>
            <w:shd w:fill="CCEEFF" w:val="clear"/>
            <w:vAlign w:val="bottom"/>
          </w:tcPr>
          <w:p>
            <w:pPr>
              <w:pStyle w:val="TableContents"/>
              <w:spacing w:before="0" w:after="0"/>
              <w:ind w:left="0" w:right="0" w:hanging="0"/>
              <w:rPr/>
            </w:pPr>
            <w:r>
              <w:rPr/>
              <w:t> </w:t>
            </w:r>
          </w:p>
        </w:tc>
      </w:tr>
      <w:tr>
        <w:trPr/>
        <w:tc>
          <w:tcPr>
            <w:tcW w:w="71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11"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211" w:type="dxa"/>
            <w:tcBorders/>
            <w:shd w:fill="auto" w:val="clear"/>
            <w:vAlign w:val="bottom"/>
          </w:tcPr>
          <w:p>
            <w:pPr>
              <w:pStyle w:val="TableContents"/>
              <w:spacing w:before="0" w:after="0"/>
              <w:ind w:left="0" w:right="0" w:hanging="0"/>
              <w:rPr/>
            </w:pPr>
            <w:r>
              <w:rPr/>
              <w:t> </w:t>
            </w:r>
          </w:p>
        </w:tc>
        <w:tc>
          <w:tcPr>
            <w:tcW w:w="12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261</w:t>
            </w:r>
          </w:p>
        </w:tc>
        <w:tc>
          <w:tcPr>
            <w:tcW w:w="121" w:type="dxa"/>
            <w:tcBorders/>
            <w:shd w:fill="auto" w:val="clear"/>
            <w:vAlign w:val="bottom"/>
          </w:tcPr>
          <w:p>
            <w:pPr>
              <w:pStyle w:val="TableContents"/>
              <w:spacing w:before="0" w:after="0"/>
              <w:ind w:left="0" w:right="0" w:hanging="0"/>
              <w:rPr/>
            </w:pPr>
            <w:r>
              <w:rPr/>
              <w:t> </w:t>
            </w:r>
          </w:p>
        </w:tc>
      </w:tr>
      <w:tr>
        <w:trPr/>
        <w:tc>
          <w:tcPr>
            <w:tcW w:w="7124"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71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211"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5,645</w:t>
            </w:r>
          </w:p>
        </w:tc>
        <w:tc>
          <w:tcPr>
            <w:tcW w:w="211"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6,480</w:t>
            </w:r>
          </w:p>
        </w:tc>
        <w:tc>
          <w:tcPr>
            <w:tcW w:w="121" w:type="dxa"/>
            <w:tcBorders/>
            <w:shd w:fill="auto" w:val="clear"/>
            <w:vAlign w:val="bottom"/>
          </w:tcPr>
          <w:p>
            <w:pPr>
              <w:pStyle w:val="TableContents"/>
              <w:spacing w:before="0" w:after="0"/>
              <w:ind w:left="0" w:right="0" w:hanging="0"/>
              <w:rPr/>
            </w:pPr>
            <w:r>
              <w:rPr/>
              <w:t> </w:t>
            </w:r>
          </w:p>
        </w:tc>
      </w:tr>
      <w:tr>
        <w:trPr/>
        <w:tc>
          <w:tcPr>
            <w:tcW w:w="7124"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71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Partners capital excluding noncontrolling interest</w:t>
            </w:r>
          </w:p>
        </w:tc>
        <w:tc>
          <w:tcPr>
            <w:tcW w:w="211"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3,678</w:t>
            </w:r>
          </w:p>
        </w:tc>
        <w:tc>
          <w:tcPr>
            <w:tcW w:w="211"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3,552</w:t>
            </w:r>
          </w:p>
        </w:tc>
        <w:tc>
          <w:tcPr>
            <w:tcW w:w="121" w:type="dxa"/>
            <w:tcBorders/>
            <w:shd w:fill="auto" w:val="clear"/>
            <w:vAlign w:val="bottom"/>
          </w:tcPr>
          <w:p>
            <w:pPr>
              <w:pStyle w:val="TableContents"/>
              <w:spacing w:before="0" w:after="0"/>
              <w:ind w:left="0" w:right="0" w:hanging="0"/>
              <w:rPr/>
            </w:pPr>
            <w:r>
              <w:rPr/>
              <w:t> </w:t>
            </w:r>
          </w:p>
        </w:tc>
      </w:tr>
      <w:tr>
        <w:trPr/>
        <w:tc>
          <w:tcPr>
            <w:tcW w:w="712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Noncontrolling interest</w:t>
            </w:r>
          </w:p>
        </w:tc>
        <w:tc>
          <w:tcPr>
            <w:tcW w:w="211"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11" w:type="dxa"/>
            <w:tcBorders/>
            <w:shd w:fill="CCEEFF" w:val="clear"/>
            <w:vAlign w:val="bottom"/>
          </w:tcPr>
          <w:p>
            <w:pPr>
              <w:pStyle w:val="TableContents"/>
              <w:spacing w:before="0" w:after="0"/>
              <w:ind w:left="0" w:right="0" w:hanging="0"/>
              <w:rPr/>
            </w:pPr>
            <w:r>
              <w:rPr/>
              <w:t> </w:t>
            </w:r>
          </w:p>
        </w:tc>
        <w:tc>
          <w:tcPr>
            <w:tcW w:w="12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1" w:type="dxa"/>
            <w:tcBorders/>
            <w:shd w:fill="CCEEFF" w:val="clear"/>
            <w:vAlign w:val="bottom"/>
          </w:tcPr>
          <w:p>
            <w:pPr>
              <w:pStyle w:val="TableContents"/>
              <w:spacing w:before="0" w:after="0"/>
              <w:ind w:left="0" w:right="0" w:hanging="0"/>
              <w:rPr/>
            </w:pPr>
            <w:r>
              <w:rPr/>
              <w:t> </w:t>
            </w:r>
          </w:p>
        </w:tc>
      </w:tr>
      <w:tr>
        <w:trPr/>
        <w:tc>
          <w:tcPr>
            <w:tcW w:w="7124"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712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211"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3,740</w:t>
            </w:r>
          </w:p>
        </w:tc>
        <w:tc>
          <w:tcPr>
            <w:tcW w:w="211" w:type="dxa"/>
            <w:tcBorders/>
            <w:shd w:fill="CCEEFF" w:val="clear"/>
            <w:vAlign w:val="bottom"/>
          </w:tcPr>
          <w:p>
            <w:pPr>
              <w:pStyle w:val="TableContents"/>
              <w:spacing w:before="0" w:after="0"/>
              <w:ind w:left="0" w:right="0" w:hanging="0"/>
              <w:rPr/>
            </w:pPr>
            <w:r>
              <w:rPr/>
              <w:t> </w:t>
            </w:r>
          </w:p>
        </w:tc>
        <w:tc>
          <w:tcPr>
            <w:tcW w:w="12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3,552</w:t>
            </w:r>
          </w:p>
        </w:tc>
        <w:tc>
          <w:tcPr>
            <w:tcW w:w="121" w:type="dxa"/>
            <w:tcBorders/>
            <w:shd w:fill="CCEEFF" w:val="clear"/>
            <w:vAlign w:val="bottom"/>
          </w:tcPr>
          <w:p>
            <w:pPr>
              <w:pStyle w:val="TableContents"/>
              <w:spacing w:before="0" w:after="0"/>
              <w:ind w:left="0" w:right="0" w:hanging="0"/>
              <w:rPr/>
            </w:pPr>
            <w:r>
              <w:rPr/>
              <w:t> </w:t>
            </w:r>
          </w:p>
        </w:tc>
      </w:tr>
      <w:tr>
        <w:trPr/>
        <w:tc>
          <w:tcPr>
            <w:tcW w:w="7124"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712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11" w:type="dxa"/>
            <w:tcBorders/>
            <w:shd w:fill="CCEEFF" w:val="clear"/>
            <w:vAlign w:val="bottom"/>
          </w:tcPr>
          <w:p>
            <w:pPr>
              <w:pStyle w:val="TableContents"/>
              <w:spacing w:before="0" w:after="0"/>
              <w:ind w:left="0" w:right="0" w:hanging="0"/>
              <w:rPr/>
            </w:pPr>
            <w:r>
              <w:rPr/>
              <w:t> </w:t>
            </w:r>
          </w:p>
        </w:tc>
        <w:tc>
          <w:tcPr>
            <w:tcW w:w="13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9,385</w:t>
            </w:r>
          </w:p>
        </w:tc>
        <w:tc>
          <w:tcPr>
            <w:tcW w:w="211"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10,032</w:t>
            </w:r>
          </w:p>
        </w:tc>
        <w:tc>
          <w:tcPr>
            <w:tcW w:w="12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3606"/>
        <w:gridCol w:w="2782"/>
        <w:gridCol w:w="3817"/>
      </w:tblGrid>
      <w:tr>
        <w:trPr/>
        <w:tc>
          <w:tcPr>
            <w:tcW w:w="3606" w:type="dxa"/>
            <w:tcBorders>
              <w:top w:val="single" w:sz="8" w:space="0" w:color="000000"/>
            </w:tcBorders>
            <w:shd w:fill="auto" w:val="clear"/>
          </w:tcPr>
          <w:p>
            <w:pPr>
              <w:pStyle w:val="TableContents"/>
              <w:spacing w:before="0" w:after="0"/>
              <w:ind w:left="0" w:right="0" w:hanging="0"/>
              <w:jc w:val="right"/>
              <w:rPr/>
            </w:pPr>
            <w:r>
              <w:rPr/>
              <w:t> </w:t>
            </w:r>
          </w:p>
        </w:tc>
        <w:tc>
          <w:tcPr>
            <w:tcW w:w="2782" w:type="dxa"/>
            <w:tcBorders>
              <w:top w:val="single" w:sz="8" w:space="0" w:color="000000"/>
            </w:tcBorders>
            <w:shd w:fill="auto" w:val="clear"/>
          </w:tcPr>
          <w:p>
            <w:pPr>
              <w:pStyle w:val="TableContents"/>
              <w:spacing w:before="0" w:after="0"/>
              <w:ind w:left="0" w:right="0" w:hanging="0"/>
              <w:rPr/>
            </w:pPr>
            <w:r>
              <w:rPr/>
              <w:t> </w:t>
            </w:r>
          </w:p>
        </w:tc>
        <w:tc>
          <w:tcPr>
            <w:tcW w:w="3817" w:type="dxa"/>
            <w:tcBorders>
              <w:top w:val="single" w:sz="8" w:space="0" w:color="000000"/>
            </w:tcBorders>
            <w:shd w:fill="auto" w:val="clear"/>
          </w:tcPr>
          <w:p>
            <w:pPr>
              <w:pStyle w:val="TableContents"/>
              <w:spacing w:before="0" w:after="0"/>
              <w:ind w:left="0" w:right="0" w:hanging="0"/>
              <w:rPr/>
            </w:pPr>
            <w:r>
              <w:rPr/>
              <w:t> </w:t>
            </w:r>
          </w:p>
        </w:tc>
      </w:tr>
      <w:tr>
        <w:trPr/>
        <w:tc>
          <w:tcPr>
            <w:tcW w:w="3606" w:type="dxa"/>
            <w:tcBorders/>
            <w:shd w:fill="auto" w:val="clear"/>
            <w:tcMar>
              <w:top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333 Clay Street, Suite 1600</w:t>
            </w:r>
          </w:p>
        </w:tc>
        <w:tc>
          <w:tcPr>
            <w:tcW w:w="2782" w:type="dxa"/>
            <w:tcBorders/>
            <w:shd w:fill="auto" w:val="clear"/>
            <w:tcMar>
              <w:top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Houston, Texas 77002</w:t>
            </w:r>
          </w:p>
        </w:tc>
        <w:tc>
          <w:tcPr>
            <w:tcW w:w="3817" w:type="dxa"/>
            <w:tcBorders/>
            <w:shd w:fill="auto" w:val="clear"/>
            <w:tcMar>
              <w:top w:w="0" w:type="dxa"/>
            </w:tcMar>
          </w:tcPr>
          <w:p>
            <w:pPr>
              <w:pStyle w:val="TableContents"/>
              <w:spacing w:before="0" w:after="0"/>
              <w:ind w:left="0" w:right="0" w:hanging="0"/>
              <w:rPr>
                <w:rFonts w:ascii="Times New Roman" w:hAnsi="Times New Roman"/>
                <w:sz w:val="17"/>
              </w:rPr>
            </w:pPr>
            <w:r>
              <w:rPr>
                <w:rFonts w:ascii="Times New Roman" w:hAnsi="Times New Roman"/>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10</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rPr>
          <w:rFonts w:ascii="Times New Roman" w:hAnsi="Times New Roman"/>
          <w:sz w:val="17"/>
        </w:rPr>
      </w:pPr>
      <w:r>
        <w:rPr>
          <w:rFonts w:ascii="Times New Roman" w:hAnsi="Times New Roman"/>
          <w:b/>
          <w:sz w:val="17"/>
        </w:rPr>
        <w:t>FINANCIAL SUMMARY</w:t>
      </w:r>
      <w:r>
        <w:rPr>
          <w:rFonts w:ascii="Times New Roman" w:hAnsi="Times New Roman"/>
          <w:sz w:val="17"/>
        </w:rPr>
        <w:t xml:space="preserve"> (unaudited)</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COMPUTATION OF BASIC AND DILUTED EARNINGS PER LIMITED PARTNER UNIT</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19"/>
        <w:gridCol w:w="214"/>
        <w:gridCol w:w="143"/>
        <w:gridCol w:w="1115"/>
        <w:gridCol w:w="228"/>
        <w:gridCol w:w="143"/>
        <w:gridCol w:w="1116"/>
        <w:gridCol w:w="127"/>
      </w:tblGrid>
      <w:tr>
        <w:trPr/>
        <w:tc>
          <w:tcPr>
            <w:tcW w:w="7119"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4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27" w:type="dxa"/>
            <w:tcBorders/>
            <w:shd w:fill="auto" w:val="clear"/>
            <w:vAlign w:val="bottom"/>
          </w:tcPr>
          <w:p>
            <w:pPr>
              <w:pStyle w:val="TableContents"/>
              <w:spacing w:before="0" w:after="0"/>
              <w:ind w:left="0" w:right="0" w:hanging="0"/>
              <w:jc w:val="center"/>
              <w:rPr/>
            </w:pPr>
            <w:r>
              <w:rPr/>
              <w:t> </w:t>
            </w:r>
          </w:p>
        </w:tc>
      </w:tr>
      <w:tr>
        <w:trPr/>
        <w:tc>
          <w:tcPr>
            <w:tcW w:w="7119"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4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27" w:type="dxa"/>
            <w:tcBorders/>
            <w:shd w:fill="auto" w:val="clear"/>
            <w:vAlign w:val="bottom"/>
          </w:tcPr>
          <w:p>
            <w:pPr>
              <w:pStyle w:val="TableContents"/>
              <w:spacing w:before="0" w:after="0"/>
              <w:ind w:left="0" w:right="0" w:hanging="0"/>
              <w:jc w:val="center"/>
              <w:rPr/>
            </w:pPr>
            <w:r>
              <w:rPr/>
              <w:t> </w:t>
            </w:r>
          </w:p>
        </w:tc>
      </w:tr>
      <w:tr>
        <w:trPr/>
        <w:tc>
          <w:tcPr>
            <w:tcW w:w="7119"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28" w:type="dxa"/>
            <w:tcBorders/>
            <w:shd w:fill="auto" w:val="clear"/>
            <w:vAlign w:val="bottom"/>
          </w:tcPr>
          <w:p>
            <w:pPr>
              <w:pStyle w:val="TableContents"/>
              <w:spacing w:before="0" w:after="0"/>
              <w:ind w:left="0" w:right="0" w:hanging="0"/>
              <w:jc w:val="center"/>
              <w:rPr/>
            </w:pPr>
            <w:r>
              <w:rPr/>
              <w:t> </w:t>
            </w:r>
          </w:p>
        </w:tc>
        <w:tc>
          <w:tcPr>
            <w:tcW w:w="12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27" w:type="dxa"/>
            <w:tcBorders/>
            <w:shd w:fill="auto" w:val="clear"/>
            <w:vAlign w:val="bottom"/>
          </w:tcPr>
          <w:p>
            <w:pPr>
              <w:pStyle w:val="TableContents"/>
              <w:spacing w:before="0" w:after="0"/>
              <w:ind w:left="0" w:right="0" w:hanging="0"/>
              <w:jc w:val="center"/>
              <w:rPr/>
            </w:pPr>
            <w:r>
              <w:rPr/>
              <w:t> </w:t>
            </w:r>
          </w:p>
        </w:tc>
      </w:tr>
      <w:tr>
        <w:trPr/>
        <w:tc>
          <w:tcPr>
            <w:tcW w:w="711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Numerator for basic and diluted earnings per limited partner unit:</w:t>
            </w:r>
          </w:p>
        </w:tc>
        <w:tc>
          <w:tcPr>
            <w:tcW w:w="214"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c>
          <w:tcPr>
            <w:tcW w:w="1259"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1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4"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228"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27" w:type="dxa"/>
            <w:tcBorders/>
            <w:shd w:fill="auto" w:val="clear"/>
            <w:vAlign w:val="bottom"/>
          </w:tcPr>
          <w:p>
            <w:pPr>
              <w:pStyle w:val="TableContents"/>
              <w:spacing w:before="0" w:after="0"/>
              <w:ind w:left="0" w:right="0" w:hanging="0"/>
              <w:rPr/>
            </w:pPr>
            <w:r>
              <w:rPr/>
              <w:t> </w:t>
            </w:r>
          </w:p>
        </w:tc>
      </w:tr>
      <w:tr>
        <w:trPr/>
        <w:tc>
          <w:tcPr>
            <w:tcW w:w="7119" w:type="dxa"/>
            <w:tcBorders/>
            <w:shd w:fill="CCEEFF" w:val="clear"/>
          </w:tcPr>
          <w:p>
            <w:pPr>
              <w:pStyle w:val="TableContents"/>
              <w:spacing w:before="0" w:after="0"/>
              <w:ind w:left="0" w:right="0" w:hanging="0"/>
              <w:rPr/>
            </w:pPr>
            <w:r>
              <w:rPr>
                <w:rFonts w:ascii="Times New Roman" w:hAnsi="Times New Roman"/>
                <w:sz w:val="17"/>
              </w:rPr>
              <w:t xml:space="preserve">Less: General partners incentive distribution paid </w:t>
            </w:r>
            <w:r>
              <w:rPr>
                <w:sz w:val="12"/>
              </w:rPr>
              <w:t>(1)</w:t>
            </w:r>
          </w:p>
        </w:tc>
        <w:tc>
          <w:tcPr>
            <w:tcW w:w="214" w:type="dxa"/>
            <w:tcBorders/>
            <w:shd w:fill="CCEEFF" w:val="clear"/>
            <w:vAlign w:val="bottom"/>
          </w:tcPr>
          <w:p>
            <w:pPr>
              <w:pStyle w:val="TableContents"/>
              <w:spacing w:before="0" w:after="0"/>
              <w:ind w:left="0" w:right="0" w:hanging="0"/>
              <w:rPr/>
            </w:pPr>
            <w:r>
              <w:rPr/>
              <w:t> </w:t>
            </w:r>
          </w:p>
        </w:tc>
        <w:tc>
          <w:tcPr>
            <w:tcW w:w="12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214"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228" w:type="dxa"/>
            <w:tcBorders/>
            <w:shd w:fill="auto" w:val="clear"/>
            <w:vAlign w:val="bottom"/>
          </w:tcPr>
          <w:p>
            <w:pPr>
              <w:pStyle w:val="TableContents"/>
              <w:spacing w:before="0" w:after="0"/>
              <w:ind w:left="0" w:right="0" w:hanging="0"/>
              <w:rPr/>
            </w:pPr>
            <w:r>
              <w:rPr/>
              <w:t> </w:t>
            </w:r>
          </w:p>
        </w:tc>
        <w:tc>
          <w:tcPr>
            <w:tcW w:w="12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27" w:type="dxa"/>
            <w:tcBorders/>
            <w:shd w:fill="auto" w:val="clear"/>
            <w:vAlign w:val="bottom"/>
          </w:tcPr>
          <w:p>
            <w:pPr>
              <w:pStyle w:val="TableContents"/>
              <w:spacing w:before="0" w:after="0"/>
              <w:ind w:left="0" w:right="0" w:hanging="0"/>
              <w:rPr/>
            </w:pPr>
            <w:r>
              <w:rPr/>
              <w:t> </w:t>
            </w:r>
          </w:p>
        </w:tc>
      </w:tr>
      <w:tr>
        <w:trPr/>
        <w:tc>
          <w:tcPr>
            <w:tcW w:w="7119" w:type="dxa"/>
            <w:tcBorders/>
            <w:shd w:fill="CCEEFF" w:val="clear"/>
          </w:tcPr>
          <w:p>
            <w:pPr>
              <w:pStyle w:val="TableContents"/>
              <w:spacing w:before="0" w:after="0"/>
              <w:ind w:left="0" w:right="0" w:hanging="0"/>
              <w:rPr/>
            </w:pPr>
            <w:r>
              <w:rPr>
                <w:rFonts w:ascii="Times New Roman" w:hAnsi="Times New Roman"/>
                <w:sz w:val="17"/>
              </w:rPr>
              <w:t xml:space="preserve">Less: General partner 2% ownership </w:t>
            </w:r>
            <w:r>
              <w:rPr>
                <w:sz w:val="12"/>
              </w:rPr>
              <w:t>(1)</w:t>
            </w:r>
          </w:p>
        </w:tc>
        <w:tc>
          <w:tcPr>
            <w:tcW w:w="214" w:type="dxa"/>
            <w:tcBorders/>
            <w:shd w:fill="CCEEFF" w:val="clear"/>
            <w:vAlign w:val="bottom"/>
          </w:tcPr>
          <w:p>
            <w:pPr>
              <w:pStyle w:val="TableContents"/>
              <w:spacing w:before="0" w:after="0"/>
              <w:ind w:left="0" w:right="0" w:hanging="0"/>
              <w:rPr/>
            </w:pPr>
            <w:r>
              <w:rPr/>
              <w:t> </w:t>
            </w:r>
          </w:p>
        </w:tc>
        <w:tc>
          <w:tcPr>
            <w:tcW w:w="12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214"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228" w:type="dxa"/>
            <w:tcBorders/>
            <w:shd w:fill="auto" w:val="clear"/>
            <w:vAlign w:val="bottom"/>
          </w:tcPr>
          <w:p>
            <w:pPr>
              <w:pStyle w:val="TableContents"/>
              <w:spacing w:before="0" w:after="0"/>
              <w:ind w:left="0" w:right="0" w:hanging="0"/>
              <w:rPr/>
            </w:pPr>
            <w:r>
              <w:rPr/>
              <w:t> </w:t>
            </w:r>
          </w:p>
        </w:tc>
        <w:tc>
          <w:tcPr>
            <w:tcW w:w="12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27" w:type="dxa"/>
            <w:tcBorders/>
            <w:shd w:fill="auto" w:val="clear"/>
            <w:vAlign w:val="bottom"/>
          </w:tcPr>
          <w:p>
            <w:pPr>
              <w:pStyle w:val="TableContents"/>
              <w:spacing w:before="0" w:after="0"/>
              <w:ind w:left="0" w:right="0" w:hanging="0"/>
              <w:rPr/>
            </w:pPr>
            <w:r>
              <w:rPr/>
              <w:t> </w:t>
            </w:r>
          </w:p>
        </w:tc>
      </w:tr>
      <w:tr>
        <w:trPr/>
        <w:tc>
          <w:tcPr>
            <w:tcW w:w="7119" w:type="dxa"/>
            <w:tcBorders/>
            <w:shd w:fill="CCEEFF" w:val="clear"/>
          </w:tcPr>
          <w:p>
            <w:pPr>
              <w:pStyle w:val="TableContents"/>
              <w:spacing w:before="0" w:after="0"/>
              <w:ind w:left="0" w:right="0" w:hanging="0"/>
              <w:rPr/>
            </w:pPr>
            <w:r>
              <w:rPr>
                <w:rFonts w:ascii="Times New Roman" w:hAnsi="Times New Roman"/>
                <w:sz w:val="17"/>
              </w:rPr>
              <w:t xml:space="preserve">Adjustment in accordance with EITF 07-04 </w:t>
            </w:r>
            <w:r>
              <w:rPr>
                <w:sz w:val="12"/>
              </w:rPr>
              <w:t>(1)</w:t>
            </w:r>
          </w:p>
        </w:tc>
        <w:tc>
          <w:tcPr>
            <w:tcW w:w="214" w:type="dxa"/>
            <w:tcBorders/>
            <w:shd w:fill="CCEEFF" w:val="clear"/>
            <w:vAlign w:val="bottom"/>
          </w:tcPr>
          <w:p>
            <w:pPr>
              <w:pStyle w:val="TableContents"/>
              <w:spacing w:before="0" w:after="0"/>
              <w:ind w:left="0" w:right="0" w:hanging="0"/>
              <w:rPr/>
            </w:pPr>
            <w:r>
              <w:rPr/>
              <w:t> </w:t>
            </w:r>
          </w:p>
        </w:tc>
        <w:tc>
          <w:tcPr>
            <w:tcW w:w="12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EITF 07-04</w:t>
            </w:r>
          </w:p>
        </w:tc>
        <w:tc>
          <w:tcPr>
            <w:tcW w:w="214"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w:t>
            </w:r>
          </w:p>
        </w:tc>
        <w:tc>
          <w:tcPr>
            <w:tcW w:w="228"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27" w:type="dxa"/>
            <w:tcBorders/>
            <w:shd w:fill="auto" w:val="clear"/>
            <w:vAlign w:val="bottom"/>
          </w:tcPr>
          <w:p>
            <w:pPr>
              <w:pStyle w:val="TableContents"/>
              <w:spacing w:before="0" w:after="0"/>
              <w:ind w:left="0" w:right="0" w:hanging="0"/>
              <w:rPr/>
            </w:pPr>
            <w:r>
              <w:rPr/>
              <w:t> </w:t>
            </w:r>
          </w:p>
        </w:tc>
      </w:tr>
      <w:tr>
        <w:trPr/>
        <w:tc>
          <w:tcPr>
            <w:tcW w:w="7119" w:type="dxa"/>
            <w:tcBorders/>
            <w:shd w:fill="CCEEFF" w:val="clear"/>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c>
          <w:tcPr>
            <w:tcW w:w="1259"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1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Denominator:</w:t>
            </w:r>
          </w:p>
        </w:tc>
        <w:tc>
          <w:tcPr>
            <w:tcW w:w="214"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1259"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11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4"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28" w:type="dxa"/>
            <w:tcBorders/>
            <w:shd w:fill="CCEEFF" w:val="clear"/>
            <w:vAlign w:val="bottom"/>
          </w:tcPr>
          <w:p>
            <w:pPr>
              <w:pStyle w:val="TableContents"/>
              <w:spacing w:before="0" w:after="0"/>
              <w:ind w:left="0" w:right="0" w:hanging="0"/>
              <w:rPr/>
            </w:pPr>
            <w:r>
              <w:rPr/>
              <w:t> </w:t>
            </w:r>
          </w:p>
        </w:tc>
        <w:tc>
          <w:tcPr>
            <w:tcW w:w="12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w:t>
            </w:r>
          </w:p>
        </w:tc>
        <w:tc>
          <w:tcPr>
            <w:tcW w:w="127" w:type="dxa"/>
            <w:tcBorders/>
            <w:shd w:fill="CCEEFF" w:val="clear"/>
            <w:vAlign w:val="bottom"/>
          </w:tcPr>
          <w:p>
            <w:pPr>
              <w:pStyle w:val="TableContents"/>
              <w:spacing w:before="0" w:after="0"/>
              <w:ind w:left="0" w:right="0" w:hanging="0"/>
              <w:rPr/>
            </w:pPr>
            <w:r>
              <w:rPr/>
              <w:t> </w:t>
            </w:r>
          </w:p>
        </w:tc>
      </w:tr>
      <w:tr>
        <w:trPr/>
        <w:tc>
          <w:tcPr>
            <w:tcW w:w="71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w:t>
            </w:r>
          </w:p>
        </w:tc>
        <w:tc>
          <w:tcPr>
            <w:tcW w:w="214"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1259"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11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Weighted average LTIP units</w:t>
            </w:r>
          </w:p>
        </w:tc>
        <w:tc>
          <w:tcPr>
            <w:tcW w:w="214" w:type="dxa"/>
            <w:tcBorders/>
            <w:shd w:fill="CCEEFF" w:val="clear"/>
            <w:vAlign w:val="bottom"/>
          </w:tcPr>
          <w:p>
            <w:pPr>
              <w:pStyle w:val="TableContents"/>
              <w:spacing w:before="0" w:after="0"/>
              <w:ind w:left="0" w:right="0" w:hanging="0"/>
              <w:rPr/>
            </w:pPr>
            <w:r>
              <w:rPr/>
              <w:t> </w:t>
            </w:r>
          </w:p>
        </w:tc>
        <w:tc>
          <w:tcPr>
            <w:tcW w:w="12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8" w:type="dxa"/>
            <w:tcBorders/>
            <w:shd w:fill="CCEEFF" w:val="clear"/>
            <w:vAlign w:val="bottom"/>
          </w:tcPr>
          <w:p>
            <w:pPr>
              <w:pStyle w:val="TableContents"/>
              <w:spacing w:before="0" w:after="0"/>
              <w:ind w:left="0" w:right="0" w:hanging="0"/>
              <w:rPr/>
            </w:pPr>
            <w:r>
              <w:rPr/>
              <w:t> </w:t>
            </w:r>
          </w:p>
        </w:tc>
        <w:tc>
          <w:tcPr>
            <w:tcW w:w="12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7" w:type="dxa"/>
            <w:tcBorders/>
            <w:shd w:fill="CCEEFF" w:val="clear"/>
            <w:vAlign w:val="bottom"/>
          </w:tcPr>
          <w:p>
            <w:pPr>
              <w:pStyle w:val="TableContents"/>
              <w:spacing w:before="0" w:after="0"/>
              <w:ind w:left="0" w:right="0" w:hanging="0"/>
              <w:rPr/>
            </w:pPr>
            <w:r>
              <w:rPr/>
              <w:t> </w:t>
            </w:r>
          </w:p>
        </w:tc>
      </w:tr>
      <w:tr>
        <w:trPr/>
        <w:tc>
          <w:tcPr>
            <w:tcW w:w="71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14" w:type="dxa"/>
            <w:tcBorders/>
            <w:shd w:fill="auto" w:val="clear"/>
            <w:vAlign w:val="bottom"/>
          </w:tcPr>
          <w:p>
            <w:pPr>
              <w:pStyle w:val="TableContents"/>
              <w:spacing w:before="0" w:after="0"/>
              <w:ind w:left="0" w:right="0" w:hanging="0"/>
              <w:rPr/>
            </w:pPr>
            <w:r>
              <w:rPr/>
              <w:t> </w:t>
            </w:r>
          </w:p>
        </w:tc>
        <w:tc>
          <w:tcPr>
            <w:tcW w:w="125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28" w:type="dxa"/>
            <w:tcBorders/>
            <w:shd w:fill="auto" w:val="clear"/>
            <w:vAlign w:val="bottom"/>
          </w:tcPr>
          <w:p>
            <w:pPr>
              <w:pStyle w:val="TableContents"/>
              <w:spacing w:before="0" w:after="0"/>
              <w:ind w:left="0" w:right="0" w:hanging="0"/>
              <w:rPr/>
            </w:pPr>
            <w:r>
              <w:rPr/>
              <w:t> </w:t>
            </w:r>
          </w:p>
        </w:tc>
        <w:tc>
          <w:tcPr>
            <w:tcW w:w="125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127" w:type="dxa"/>
            <w:tcBorders/>
            <w:shd w:fill="auto" w:val="clear"/>
            <w:vAlign w:val="bottom"/>
          </w:tcPr>
          <w:p>
            <w:pPr>
              <w:pStyle w:val="TableContents"/>
              <w:spacing w:before="0" w:after="0"/>
              <w:ind w:left="0" w:right="0" w:hanging="0"/>
              <w:rPr/>
            </w:pPr>
            <w:r>
              <w:rPr/>
              <w:t> </w:t>
            </w:r>
          </w:p>
        </w:tc>
      </w:tr>
      <w:tr>
        <w:trPr/>
        <w:tc>
          <w:tcPr>
            <w:tcW w:w="7119" w:type="dxa"/>
            <w:tcBorders/>
            <w:shd w:fill="CCEEFF" w:val="clear"/>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c>
          <w:tcPr>
            <w:tcW w:w="1259"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1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214"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28"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0.56</w:t>
            </w:r>
          </w:p>
        </w:tc>
        <w:tc>
          <w:tcPr>
            <w:tcW w:w="127" w:type="dxa"/>
            <w:tcBorders/>
            <w:shd w:fill="auto" w:val="clear"/>
            <w:vAlign w:val="bottom"/>
          </w:tcPr>
          <w:p>
            <w:pPr>
              <w:pStyle w:val="TableContents"/>
              <w:spacing w:before="0" w:after="0"/>
              <w:ind w:left="0" w:right="0" w:hanging="0"/>
              <w:rPr/>
            </w:pPr>
            <w:r>
              <w:rPr/>
              <w:t> </w:t>
            </w:r>
          </w:p>
        </w:tc>
      </w:tr>
      <w:tr>
        <w:trPr/>
        <w:tc>
          <w:tcPr>
            <w:tcW w:w="7119" w:type="dxa"/>
            <w:tcBorders/>
            <w:shd w:fill="CCEEFF" w:val="clear"/>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c>
          <w:tcPr>
            <w:tcW w:w="1259"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1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214"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28"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0.56</w:t>
            </w:r>
          </w:p>
        </w:tc>
        <w:tc>
          <w:tcPr>
            <w:tcW w:w="12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2"/>
        </w:rPr>
        <w:t>(1)</w:t>
      </w:r>
      <w:r>
        <w:rPr>
          <w:rFonts w:ascii="Times New Roman" w:hAnsi="Times New Roman"/>
          <w:sz w:val="17"/>
        </w:rPr>
        <w:t> </w:t>
      </w:r>
      <w:r>
        <w:rPr>
          <w:rFonts w:ascii="Times New Roman" w:hAnsi="Times New Roman"/>
          <w:sz w:val="13"/>
        </w:rPr>
        <w:t>We allocate net income to our general partner based on the distribution paid during the current quarter (including the incentive distribution interest in excess of the 2% general partner interest).  EITF 07-04 requires that the distribution pertaining to the current periods net income, which is to be paid in the subsequent quarter, be utilized within the earnings per unit calculation.  We reflect the impact of this difference as the Adjustment in accordance with EITF 07-04.</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3606"/>
        <w:gridCol w:w="2782"/>
        <w:gridCol w:w="3817"/>
      </w:tblGrid>
      <w:tr>
        <w:trPr/>
        <w:tc>
          <w:tcPr>
            <w:tcW w:w="3606" w:type="dxa"/>
            <w:tcBorders>
              <w:top w:val="single" w:sz="8" w:space="0" w:color="000000"/>
            </w:tcBorders>
            <w:shd w:fill="auto" w:val="clear"/>
          </w:tcPr>
          <w:p>
            <w:pPr>
              <w:pStyle w:val="TableContents"/>
              <w:spacing w:before="0" w:after="0"/>
              <w:ind w:left="0" w:right="0" w:hanging="0"/>
              <w:jc w:val="right"/>
              <w:rPr/>
            </w:pPr>
            <w:r>
              <w:rPr/>
              <w:t> </w:t>
            </w:r>
          </w:p>
        </w:tc>
        <w:tc>
          <w:tcPr>
            <w:tcW w:w="2782" w:type="dxa"/>
            <w:tcBorders>
              <w:top w:val="single" w:sz="8" w:space="0" w:color="000000"/>
            </w:tcBorders>
            <w:shd w:fill="auto" w:val="clear"/>
          </w:tcPr>
          <w:p>
            <w:pPr>
              <w:pStyle w:val="TableContents"/>
              <w:spacing w:before="0" w:after="0"/>
              <w:ind w:left="0" w:right="0" w:hanging="0"/>
              <w:jc w:val="center"/>
              <w:rPr/>
            </w:pPr>
            <w:r>
              <w:rPr/>
              <w:t> </w:t>
            </w:r>
          </w:p>
        </w:tc>
        <w:tc>
          <w:tcPr>
            <w:tcW w:w="3817" w:type="dxa"/>
            <w:tcBorders>
              <w:top w:val="single" w:sz="8" w:space="0" w:color="000000"/>
            </w:tcBorders>
            <w:shd w:fill="auto" w:val="clear"/>
          </w:tcPr>
          <w:p>
            <w:pPr>
              <w:pStyle w:val="TableContents"/>
              <w:spacing w:before="0" w:after="0"/>
              <w:ind w:left="0" w:right="0" w:hanging="0"/>
              <w:rPr/>
            </w:pPr>
            <w:r>
              <w:rPr/>
              <w:t> </w:t>
            </w:r>
          </w:p>
        </w:tc>
      </w:tr>
      <w:tr>
        <w:trPr/>
        <w:tc>
          <w:tcPr>
            <w:tcW w:w="3606" w:type="dxa"/>
            <w:tcBorders/>
            <w:shd w:fill="auto" w:val="clear"/>
            <w:tcMar>
              <w:top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333 Clay Street, Suite 1600</w:t>
            </w:r>
          </w:p>
        </w:tc>
        <w:tc>
          <w:tcPr>
            <w:tcW w:w="2782" w:type="dxa"/>
            <w:tcBorders/>
            <w:shd w:fill="auto" w:val="clear"/>
            <w:tcMar>
              <w:top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Houston, Texas 77002</w:t>
            </w:r>
          </w:p>
        </w:tc>
        <w:tc>
          <w:tcPr>
            <w:tcW w:w="3817" w:type="dxa"/>
            <w:tcBorders/>
            <w:shd w:fill="auto" w:val="clear"/>
            <w:tcMar>
              <w:top w:w="0" w:type="dxa"/>
            </w:tcMar>
          </w:tcPr>
          <w:p>
            <w:pPr>
              <w:pStyle w:val="TableContents"/>
              <w:spacing w:before="0" w:after="0"/>
              <w:ind w:left="0" w:right="0" w:hanging="0"/>
              <w:rPr>
                <w:rFonts w:ascii="Times New Roman" w:hAnsi="Times New Roman"/>
                <w:sz w:val="17"/>
              </w:rPr>
            </w:pPr>
            <w:r>
              <w:rPr>
                <w:rFonts w:ascii="Times New Roman" w:hAnsi="Times New Roman"/>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11</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rPr>
          <w:rFonts w:ascii="Times New Roman" w:hAnsi="Times New Roman"/>
          <w:sz w:val="17"/>
        </w:rPr>
      </w:pPr>
      <w:r>
        <w:rPr>
          <w:rFonts w:ascii="Times New Roman" w:hAnsi="Times New Roman"/>
          <w:b/>
          <w:sz w:val="17"/>
        </w:rPr>
        <w:t>FINANCIAL SUMMARY</w:t>
      </w:r>
      <w:r>
        <w:rPr>
          <w:rFonts w:ascii="Times New Roman" w:hAnsi="Times New Roman"/>
          <w:sz w:val="17"/>
        </w:rPr>
        <w:t xml:space="preserve"> (unaudited)</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FINANCIAL DATA RECONCILIATIONS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70"/>
        <w:gridCol w:w="214"/>
        <w:gridCol w:w="159"/>
        <w:gridCol w:w="1122"/>
        <w:gridCol w:w="225"/>
        <w:gridCol w:w="159"/>
        <w:gridCol w:w="1123"/>
        <w:gridCol w:w="133"/>
      </w:tblGrid>
      <w:tr>
        <w:trPr/>
        <w:tc>
          <w:tcPr>
            <w:tcW w:w="707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8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33" w:type="dxa"/>
            <w:tcBorders/>
            <w:shd w:fill="auto" w:val="clear"/>
            <w:vAlign w:val="bottom"/>
          </w:tcPr>
          <w:p>
            <w:pPr>
              <w:pStyle w:val="TableContents"/>
              <w:spacing w:before="0" w:after="0"/>
              <w:ind w:left="0" w:right="0" w:hanging="0"/>
              <w:jc w:val="center"/>
              <w:rPr/>
            </w:pPr>
            <w:r>
              <w:rPr/>
              <w:t> </w:t>
            </w:r>
          </w:p>
        </w:tc>
      </w:tr>
      <w:tr>
        <w:trPr/>
        <w:tc>
          <w:tcPr>
            <w:tcW w:w="707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8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33" w:type="dxa"/>
            <w:tcBorders/>
            <w:shd w:fill="auto" w:val="clear"/>
            <w:vAlign w:val="bottom"/>
          </w:tcPr>
          <w:p>
            <w:pPr>
              <w:pStyle w:val="TableContents"/>
              <w:spacing w:before="0" w:after="0"/>
              <w:ind w:left="0" w:right="0" w:hanging="0"/>
              <w:jc w:val="center"/>
              <w:rPr/>
            </w:pPr>
            <w:r>
              <w:rPr/>
              <w:t> </w:t>
            </w:r>
          </w:p>
        </w:tc>
      </w:tr>
      <w:tr>
        <w:trPr/>
        <w:tc>
          <w:tcPr>
            <w:tcW w:w="707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25" w:type="dxa"/>
            <w:tcBorders/>
            <w:shd w:fill="auto" w:val="clear"/>
            <w:vAlign w:val="bottom"/>
          </w:tcPr>
          <w:p>
            <w:pPr>
              <w:pStyle w:val="TableContents"/>
              <w:spacing w:before="0" w:after="0"/>
              <w:ind w:left="0" w:right="0" w:hanging="0"/>
              <w:jc w:val="center"/>
              <w:rPr/>
            </w:pPr>
            <w:r>
              <w:rPr/>
              <w:t> </w:t>
            </w:r>
          </w:p>
        </w:tc>
        <w:tc>
          <w:tcPr>
            <w:tcW w:w="12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33" w:type="dxa"/>
            <w:tcBorders/>
            <w:shd w:fill="auto" w:val="clear"/>
            <w:vAlign w:val="bottom"/>
          </w:tcPr>
          <w:p>
            <w:pPr>
              <w:pStyle w:val="TableContents"/>
              <w:spacing w:before="0" w:after="0"/>
              <w:ind w:left="0" w:right="0" w:hanging="0"/>
              <w:jc w:val="center"/>
              <w:rPr/>
            </w:pPr>
            <w:r>
              <w:rPr/>
              <w:t> </w:t>
            </w:r>
          </w:p>
        </w:tc>
      </w:tr>
      <w:tr>
        <w:trPr/>
        <w:tc>
          <w:tcPr>
            <w:tcW w:w="7070"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Earnings before interest, taxes, depreciation and amortization (EBITDA)</w:t>
            </w:r>
          </w:p>
        </w:tc>
        <w:tc>
          <w:tcPr>
            <w:tcW w:w="214" w:type="dxa"/>
            <w:tcBorders/>
            <w:shd w:fill="CCEEFF" w:val="clear"/>
            <w:vAlign w:val="bottom"/>
          </w:tcPr>
          <w:p>
            <w:pPr>
              <w:pStyle w:val="TableContents"/>
              <w:spacing w:before="0" w:after="0"/>
              <w:ind w:left="0" w:right="0" w:hanging="0"/>
              <w:rPr/>
            </w:pPr>
            <w:r>
              <w:rPr/>
              <w:t> </w:t>
            </w:r>
          </w:p>
        </w:tc>
        <w:tc>
          <w:tcPr>
            <w:tcW w:w="1281"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282"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7070"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81"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282"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7070"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Net income reconciliation</w:t>
            </w:r>
          </w:p>
        </w:tc>
        <w:tc>
          <w:tcPr>
            <w:tcW w:w="214" w:type="dxa"/>
            <w:tcBorders/>
            <w:shd w:fill="CCEEFF" w:val="clear"/>
            <w:vAlign w:val="bottom"/>
          </w:tcPr>
          <w:p>
            <w:pPr>
              <w:pStyle w:val="TableContents"/>
              <w:spacing w:before="0" w:after="0"/>
              <w:ind w:left="0" w:right="0" w:hanging="0"/>
              <w:rPr/>
            </w:pPr>
            <w:r>
              <w:rPr/>
              <w:t> </w:t>
            </w:r>
          </w:p>
        </w:tc>
        <w:tc>
          <w:tcPr>
            <w:tcW w:w="1281"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282"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70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4"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225"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33" w:type="dxa"/>
            <w:tcBorders/>
            <w:shd w:fill="auto" w:val="clear"/>
            <w:vAlign w:val="bottom"/>
          </w:tcPr>
          <w:p>
            <w:pPr>
              <w:pStyle w:val="TableContents"/>
              <w:spacing w:before="0" w:after="0"/>
              <w:ind w:left="0" w:right="0" w:hanging="0"/>
              <w:rPr/>
            </w:pPr>
            <w:r>
              <w:rPr/>
              <w:t> </w:t>
            </w:r>
          </w:p>
        </w:tc>
      </w:tr>
      <w:tr>
        <w:trPr/>
        <w:tc>
          <w:tcPr>
            <w:tcW w:w="707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Add: Interest expense</w:t>
            </w:r>
          </w:p>
        </w:tc>
        <w:tc>
          <w:tcPr>
            <w:tcW w:w="214" w:type="dxa"/>
            <w:tcBorders/>
            <w:shd w:fill="CCEEFF" w:val="clear"/>
            <w:vAlign w:val="bottom"/>
          </w:tcPr>
          <w:p>
            <w:pPr>
              <w:pStyle w:val="TableContents"/>
              <w:spacing w:before="0" w:after="0"/>
              <w:ind w:left="0" w:right="0" w:hanging="0"/>
              <w:rPr/>
            </w:pPr>
            <w:r>
              <w:rPr/>
              <w:t> </w:t>
            </w:r>
          </w:p>
        </w:tc>
        <w:tc>
          <w:tcPr>
            <w:tcW w:w="12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25" w:type="dxa"/>
            <w:tcBorders/>
            <w:shd w:fill="CCEEFF" w:val="clear"/>
            <w:vAlign w:val="bottom"/>
          </w:tcPr>
          <w:p>
            <w:pPr>
              <w:pStyle w:val="TableContents"/>
              <w:spacing w:before="0" w:after="0"/>
              <w:ind w:left="0" w:right="0" w:hanging="0"/>
              <w:rPr/>
            </w:pPr>
            <w:r>
              <w:rPr/>
              <w:t> </w:t>
            </w:r>
          </w:p>
        </w:tc>
        <w:tc>
          <w:tcPr>
            <w:tcW w:w="12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33" w:type="dxa"/>
            <w:tcBorders/>
            <w:shd w:fill="CCEEFF" w:val="clear"/>
            <w:vAlign w:val="bottom"/>
          </w:tcPr>
          <w:p>
            <w:pPr>
              <w:pStyle w:val="TableContents"/>
              <w:spacing w:before="0" w:after="0"/>
              <w:ind w:left="0" w:right="0" w:hanging="0"/>
              <w:rPr/>
            </w:pPr>
            <w:r>
              <w:rPr/>
              <w:t> </w:t>
            </w:r>
          </w:p>
        </w:tc>
      </w:tr>
      <w:tr>
        <w:trPr/>
        <w:tc>
          <w:tcPr>
            <w:tcW w:w="70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Add/(Less): Income tax expense/(benefit)</w:t>
            </w:r>
          </w:p>
        </w:tc>
        <w:tc>
          <w:tcPr>
            <w:tcW w:w="214" w:type="dxa"/>
            <w:tcBorders/>
            <w:shd w:fill="auto" w:val="clear"/>
            <w:vAlign w:val="bottom"/>
          </w:tcPr>
          <w:p>
            <w:pPr>
              <w:pStyle w:val="TableContents"/>
              <w:spacing w:before="0" w:after="0"/>
              <w:ind w:left="0" w:right="0" w:hanging="0"/>
              <w:rPr/>
            </w:pPr>
            <w:r>
              <w:rPr/>
              <w:t> </w:t>
            </w:r>
          </w:p>
        </w:tc>
        <w:tc>
          <w:tcPr>
            <w:tcW w:w="12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5" w:type="dxa"/>
            <w:tcBorders/>
            <w:shd w:fill="auto" w:val="clear"/>
            <w:vAlign w:val="bottom"/>
          </w:tcPr>
          <w:p>
            <w:pPr>
              <w:pStyle w:val="TableContents"/>
              <w:spacing w:before="0" w:after="0"/>
              <w:ind w:left="0" w:right="0" w:hanging="0"/>
              <w:rPr/>
            </w:pPr>
            <w:r>
              <w:rPr/>
              <w:t> </w:t>
            </w:r>
          </w:p>
        </w:tc>
        <w:tc>
          <w:tcPr>
            <w:tcW w:w="128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7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and taxes (EBIT)</w:t>
            </w:r>
          </w:p>
        </w:tc>
        <w:tc>
          <w:tcPr>
            <w:tcW w:w="214" w:type="dxa"/>
            <w:tcBorders/>
            <w:shd w:fill="CCEEFF" w:val="clear"/>
            <w:vAlign w:val="bottom"/>
          </w:tcPr>
          <w:p>
            <w:pPr>
              <w:pStyle w:val="TableContents"/>
              <w:spacing w:before="0" w:after="0"/>
              <w:ind w:left="0" w:right="0" w:hanging="0"/>
              <w:rPr/>
            </w:pPr>
            <w:r>
              <w:rPr/>
              <w:t> </w:t>
            </w:r>
          </w:p>
        </w:tc>
        <w:tc>
          <w:tcPr>
            <w:tcW w:w="12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263</w:t>
            </w:r>
          </w:p>
        </w:tc>
        <w:tc>
          <w:tcPr>
            <w:tcW w:w="225" w:type="dxa"/>
            <w:tcBorders/>
            <w:shd w:fill="CCEEFF" w:val="clear"/>
            <w:vAlign w:val="bottom"/>
          </w:tcPr>
          <w:p>
            <w:pPr>
              <w:pStyle w:val="TableContents"/>
              <w:spacing w:before="0" w:after="0"/>
              <w:ind w:left="0" w:right="0" w:hanging="0"/>
              <w:rPr/>
            </w:pPr>
            <w:r>
              <w:rPr/>
              <w:t> </w:t>
            </w:r>
          </w:p>
        </w:tc>
        <w:tc>
          <w:tcPr>
            <w:tcW w:w="12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133" w:type="dxa"/>
            <w:tcBorders/>
            <w:shd w:fill="CCEEFF" w:val="clear"/>
            <w:vAlign w:val="bottom"/>
          </w:tcPr>
          <w:p>
            <w:pPr>
              <w:pStyle w:val="TableContents"/>
              <w:spacing w:before="0" w:after="0"/>
              <w:ind w:left="0" w:right="0" w:hanging="0"/>
              <w:rPr/>
            </w:pPr>
            <w:r>
              <w:rPr/>
              <w:t> </w:t>
            </w:r>
          </w:p>
        </w:tc>
      </w:tr>
      <w:tr>
        <w:trPr/>
        <w:tc>
          <w:tcPr>
            <w:tcW w:w="70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 Depreciation and amortization</w:t>
            </w:r>
          </w:p>
        </w:tc>
        <w:tc>
          <w:tcPr>
            <w:tcW w:w="214" w:type="dxa"/>
            <w:tcBorders/>
            <w:shd w:fill="auto" w:val="clear"/>
            <w:vAlign w:val="bottom"/>
          </w:tcPr>
          <w:p>
            <w:pPr>
              <w:pStyle w:val="TableContents"/>
              <w:spacing w:before="0" w:after="0"/>
              <w:ind w:left="0" w:right="0" w:hanging="0"/>
              <w:rPr/>
            </w:pPr>
            <w:r>
              <w:rPr/>
              <w:t> </w:t>
            </w:r>
          </w:p>
        </w:tc>
        <w:tc>
          <w:tcPr>
            <w:tcW w:w="12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25" w:type="dxa"/>
            <w:tcBorders/>
            <w:shd w:fill="auto" w:val="clear"/>
            <w:vAlign w:val="bottom"/>
          </w:tcPr>
          <w:p>
            <w:pPr>
              <w:pStyle w:val="TableContents"/>
              <w:spacing w:before="0" w:after="0"/>
              <w:ind w:left="0" w:right="0" w:hanging="0"/>
              <w:rPr/>
            </w:pPr>
            <w:r>
              <w:rPr/>
              <w:t> </w:t>
            </w:r>
          </w:p>
        </w:tc>
        <w:tc>
          <w:tcPr>
            <w:tcW w:w="128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33" w:type="dxa"/>
            <w:tcBorders/>
            <w:shd w:fill="auto" w:val="clear"/>
            <w:vAlign w:val="bottom"/>
          </w:tcPr>
          <w:p>
            <w:pPr>
              <w:pStyle w:val="TableContents"/>
              <w:spacing w:before="0" w:after="0"/>
              <w:ind w:left="0" w:right="0" w:hanging="0"/>
              <w:rPr/>
            </w:pPr>
            <w:r>
              <w:rPr/>
              <w:t> </w:t>
            </w:r>
          </w:p>
        </w:tc>
      </w:tr>
      <w:tr>
        <w:trPr/>
        <w:tc>
          <w:tcPr>
            <w:tcW w:w="707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14" w:type="dxa"/>
            <w:tcBorders/>
            <w:shd w:fill="CCEEFF" w:val="clear"/>
            <w:vAlign w:val="bottom"/>
          </w:tcPr>
          <w:p>
            <w:pPr>
              <w:pStyle w:val="TableContents"/>
              <w:spacing w:before="0" w:after="0"/>
              <w:ind w:left="0" w:right="0" w:hanging="0"/>
              <w:rPr/>
            </w:pPr>
            <w:r>
              <w:rPr/>
              <w:t> </w:t>
            </w:r>
          </w:p>
        </w:tc>
        <w:tc>
          <w:tcPr>
            <w:tcW w:w="15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225" w:type="dxa"/>
            <w:tcBorders/>
            <w:shd w:fill="CCEEFF" w:val="clear"/>
            <w:vAlign w:val="bottom"/>
          </w:tcPr>
          <w:p>
            <w:pPr>
              <w:pStyle w:val="TableContents"/>
              <w:spacing w:before="0" w:after="0"/>
              <w:ind w:left="0" w:right="0" w:hanging="0"/>
              <w:rPr/>
            </w:pPr>
            <w:r>
              <w:rPr/>
              <w:t> </w:t>
            </w:r>
          </w:p>
        </w:tc>
        <w:tc>
          <w:tcPr>
            <w:tcW w:w="15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3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70"/>
        <w:gridCol w:w="214"/>
        <w:gridCol w:w="158"/>
        <w:gridCol w:w="1118"/>
        <w:gridCol w:w="236"/>
        <w:gridCol w:w="158"/>
        <w:gridCol w:w="1119"/>
        <w:gridCol w:w="132"/>
      </w:tblGrid>
      <w:tr>
        <w:trPr/>
        <w:tc>
          <w:tcPr>
            <w:tcW w:w="707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8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32" w:type="dxa"/>
            <w:tcBorders/>
            <w:shd w:fill="auto" w:val="clear"/>
            <w:vAlign w:val="bottom"/>
          </w:tcPr>
          <w:p>
            <w:pPr>
              <w:pStyle w:val="TableContents"/>
              <w:spacing w:before="0" w:after="0"/>
              <w:ind w:left="0" w:right="0" w:hanging="0"/>
              <w:jc w:val="center"/>
              <w:rPr/>
            </w:pPr>
            <w:r>
              <w:rPr/>
              <w:t> </w:t>
            </w:r>
          </w:p>
        </w:tc>
      </w:tr>
      <w:tr>
        <w:trPr/>
        <w:tc>
          <w:tcPr>
            <w:tcW w:w="707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8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32" w:type="dxa"/>
            <w:tcBorders/>
            <w:shd w:fill="auto" w:val="clear"/>
            <w:vAlign w:val="bottom"/>
          </w:tcPr>
          <w:p>
            <w:pPr>
              <w:pStyle w:val="TableContents"/>
              <w:spacing w:before="0" w:after="0"/>
              <w:ind w:left="0" w:right="0" w:hanging="0"/>
              <w:jc w:val="center"/>
              <w:rPr/>
            </w:pPr>
            <w:r>
              <w:rPr/>
              <w:t> </w:t>
            </w:r>
          </w:p>
        </w:tc>
      </w:tr>
      <w:tr>
        <w:trPr/>
        <w:tc>
          <w:tcPr>
            <w:tcW w:w="707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36" w:type="dxa"/>
            <w:tcBorders/>
            <w:shd w:fill="auto" w:val="clear"/>
            <w:vAlign w:val="bottom"/>
          </w:tcPr>
          <w:p>
            <w:pPr>
              <w:pStyle w:val="TableContents"/>
              <w:spacing w:before="0" w:after="0"/>
              <w:ind w:left="0" w:right="0" w:hanging="0"/>
              <w:jc w:val="center"/>
              <w:rPr/>
            </w:pPr>
            <w:r>
              <w:rPr/>
              <w:t> </w:t>
            </w:r>
          </w:p>
        </w:tc>
        <w:tc>
          <w:tcPr>
            <w:tcW w:w="12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32" w:type="dxa"/>
            <w:tcBorders/>
            <w:shd w:fill="auto" w:val="clear"/>
            <w:vAlign w:val="bottom"/>
          </w:tcPr>
          <w:p>
            <w:pPr>
              <w:pStyle w:val="TableContents"/>
              <w:spacing w:before="0" w:after="0"/>
              <w:ind w:left="0" w:right="0" w:hanging="0"/>
              <w:jc w:val="center"/>
              <w:rPr/>
            </w:pPr>
            <w:r>
              <w:rPr/>
              <w:t> </w:t>
            </w:r>
          </w:p>
        </w:tc>
      </w:tr>
      <w:tr>
        <w:trPr/>
        <w:tc>
          <w:tcPr>
            <w:tcW w:w="707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Cash flow from operating activities reconciliation</w:t>
            </w:r>
          </w:p>
        </w:tc>
        <w:tc>
          <w:tcPr>
            <w:tcW w:w="214"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pPr>
            <w:r>
              <w:rPr/>
              <w:t> </w:t>
            </w:r>
          </w:p>
        </w:tc>
        <w:tc>
          <w:tcPr>
            <w:tcW w:w="236" w:type="dxa"/>
            <w:tcBorders/>
            <w:shd w:fill="auto" w:val="clear"/>
            <w:vAlign w:val="bottom"/>
          </w:tcPr>
          <w:p>
            <w:pPr>
              <w:pStyle w:val="TableContents"/>
              <w:spacing w:before="0" w:after="0"/>
              <w:ind w:left="0" w:right="0" w:hanging="0"/>
              <w:rPr/>
            </w:pPr>
            <w:r>
              <w:rPr/>
              <w:t> </w:t>
            </w:r>
          </w:p>
        </w:tc>
        <w:tc>
          <w:tcPr>
            <w:tcW w:w="1277"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707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14" w:type="dxa"/>
            <w:tcBorders/>
            <w:shd w:fill="CCEEFF" w:val="clear"/>
            <w:vAlign w:val="bottom"/>
          </w:tcPr>
          <w:p>
            <w:pPr>
              <w:pStyle w:val="TableContents"/>
              <w:spacing w:before="0" w:after="0"/>
              <w:ind w:left="0" w:right="0" w:hanging="0"/>
              <w:rPr/>
            </w:pPr>
            <w:r>
              <w:rPr/>
              <w:t> </w:t>
            </w:r>
          </w:p>
        </w:tc>
        <w:tc>
          <w:tcPr>
            <w:tcW w:w="1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236" w:type="dxa"/>
            <w:tcBorders/>
            <w:shd w:fill="CCEEFF" w:val="clear"/>
            <w:vAlign w:val="bottom"/>
          </w:tcPr>
          <w:p>
            <w:pPr>
              <w:pStyle w:val="TableContents"/>
              <w:spacing w:before="0" w:after="0"/>
              <w:ind w:left="0" w:right="0" w:hanging="0"/>
              <w:rPr/>
            </w:pPr>
            <w:r>
              <w:rPr/>
              <w:t> </w:t>
            </w:r>
          </w:p>
        </w:tc>
        <w:tc>
          <w:tcPr>
            <w:tcW w:w="1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32" w:type="dxa"/>
            <w:tcBorders/>
            <w:shd w:fill="CCEEFF" w:val="clear"/>
            <w:vAlign w:val="bottom"/>
          </w:tcPr>
          <w:p>
            <w:pPr>
              <w:pStyle w:val="TableContents"/>
              <w:spacing w:before="0" w:after="0"/>
              <w:ind w:left="0" w:right="0" w:hanging="0"/>
              <w:rPr/>
            </w:pPr>
            <w:r>
              <w:rPr/>
              <w:t> </w:t>
            </w:r>
          </w:p>
        </w:tc>
      </w:tr>
      <w:tr>
        <w:trPr/>
        <w:tc>
          <w:tcPr>
            <w:tcW w:w="70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4"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7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4"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change in assets and liabilities, net of acquisitions</w:t>
            </w:r>
          </w:p>
        </w:tc>
        <w:tc>
          <w:tcPr>
            <w:tcW w:w="214"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236" w:type="dxa"/>
            <w:tcBorders/>
            <w:shd w:fill="auto" w:val="clear"/>
            <w:vAlign w:val="bottom"/>
          </w:tcPr>
          <w:p>
            <w:pPr>
              <w:pStyle w:val="TableContents"/>
              <w:spacing w:before="0" w:after="0"/>
              <w:ind w:left="0" w:right="0" w:hanging="0"/>
              <w:rPr/>
            </w:pPr>
            <w:r>
              <w:rPr/>
              <w:t> </w:t>
            </w:r>
          </w:p>
        </w:tc>
        <w:tc>
          <w:tcPr>
            <w:tcW w:w="12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366</w:t>
            </w:r>
          </w:p>
        </w:tc>
        <w:tc>
          <w:tcPr>
            <w:tcW w:w="132" w:type="dxa"/>
            <w:tcBorders/>
            <w:shd w:fill="auto" w:val="clear"/>
            <w:vAlign w:val="bottom"/>
          </w:tcPr>
          <w:p>
            <w:pPr>
              <w:pStyle w:val="TableContents"/>
              <w:spacing w:before="0" w:after="0"/>
              <w:ind w:left="0" w:right="0" w:hanging="0"/>
              <w:rPr/>
            </w:pPr>
            <w:r>
              <w:rPr/>
              <w:t> </w:t>
            </w:r>
          </w:p>
        </w:tc>
      </w:tr>
      <w:tr>
        <w:trPr/>
        <w:tc>
          <w:tcPr>
            <w:tcW w:w="707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items to reconcile to cash flows from operating activities:</w:t>
            </w:r>
          </w:p>
        </w:tc>
        <w:tc>
          <w:tcPr>
            <w:tcW w:w="214"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pPr>
            <w:r>
              <w:rPr/>
              <w:t> </w:t>
            </w:r>
          </w:p>
        </w:tc>
        <w:tc>
          <w:tcPr>
            <w:tcW w:w="236" w:type="dxa"/>
            <w:tcBorders/>
            <w:shd w:fill="CCEEFF" w:val="clear"/>
            <w:vAlign w:val="bottom"/>
          </w:tcPr>
          <w:p>
            <w:pPr>
              <w:pStyle w:val="TableContents"/>
              <w:spacing w:before="0" w:after="0"/>
              <w:ind w:left="0" w:right="0" w:hanging="0"/>
              <w:rPr/>
            </w:pPr>
            <w:r>
              <w:rPr/>
              <w:t> </w:t>
            </w:r>
          </w:p>
        </w:tc>
        <w:tc>
          <w:tcPr>
            <w:tcW w:w="1277"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70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cash received for termination of interest rate and foreign currency hedging instruments</w:t>
            </w:r>
          </w:p>
        </w:tc>
        <w:tc>
          <w:tcPr>
            <w:tcW w:w="214"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36" w:type="dxa"/>
            <w:tcBorders/>
            <w:shd w:fill="auto" w:val="clear"/>
            <w:vAlign w:val="bottom"/>
          </w:tcPr>
          <w:p>
            <w:pPr>
              <w:pStyle w:val="TableContents"/>
              <w:spacing w:before="0" w:after="0"/>
              <w:ind w:left="0" w:right="0" w:hanging="0"/>
              <w:rPr/>
            </w:pPr>
            <w:r>
              <w:rPr/>
              <w:t> </w:t>
            </w:r>
          </w:p>
        </w:tc>
        <w:tc>
          <w:tcPr>
            <w:tcW w:w="12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2" w:type="dxa"/>
            <w:tcBorders/>
            <w:shd w:fill="auto" w:val="clear"/>
            <w:vAlign w:val="bottom"/>
          </w:tcPr>
          <w:p>
            <w:pPr>
              <w:pStyle w:val="TableContents"/>
              <w:spacing w:before="0" w:after="0"/>
              <w:ind w:left="0" w:right="0" w:hanging="0"/>
              <w:rPr/>
            </w:pPr>
            <w:r>
              <w:rPr/>
              <w:t> </w:t>
            </w:r>
          </w:p>
        </w:tc>
      </w:tr>
      <w:tr>
        <w:trPr/>
        <w:tc>
          <w:tcPr>
            <w:tcW w:w="707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compensation charge</w:t>
            </w:r>
          </w:p>
        </w:tc>
        <w:tc>
          <w:tcPr>
            <w:tcW w:w="214" w:type="dxa"/>
            <w:tcBorders/>
            <w:shd w:fill="CCEEFF" w:val="clear"/>
            <w:vAlign w:val="bottom"/>
          </w:tcPr>
          <w:p>
            <w:pPr>
              <w:pStyle w:val="TableContents"/>
              <w:spacing w:before="0" w:after="0"/>
              <w:ind w:left="0" w:right="0" w:hanging="0"/>
              <w:rPr/>
            </w:pPr>
            <w:r>
              <w:rPr/>
              <w:t> </w:t>
            </w:r>
          </w:p>
        </w:tc>
        <w:tc>
          <w:tcPr>
            <w:tcW w:w="12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36" w:type="dxa"/>
            <w:tcBorders/>
            <w:shd w:fill="CCEEFF" w:val="clear"/>
            <w:vAlign w:val="bottom"/>
          </w:tcPr>
          <w:p>
            <w:pPr>
              <w:pStyle w:val="TableContents"/>
              <w:spacing w:before="0" w:after="0"/>
              <w:ind w:left="0" w:right="0" w:hanging="0"/>
              <w:rPr/>
            </w:pPr>
            <w:r>
              <w:rPr/>
              <w:t> </w:t>
            </w:r>
          </w:p>
        </w:tc>
        <w:tc>
          <w:tcPr>
            <w:tcW w:w="12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32" w:type="dxa"/>
            <w:tcBorders/>
            <w:shd w:fill="CCEEFF" w:val="clear"/>
            <w:vAlign w:val="bottom"/>
          </w:tcPr>
          <w:p>
            <w:pPr>
              <w:pStyle w:val="TableContents"/>
              <w:spacing w:before="0" w:after="0"/>
              <w:ind w:left="0" w:right="0" w:hanging="0"/>
              <w:rPr/>
            </w:pPr>
            <w:r>
              <w:rPr/>
              <w:t> </w:t>
            </w:r>
          </w:p>
        </w:tc>
      </w:tr>
      <w:tr>
        <w:trPr/>
        <w:tc>
          <w:tcPr>
            <w:tcW w:w="7070"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pPr>
            <w:r>
              <w:rPr/>
              <w:t> </w:t>
            </w:r>
          </w:p>
        </w:tc>
        <w:tc>
          <w:tcPr>
            <w:tcW w:w="236" w:type="dxa"/>
            <w:tcBorders/>
            <w:shd w:fill="auto" w:val="clear"/>
            <w:vAlign w:val="bottom"/>
          </w:tcPr>
          <w:p>
            <w:pPr>
              <w:pStyle w:val="TableContents"/>
              <w:spacing w:before="0" w:after="0"/>
              <w:ind w:left="0" w:right="0" w:hanging="0"/>
              <w:rPr/>
            </w:pPr>
            <w:r>
              <w:rPr/>
              <w:t> </w:t>
            </w:r>
          </w:p>
        </w:tc>
        <w:tc>
          <w:tcPr>
            <w:tcW w:w="1277"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707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14" w:type="dxa"/>
            <w:tcBorders/>
            <w:shd w:fill="CCEEFF" w:val="clear"/>
            <w:vAlign w:val="bottom"/>
          </w:tcPr>
          <w:p>
            <w:pPr>
              <w:pStyle w:val="TableContents"/>
              <w:spacing w:before="0" w:after="0"/>
              <w:ind w:left="0" w:right="0" w:hanging="0"/>
              <w:rPr/>
            </w:pPr>
            <w:r>
              <w:rPr/>
              <w:t> </w:t>
            </w:r>
          </w:p>
        </w:tc>
        <w:tc>
          <w:tcPr>
            <w:tcW w:w="15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478</w:t>
            </w:r>
          </w:p>
        </w:tc>
        <w:tc>
          <w:tcPr>
            <w:tcW w:w="236" w:type="dxa"/>
            <w:tcBorders/>
            <w:shd w:fill="CCEEFF" w:val="clear"/>
            <w:vAlign w:val="bottom"/>
          </w:tcPr>
          <w:p>
            <w:pPr>
              <w:pStyle w:val="TableContents"/>
              <w:spacing w:before="0" w:after="0"/>
              <w:ind w:left="0" w:right="0" w:hanging="0"/>
              <w:rPr/>
            </w:pPr>
            <w:r>
              <w:rPr/>
              <w:t> </w:t>
            </w:r>
          </w:p>
        </w:tc>
        <w:tc>
          <w:tcPr>
            <w:tcW w:w="15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509</w:t>
            </w:r>
          </w:p>
        </w:tc>
        <w:tc>
          <w:tcPr>
            <w:tcW w:w="13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64"/>
        <w:gridCol w:w="214"/>
        <w:gridCol w:w="160"/>
        <w:gridCol w:w="1118"/>
        <w:gridCol w:w="236"/>
        <w:gridCol w:w="160"/>
        <w:gridCol w:w="1120"/>
        <w:gridCol w:w="133"/>
      </w:tblGrid>
      <w:tr>
        <w:trPr/>
        <w:tc>
          <w:tcPr>
            <w:tcW w:w="706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9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33" w:type="dxa"/>
            <w:tcBorders/>
            <w:shd w:fill="auto" w:val="clear"/>
            <w:vAlign w:val="bottom"/>
          </w:tcPr>
          <w:p>
            <w:pPr>
              <w:pStyle w:val="TableContents"/>
              <w:spacing w:before="0" w:after="0"/>
              <w:ind w:left="0" w:right="0" w:hanging="0"/>
              <w:jc w:val="center"/>
              <w:rPr/>
            </w:pPr>
            <w:r>
              <w:rPr/>
              <w:t> </w:t>
            </w:r>
          </w:p>
        </w:tc>
      </w:tr>
      <w:tr>
        <w:trPr/>
        <w:tc>
          <w:tcPr>
            <w:tcW w:w="706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9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33" w:type="dxa"/>
            <w:tcBorders/>
            <w:shd w:fill="auto" w:val="clear"/>
            <w:vAlign w:val="bottom"/>
          </w:tcPr>
          <w:p>
            <w:pPr>
              <w:pStyle w:val="TableContents"/>
              <w:spacing w:before="0" w:after="0"/>
              <w:ind w:left="0" w:right="0" w:hanging="0"/>
              <w:jc w:val="center"/>
              <w:rPr/>
            </w:pPr>
            <w:r>
              <w:rPr/>
              <w:t> </w:t>
            </w:r>
          </w:p>
        </w:tc>
      </w:tr>
      <w:tr>
        <w:trPr/>
        <w:tc>
          <w:tcPr>
            <w:tcW w:w="706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36" w:type="dxa"/>
            <w:tcBorders/>
            <w:shd w:fill="auto" w:val="clear"/>
            <w:vAlign w:val="bottom"/>
          </w:tcPr>
          <w:p>
            <w:pPr>
              <w:pStyle w:val="TableContents"/>
              <w:spacing w:before="0" w:after="0"/>
              <w:ind w:left="0" w:right="0" w:hanging="0"/>
              <w:jc w:val="center"/>
              <w:rPr/>
            </w:pPr>
            <w:r>
              <w:rPr/>
              <w:t> </w:t>
            </w:r>
          </w:p>
        </w:tc>
        <w:tc>
          <w:tcPr>
            <w:tcW w:w="12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33" w:type="dxa"/>
            <w:tcBorders/>
            <w:shd w:fill="auto" w:val="clear"/>
            <w:vAlign w:val="bottom"/>
          </w:tcPr>
          <w:p>
            <w:pPr>
              <w:pStyle w:val="TableContents"/>
              <w:spacing w:before="0" w:after="0"/>
              <w:ind w:left="0" w:right="0" w:hanging="0"/>
              <w:jc w:val="center"/>
              <w:rPr/>
            </w:pPr>
            <w:r>
              <w:rPr/>
              <w:t> </w:t>
            </w:r>
          </w:p>
        </w:tc>
      </w:tr>
      <w:tr>
        <w:trPr/>
        <w:tc>
          <w:tcPr>
            <w:tcW w:w="706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Funds flow from operations (FFO)</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pPr>
            <w:r>
              <w:rPr/>
              <w:t> </w:t>
            </w:r>
          </w:p>
        </w:tc>
        <w:tc>
          <w:tcPr>
            <w:tcW w:w="236" w:type="dxa"/>
            <w:tcBorders/>
            <w:shd w:fill="CCEEFF" w:val="clear"/>
            <w:vAlign w:val="bottom"/>
          </w:tcPr>
          <w:p>
            <w:pPr>
              <w:pStyle w:val="TableContents"/>
              <w:spacing w:before="0" w:after="0"/>
              <w:ind w:left="0" w:right="0" w:hanging="0"/>
              <w:rPr/>
            </w:pPr>
            <w:r>
              <w:rPr/>
              <w:t> </w:t>
            </w:r>
          </w:p>
        </w:tc>
        <w:tc>
          <w:tcPr>
            <w:tcW w:w="1280"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70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4"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236"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33" w:type="dxa"/>
            <w:tcBorders/>
            <w:shd w:fill="auto" w:val="clear"/>
            <w:vAlign w:val="bottom"/>
          </w:tcPr>
          <w:p>
            <w:pPr>
              <w:pStyle w:val="TableContents"/>
              <w:spacing w:before="0" w:after="0"/>
              <w:ind w:left="0" w:right="0" w:hanging="0"/>
              <w:rPr/>
            </w:pPr>
            <w:r>
              <w:rPr/>
              <w:t> </w:t>
            </w:r>
          </w:p>
        </w:tc>
      </w:tr>
      <w:tr>
        <w:trPr/>
        <w:tc>
          <w:tcPr>
            <w:tcW w:w="70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 net of distributions</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3" w:type="dxa"/>
            <w:tcBorders/>
            <w:shd w:fill="CCEEFF" w:val="clear"/>
            <w:vAlign w:val="bottom"/>
          </w:tcPr>
          <w:p>
            <w:pPr>
              <w:pStyle w:val="TableContents"/>
              <w:spacing w:before="0" w:after="0"/>
              <w:ind w:left="0" w:right="0" w:hanging="0"/>
              <w:rPr/>
            </w:pPr>
            <w:r>
              <w:rPr/>
              <w:t> </w:t>
            </w:r>
          </w:p>
        </w:tc>
      </w:tr>
      <w:tr>
        <w:trPr/>
        <w:tc>
          <w:tcPr>
            <w:tcW w:w="70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36" w:type="dxa"/>
            <w:tcBorders/>
            <w:shd w:fill="auto" w:val="clear"/>
            <w:vAlign w:val="bottom"/>
          </w:tcPr>
          <w:p>
            <w:pPr>
              <w:pStyle w:val="TableContents"/>
              <w:spacing w:before="0" w:after="0"/>
              <w:ind w:left="0" w:right="0" w:hanging="0"/>
              <w:rPr/>
            </w:pPr>
            <w:r>
              <w:rPr/>
              <w:t> </w:t>
            </w:r>
          </w:p>
        </w:tc>
        <w:tc>
          <w:tcPr>
            <w:tcW w:w="12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33" w:type="dxa"/>
            <w:tcBorders/>
            <w:shd w:fill="auto" w:val="clear"/>
            <w:vAlign w:val="bottom"/>
          </w:tcPr>
          <w:p>
            <w:pPr>
              <w:pStyle w:val="TableContents"/>
              <w:spacing w:before="0" w:after="0"/>
              <w:ind w:left="0" w:right="0" w:hanging="0"/>
              <w:rPr/>
            </w:pPr>
            <w:r>
              <w:rPr/>
              <w:t> </w:t>
            </w:r>
          </w:p>
        </w:tc>
      </w:tr>
      <w:tr>
        <w:trPr/>
        <w:tc>
          <w:tcPr>
            <w:tcW w:w="70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Non-cash amortization of terminated interest rate and foreign currency hedging instruments</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3" w:type="dxa"/>
            <w:tcBorders/>
            <w:shd w:fill="auto" w:val="clear"/>
            <w:vAlign w:val="bottom"/>
          </w:tcPr>
          <w:p>
            <w:pPr>
              <w:pStyle w:val="TableContents"/>
              <w:spacing w:before="0" w:after="0"/>
              <w:ind w:left="0" w:right="0" w:hanging="0"/>
              <w:rPr/>
            </w:pPr>
            <w:r>
              <w:rPr/>
              <w:t> </w:t>
            </w:r>
          </w:p>
        </w:tc>
      </w:tr>
      <w:tr>
        <w:trPr/>
        <w:tc>
          <w:tcPr>
            <w:tcW w:w="70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FFO</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w:t>
            </w:r>
          </w:p>
        </w:tc>
        <w:tc>
          <w:tcPr>
            <w:tcW w:w="236" w:type="dxa"/>
            <w:tcBorders/>
            <w:shd w:fill="CCEEFF" w:val="clear"/>
            <w:vAlign w:val="bottom"/>
          </w:tcPr>
          <w:p>
            <w:pPr>
              <w:pStyle w:val="TableContents"/>
              <w:spacing w:before="0" w:after="0"/>
              <w:ind w:left="0" w:right="0" w:hanging="0"/>
              <w:rPr/>
            </w:pPr>
            <w:r>
              <w:rPr/>
              <w:t> </w:t>
            </w:r>
          </w:p>
        </w:tc>
        <w:tc>
          <w:tcPr>
            <w:tcW w:w="12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133" w:type="dxa"/>
            <w:tcBorders/>
            <w:shd w:fill="CCEEFF" w:val="clear"/>
            <w:vAlign w:val="bottom"/>
          </w:tcPr>
          <w:p>
            <w:pPr>
              <w:pStyle w:val="TableContents"/>
              <w:spacing w:before="0" w:after="0"/>
              <w:ind w:left="0" w:right="0" w:hanging="0"/>
              <w:rPr/>
            </w:pPr>
            <w:r>
              <w:rPr/>
              <w:t> </w:t>
            </w:r>
          </w:p>
        </w:tc>
      </w:tr>
      <w:tr>
        <w:trPr/>
        <w:tc>
          <w:tcPr>
            <w:tcW w:w="70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CCEEFF" w:val="clear"/>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pPr>
            <w:r>
              <w:rPr/>
              <w:t> </w:t>
            </w:r>
          </w:p>
        </w:tc>
        <w:tc>
          <w:tcPr>
            <w:tcW w:w="236" w:type="dxa"/>
            <w:tcBorders/>
            <w:shd w:fill="CCEEFF" w:val="clear"/>
            <w:vAlign w:val="bottom"/>
          </w:tcPr>
          <w:p>
            <w:pPr>
              <w:pStyle w:val="TableContents"/>
              <w:spacing w:before="0" w:after="0"/>
              <w:ind w:left="0" w:right="0" w:hanging="0"/>
              <w:rPr/>
            </w:pPr>
            <w:r>
              <w:rPr/>
              <w:t> </w:t>
            </w:r>
          </w:p>
        </w:tc>
        <w:tc>
          <w:tcPr>
            <w:tcW w:w="1280"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70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FFO after maintenance capital</w:t>
            </w:r>
          </w:p>
        </w:tc>
        <w:tc>
          <w:tcPr>
            <w:tcW w:w="214" w:type="dxa"/>
            <w:tcBorders/>
            <w:shd w:fill="auto" w:val="clear"/>
            <w:vAlign w:val="bottom"/>
          </w:tcPr>
          <w:p>
            <w:pPr>
              <w:pStyle w:val="TableContents"/>
              <w:spacing w:before="0" w:after="0"/>
              <w:ind w:left="0" w:right="0" w:hanging="0"/>
              <w:rPr/>
            </w:pPr>
            <w:r>
              <w:rPr/>
              <w:t> </w:t>
            </w:r>
          </w:p>
        </w:tc>
        <w:tc>
          <w:tcPr>
            <w:tcW w:w="1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w:t>
            </w:r>
          </w:p>
        </w:tc>
        <w:tc>
          <w:tcPr>
            <w:tcW w:w="236" w:type="dxa"/>
            <w:tcBorders/>
            <w:shd w:fill="auto" w:val="clear"/>
            <w:vAlign w:val="bottom"/>
          </w:tcPr>
          <w:p>
            <w:pPr>
              <w:pStyle w:val="TableContents"/>
              <w:spacing w:before="0" w:after="0"/>
              <w:ind w:left="0" w:right="0" w:hanging="0"/>
              <w:rPr/>
            </w:pPr>
            <w:r>
              <w:rPr/>
              <w:t> </w:t>
            </w:r>
          </w:p>
        </w:tc>
        <w:tc>
          <w:tcPr>
            <w:tcW w:w="1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13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3606"/>
        <w:gridCol w:w="2782"/>
        <w:gridCol w:w="3817"/>
      </w:tblGrid>
      <w:tr>
        <w:trPr/>
        <w:tc>
          <w:tcPr>
            <w:tcW w:w="3606" w:type="dxa"/>
            <w:tcBorders>
              <w:top w:val="single" w:sz="8" w:space="0" w:color="000000"/>
            </w:tcBorders>
            <w:shd w:fill="auto" w:val="clear"/>
          </w:tcPr>
          <w:p>
            <w:pPr>
              <w:pStyle w:val="TableContents"/>
              <w:spacing w:before="0" w:after="0"/>
              <w:ind w:left="0" w:right="0" w:hanging="0"/>
              <w:jc w:val="right"/>
              <w:rPr/>
            </w:pPr>
            <w:r>
              <w:rPr/>
              <w:t> </w:t>
            </w:r>
          </w:p>
        </w:tc>
        <w:tc>
          <w:tcPr>
            <w:tcW w:w="2782" w:type="dxa"/>
            <w:tcBorders>
              <w:top w:val="single" w:sz="8" w:space="0" w:color="000000"/>
            </w:tcBorders>
            <w:shd w:fill="auto" w:val="clear"/>
          </w:tcPr>
          <w:p>
            <w:pPr>
              <w:pStyle w:val="TableContents"/>
              <w:spacing w:before="0" w:after="0"/>
              <w:ind w:left="0" w:right="0" w:hanging="0"/>
              <w:jc w:val="center"/>
              <w:rPr/>
            </w:pPr>
            <w:r>
              <w:rPr/>
              <w:t> </w:t>
            </w:r>
          </w:p>
        </w:tc>
        <w:tc>
          <w:tcPr>
            <w:tcW w:w="3817" w:type="dxa"/>
            <w:tcBorders>
              <w:top w:val="single" w:sz="8" w:space="0" w:color="000000"/>
            </w:tcBorders>
            <w:shd w:fill="auto" w:val="clear"/>
          </w:tcPr>
          <w:p>
            <w:pPr>
              <w:pStyle w:val="TableContents"/>
              <w:spacing w:before="0" w:after="0"/>
              <w:ind w:left="0" w:right="0" w:hanging="0"/>
              <w:rPr/>
            </w:pPr>
            <w:r>
              <w:rPr/>
              <w:t> </w:t>
            </w:r>
          </w:p>
        </w:tc>
      </w:tr>
      <w:tr>
        <w:trPr/>
        <w:tc>
          <w:tcPr>
            <w:tcW w:w="3606" w:type="dxa"/>
            <w:tcBorders/>
            <w:shd w:fill="auto" w:val="clear"/>
            <w:tcMar>
              <w:top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333 Clay Street, Suite 1600</w:t>
            </w:r>
          </w:p>
        </w:tc>
        <w:tc>
          <w:tcPr>
            <w:tcW w:w="2782" w:type="dxa"/>
            <w:tcBorders/>
            <w:shd w:fill="auto" w:val="clear"/>
            <w:tcMar>
              <w:top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Houston, Texas 77002</w:t>
            </w:r>
          </w:p>
        </w:tc>
        <w:tc>
          <w:tcPr>
            <w:tcW w:w="3817" w:type="dxa"/>
            <w:tcBorders/>
            <w:shd w:fill="auto" w:val="clear"/>
            <w:tcMar>
              <w:top w:w="0" w:type="dxa"/>
            </w:tcMar>
          </w:tcPr>
          <w:p>
            <w:pPr>
              <w:pStyle w:val="TableContents"/>
              <w:spacing w:before="0" w:after="0"/>
              <w:ind w:left="0" w:right="0" w:hanging="0"/>
              <w:rPr>
                <w:rFonts w:ascii="Times New Roman" w:hAnsi="Times New Roman"/>
                <w:sz w:val="17"/>
              </w:rPr>
            </w:pPr>
            <w:r>
              <w:rPr>
                <w:rFonts w:ascii="Times New Roman" w:hAnsi="Times New Roman"/>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12</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rPr>
          <w:rFonts w:ascii="Times New Roman" w:hAnsi="Times New Roman"/>
          <w:sz w:val="17"/>
        </w:rPr>
      </w:pPr>
      <w:r>
        <w:rPr>
          <w:rFonts w:ascii="Times New Roman" w:hAnsi="Times New Roman"/>
          <w:b/>
          <w:sz w:val="17"/>
        </w:rPr>
        <w:t>FINANCIAL SUMMARY</w:t>
      </w:r>
      <w:r>
        <w:rPr>
          <w:rFonts w:ascii="Times New Roman" w:hAnsi="Times New Roman"/>
          <w:sz w:val="17"/>
        </w:rPr>
        <w:t xml:space="preserve"> (unaudited)</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u w:val="single"/>
        </w:rPr>
        <w:t xml:space="preserve">FINANCIAL DATA RECONCILIATIONS </w:t>
      </w:r>
      <w:r>
        <w:rPr>
          <w:rFonts w:ascii="Times New Roman" w:hAnsi="Times New Roman"/>
          <w:sz w:val="17"/>
        </w:rPr>
        <w:t> (continued)</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47"/>
        <w:gridCol w:w="213"/>
        <w:gridCol w:w="141"/>
        <w:gridCol w:w="1109"/>
        <w:gridCol w:w="226"/>
        <w:gridCol w:w="141"/>
        <w:gridCol w:w="1109"/>
        <w:gridCol w:w="119"/>
      </w:tblGrid>
      <w:tr>
        <w:trPr/>
        <w:tc>
          <w:tcPr>
            <w:tcW w:w="714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72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19" w:type="dxa"/>
            <w:tcBorders/>
            <w:shd w:fill="auto" w:val="clear"/>
            <w:vAlign w:val="bottom"/>
          </w:tcPr>
          <w:p>
            <w:pPr>
              <w:pStyle w:val="TableContents"/>
              <w:spacing w:before="0" w:after="0"/>
              <w:ind w:left="0" w:right="0" w:hanging="0"/>
              <w:jc w:val="center"/>
              <w:rPr/>
            </w:pPr>
            <w:r>
              <w:rPr/>
              <w:t> </w:t>
            </w:r>
          </w:p>
        </w:tc>
      </w:tr>
      <w:tr>
        <w:trPr/>
        <w:tc>
          <w:tcPr>
            <w:tcW w:w="714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72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19" w:type="dxa"/>
            <w:tcBorders/>
            <w:shd w:fill="auto" w:val="clear"/>
            <w:vAlign w:val="bottom"/>
          </w:tcPr>
          <w:p>
            <w:pPr>
              <w:pStyle w:val="TableContents"/>
              <w:spacing w:before="0" w:after="0"/>
              <w:ind w:left="0" w:right="0" w:hanging="0"/>
              <w:jc w:val="center"/>
              <w:rPr/>
            </w:pPr>
            <w:r>
              <w:rPr/>
              <w:t> </w:t>
            </w:r>
          </w:p>
        </w:tc>
      </w:tr>
      <w:tr>
        <w:trPr/>
        <w:tc>
          <w:tcPr>
            <w:tcW w:w="714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125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26" w:type="dxa"/>
            <w:tcBorders/>
            <w:shd w:fill="auto" w:val="clear"/>
            <w:vAlign w:val="bottom"/>
          </w:tcPr>
          <w:p>
            <w:pPr>
              <w:pStyle w:val="TableContents"/>
              <w:spacing w:before="0" w:after="0"/>
              <w:ind w:left="0" w:right="0" w:hanging="0"/>
              <w:jc w:val="center"/>
              <w:rPr/>
            </w:pPr>
            <w:r>
              <w:rPr/>
              <w:t> </w:t>
            </w:r>
          </w:p>
        </w:tc>
        <w:tc>
          <w:tcPr>
            <w:tcW w:w="125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19" w:type="dxa"/>
            <w:tcBorders/>
            <w:shd w:fill="auto" w:val="clear"/>
            <w:vAlign w:val="bottom"/>
          </w:tcPr>
          <w:p>
            <w:pPr>
              <w:pStyle w:val="TableContents"/>
              <w:spacing w:before="0" w:after="0"/>
              <w:ind w:left="0" w:right="0" w:hanging="0"/>
              <w:jc w:val="center"/>
              <w:rPr/>
            </w:pPr>
            <w:r>
              <w:rPr/>
              <w:t> </w:t>
            </w:r>
          </w:p>
        </w:tc>
      </w:tr>
      <w:tr>
        <w:trPr/>
        <w:tc>
          <w:tcPr>
            <w:tcW w:w="7147"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Net income and earnings per limited partner unit excluding selected items impacting comparability</w:t>
            </w:r>
          </w:p>
        </w:tc>
        <w:tc>
          <w:tcPr>
            <w:tcW w:w="213"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147"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1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3"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226"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19" w:type="dxa"/>
            <w:tcBorders/>
            <w:shd w:fill="CCEEFF" w:val="clear"/>
            <w:vAlign w:val="bottom"/>
          </w:tcPr>
          <w:p>
            <w:pPr>
              <w:pStyle w:val="TableContents"/>
              <w:spacing w:before="0" w:after="0"/>
              <w:ind w:left="0" w:right="0" w:hanging="0"/>
              <w:rPr/>
            </w:pPr>
            <w:r>
              <w:rPr/>
              <w:t> </w:t>
            </w:r>
          </w:p>
        </w:tc>
      </w:tr>
      <w:tr>
        <w:trPr/>
        <w:tc>
          <w:tcPr>
            <w:tcW w:w="71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w:t>
            </w:r>
          </w:p>
        </w:tc>
        <w:tc>
          <w:tcPr>
            <w:tcW w:w="213" w:type="dxa"/>
            <w:tcBorders/>
            <w:shd w:fill="auto" w:val="clear"/>
            <w:vAlign w:val="bottom"/>
          </w:tcPr>
          <w:p>
            <w:pPr>
              <w:pStyle w:val="TableContents"/>
              <w:spacing w:before="0" w:after="0"/>
              <w:ind w:left="0" w:right="0" w:hanging="0"/>
              <w:rPr/>
            </w:pPr>
            <w:r>
              <w:rPr/>
              <w:t> </w:t>
            </w:r>
          </w:p>
        </w:tc>
        <w:tc>
          <w:tcPr>
            <w:tcW w:w="12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9" w:type="dxa"/>
            <w:tcBorders/>
            <w:shd w:fill="auto" w:val="clear"/>
            <w:vAlign w:val="bottom"/>
          </w:tcPr>
          <w:p>
            <w:pPr>
              <w:pStyle w:val="TableContents"/>
              <w:spacing w:before="0" w:after="0"/>
              <w:ind w:left="0" w:right="0" w:hanging="0"/>
              <w:rPr/>
            </w:pPr>
            <w:r>
              <w:rPr/>
              <w:t> </w:t>
            </w:r>
          </w:p>
        </w:tc>
      </w:tr>
      <w:tr>
        <w:trPr/>
        <w:tc>
          <w:tcPr>
            <w:tcW w:w="71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Adjusted net income</w:t>
            </w:r>
          </w:p>
        </w:tc>
        <w:tc>
          <w:tcPr>
            <w:tcW w:w="213"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26"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19" w:type="dxa"/>
            <w:tcBorders/>
            <w:shd w:fill="CCEEFF" w:val="clear"/>
            <w:vAlign w:val="bottom"/>
          </w:tcPr>
          <w:p>
            <w:pPr>
              <w:pStyle w:val="TableContents"/>
              <w:spacing w:before="0" w:after="0"/>
              <w:ind w:left="0" w:right="0" w:hanging="0"/>
              <w:rPr/>
            </w:pPr>
            <w:r>
              <w:rPr/>
              <w:t> </w:t>
            </w:r>
          </w:p>
        </w:tc>
      </w:tr>
      <w:tr>
        <w:trPr/>
        <w:tc>
          <w:tcPr>
            <w:tcW w:w="7147"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1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under EITF 07-04</w:t>
            </w:r>
          </w:p>
        </w:tc>
        <w:tc>
          <w:tcPr>
            <w:tcW w:w="213"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w:t>
            </w:r>
          </w:p>
        </w:tc>
        <w:tc>
          <w:tcPr>
            <w:tcW w:w="226"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19" w:type="dxa"/>
            <w:tcBorders/>
            <w:shd w:fill="CCEEFF" w:val="clear"/>
            <w:vAlign w:val="bottom"/>
          </w:tcPr>
          <w:p>
            <w:pPr>
              <w:pStyle w:val="TableContents"/>
              <w:spacing w:before="0" w:after="0"/>
              <w:ind w:left="0" w:right="0" w:hanging="0"/>
              <w:rPr/>
            </w:pPr>
            <w:r>
              <w:rPr/>
              <w:t> </w:t>
            </w:r>
          </w:p>
        </w:tc>
      </w:tr>
      <w:tr>
        <w:trPr/>
        <w:tc>
          <w:tcPr>
            <w:tcW w:w="71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Limited partners 98% of selected items impacting comparability</w:t>
            </w:r>
          </w:p>
        </w:tc>
        <w:tc>
          <w:tcPr>
            <w:tcW w:w="213" w:type="dxa"/>
            <w:tcBorders/>
            <w:shd w:fill="auto" w:val="clear"/>
            <w:vAlign w:val="bottom"/>
          </w:tcPr>
          <w:p>
            <w:pPr>
              <w:pStyle w:val="TableContents"/>
              <w:spacing w:before="0" w:after="0"/>
              <w:ind w:left="0" w:right="0" w:hanging="0"/>
              <w:rPr/>
            </w:pPr>
            <w:r>
              <w:rPr/>
              <w:t> </w:t>
            </w:r>
          </w:p>
        </w:tc>
        <w:tc>
          <w:tcPr>
            <w:tcW w:w="12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9" w:type="dxa"/>
            <w:tcBorders/>
            <w:shd w:fill="auto" w:val="clear"/>
            <w:vAlign w:val="bottom"/>
          </w:tcPr>
          <w:p>
            <w:pPr>
              <w:pStyle w:val="TableContents"/>
              <w:spacing w:before="0" w:after="0"/>
              <w:ind w:left="0" w:right="0" w:hanging="0"/>
              <w:rPr/>
            </w:pPr>
            <w:r>
              <w:rPr/>
              <w:t> </w:t>
            </w:r>
          </w:p>
        </w:tc>
      </w:tr>
      <w:tr>
        <w:trPr/>
        <w:tc>
          <w:tcPr>
            <w:tcW w:w="71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Adjusted limited partners net income</w:t>
            </w:r>
          </w:p>
        </w:tc>
        <w:tc>
          <w:tcPr>
            <w:tcW w:w="213"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26"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19" w:type="dxa"/>
            <w:tcBorders/>
            <w:shd w:fill="CCEEFF" w:val="clear"/>
            <w:vAlign w:val="bottom"/>
          </w:tcPr>
          <w:p>
            <w:pPr>
              <w:pStyle w:val="TableContents"/>
              <w:spacing w:before="0" w:after="0"/>
              <w:ind w:left="0" w:right="0" w:hanging="0"/>
              <w:rPr/>
            </w:pPr>
            <w:r>
              <w:rPr/>
              <w:t> </w:t>
            </w:r>
          </w:p>
        </w:tc>
      </w:tr>
      <w:tr>
        <w:trPr/>
        <w:tc>
          <w:tcPr>
            <w:tcW w:w="7147"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1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Adjusted basic net income per limited partner unit</w:t>
            </w:r>
          </w:p>
        </w:tc>
        <w:tc>
          <w:tcPr>
            <w:tcW w:w="213"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26"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0.65</w:t>
            </w:r>
          </w:p>
        </w:tc>
        <w:tc>
          <w:tcPr>
            <w:tcW w:w="119" w:type="dxa"/>
            <w:tcBorders/>
            <w:shd w:fill="CCEEFF" w:val="clear"/>
            <w:vAlign w:val="bottom"/>
          </w:tcPr>
          <w:p>
            <w:pPr>
              <w:pStyle w:val="TableContents"/>
              <w:spacing w:before="0" w:after="0"/>
              <w:ind w:left="0" w:right="0" w:hanging="0"/>
              <w:rPr/>
            </w:pPr>
            <w:r>
              <w:rPr/>
              <w:t> </w:t>
            </w:r>
          </w:p>
        </w:tc>
      </w:tr>
      <w:tr>
        <w:trPr/>
        <w:tc>
          <w:tcPr>
            <w:tcW w:w="7147"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1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Adjusted diluted net income per limited partner unit</w:t>
            </w:r>
          </w:p>
        </w:tc>
        <w:tc>
          <w:tcPr>
            <w:tcW w:w="213"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26"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0.65</w:t>
            </w:r>
          </w:p>
        </w:tc>
        <w:tc>
          <w:tcPr>
            <w:tcW w:w="119" w:type="dxa"/>
            <w:tcBorders/>
            <w:shd w:fill="CCEEFF" w:val="clear"/>
            <w:vAlign w:val="bottom"/>
          </w:tcPr>
          <w:p>
            <w:pPr>
              <w:pStyle w:val="TableContents"/>
              <w:spacing w:before="0" w:after="0"/>
              <w:ind w:left="0" w:right="0" w:hanging="0"/>
              <w:rPr/>
            </w:pPr>
            <w:r>
              <w:rPr/>
              <w:t> </w:t>
            </w:r>
          </w:p>
        </w:tc>
      </w:tr>
      <w:tr>
        <w:trPr/>
        <w:tc>
          <w:tcPr>
            <w:tcW w:w="7147"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1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Basic weighted average units outstanding</w:t>
            </w:r>
          </w:p>
        </w:tc>
        <w:tc>
          <w:tcPr>
            <w:tcW w:w="213" w:type="dxa"/>
            <w:tcBorders/>
            <w:shd w:fill="CCEEFF" w:val="clear"/>
            <w:vAlign w:val="bottom"/>
          </w:tcPr>
          <w:p>
            <w:pPr>
              <w:pStyle w:val="TableContents"/>
              <w:spacing w:before="0" w:after="0"/>
              <w:ind w:left="0" w:right="0" w:hanging="0"/>
              <w:rPr/>
            </w:pPr>
            <w:r>
              <w:rPr/>
              <w:t> </w:t>
            </w:r>
          </w:p>
        </w:tc>
        <w:tc>
          <w:tcPr>
            <w:tcW w:w="125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26" w:type="dxa"/>
            <w:tcBorders/>
            <w:shd w:fill="CCEEFF" w:val="clear"/>
            <w:vAlign w:val="bottom"/>
          </w:tcPr>
          <w:p>
            <w:pPr>
              <w:pStyle w:val="TableContents"/>
              <w:spacing w:before="0" w:after="0"/>
              <w:ind w:left="0" w:right="0" w:hanging="0"/>
              <w:rPr/>
            </w:pPr>
            <w:r>
              <w:rPr/>
              <w:t> </w:t>
            </w:r>
          </w:p>
        </w:tc>
        <w:tc>
          <w:tcPr>
            <w:tcW w:w="125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w:t>
            </w:r>
          </w:p>
        </w:tc>
        <w:tc>
          <w:tcPr>
            <w:tcW w:w="119" w:type="dxa"/>
            <w:tcBorders/>
            <w:shd w:fill="CCEEFF" w:val="clear"/>
            <w:vAlign w:val="bottom"/>
          </w:tcPr>
          <w:p>
            <w:pPr>
              <w:pStyle w:val="TableContents"/>
              <w:spacing w:before="0" w:after="0"/>
              <w:ind w:left="0" w:right="0" w:hanging="0"/>
              <w:rPr/>
            </w:pPr>
            <w:r>
              <w:rPr/>
              <w:t> </w:t>
            </w:r>
          </w:p>
        </w:tc>
      </w:tr>
      <w:tr>
        <w:trPr/>
        <w:tc>
          <w:tcPr>
            <w:tcW w:w="7147"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1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Diluted weighted average units outstanding</w:t>
            </w:r>
          </w:p>
        </w:tc>
        <w:tc>
          <w:tcPr>
            <w:tcW w:w="213" w:type="dxa"/>
            <w:tcBorders/>
            <w:shd w:fill="CCEEFF" w:val="clear"/>
            <w:vAlign w:val="bottom"/>
          </w:tcPr>
          <w:p>
            <w:pPr>
              <w:pStyle w:val="TableContents"/>
              <w:spacing w:before="0" w:after="0"/>
              <w:ind w:left="0" w:right="0" w:hanging="0"/>
              <w:rPr/>
            </w:pPr>
            <w:r>
              <w:rPr/>
              <w:t> </w:t>
            </w:r>
          </w:p>
        </w:tc>
        <w:tc>
          <w:tcPr>
            <w:tcW w:w="125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26" w:type="dxa"/>
            <w:tcBorders/>
            <w:shd w:fill="CCEEFF" w:val="clear"/>
            <w:vAlign w:val="bottom"/>
          </w:tcPr>
          <w:p>
            <w:pPr>
              <w:pStyle w:val="TableContents"/>
              <w:spacing w:before="0" w:after="0"/>
              <w:ind w:left="0" w:right="0" w:hanging="0"/>
              <w:rPr/>
            </w:pPr>
            <w:r>
              <w:rPr/>
              <w:t> </w:t>
            </w:r>
          </w:p>
        </w:tc>
        <w:tc>
          <w:tcPr>
            <w:tcW w:w="125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11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79"/>
        <w:gridCol w:w="214"/>
        <w:gridCol w:w="158"/>
        <w:gridCol w:w="1118"/>
        <w:gridCol w:w="236"/>
        <w:gridCol w:w="158"/>
        <w:gridCol w:w="1119"/>
        <w:gridCol w:w="123"/>
      </w:tblGrid>
      <w:tr>
        <w:trPr/>
        <w:tc>
          <w:tcPr>
            <w:tcW w:w="7079"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8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23" w:type="dxa"/>
            <w:tcBorders/>
            <w:shd w:fill="auto" w:val="clear"/>
            <w:vAlign w:val="bottom"/>
          </w:tcPr>
          <w:p>
            <w:pPr>
              <w:pStyle w:val="TableContents"/>
              <w:spacing w:before="0" w:after="0"/>
              <w:ind w:left="0" w:right="0" w:hanging="0"/>
              <w:jc w:val="center"/>
              <w:rPr/>
            </w:pPr>
            <w:r>
              <w:rPr/>
              <w:t> </w:t>
            </w:r>
          </w:p>
        </w:tc>
      </w:tr>
      <w:tr>
        <w:trPr/>
        <w:tc>
          <w:tcPr>
            <w:tcW w:w="7079"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8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23" w:type="dxa"/>
            <w:tcBorders/>
            <w:shd w:fill="auto" w:val="clear"/>
            <w:vAlign w:val="bottom"/>
          </w:tcPr>
          <w:p>
            <w:pPr>
              <w:pStyle w:val="TableContents"/>
              <w:spacing w:before="0" w:after="0"/>
              <w:ind w:left="0" w:right="0" w:hanging="0"/>
              <w:jc w:val="center"/>
              <w:rPr/>
            </w:pPr>
            <w:r>
              <w:rPr/>
              <w:t> </w:t>
            </w:r>
          </w:p>
        </w:tc>
      </w:tr>
      <w:tr>
        <w:trPr/>
        <w:tc>
          <w:tcPr>
            <w:tcW w:w="7079"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36" w:type="dxa"/>
            <w:tcBorders/>
            <w:shd w:fill="auto" w:val="clear"/>
            <w:vAlign w:val="bottom"/>
          </w:tcPr>
          <w:p>
            <w:pPr>
              <w:pStyle w:val="TableContents"/>
              <w:spacing w:before="0" w:after="0"/>
              <w:ind w:left="0" w:right="0" w:hanging="0"/>
              <w:jc w:val="center"/>
              <w:rPr/>
            </w:pPr>
            <w:r>
              <w:rPr/>
              <w:t> </w:t>
            </w:r>
          </w:p>
        </w:tc>
        <w:tc>
          <w:tcPr>
            <w:tcW w:w="12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23" w:type="dxa"/>
            <w:tcBorders/>
            <w:shd w:fill="auto" w:val="clear"/>
            <w:vAlign w:val="bottom"/>
          </w:tcPr>
          <w:p>
            <w:pPr>
              <w:pStyle w:val="TableContents"/>
              <w:spacing w:before="0" w:after="0"/>
              <w:ind w:left="0" w:right="0" w:hanging="0"/>
              <w:jc w:val="center"/>
              <w:rPr/>
            </w:pPr>
            <w:r>
              <w:rPr/>
              <w:t> </w:t>
            </w:r>
          </w:p>
        </w:tc>
      </w:tr>
      <w:tr>
        <w:trPr/>
        <w:tc>
          <w:tcPr>
            <w:tcW w:w="7079"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EBITDA excluding selected items impacting comparability</w:t>
            </w:r>
          </w:p>
        </w:tc>
        <w:tc>
          <w:tcPr>
            <w:tcW w:w="214"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pPr>
            <w:r>
              <w:rPr/>
              <w:t> </w:t>
            </w:r>
          </w:p>
        </w:tc>
        <w:tc>
          <w:tcPr>
            <w:tcW w:w="236" w:type="dxa"/>
            <w:tcBorders/>
            <w:shd w:fill="CCEEFF" w:val="clear"/>
            <w:vAlign w:val="bottom"/>
          </w:tcPr>
          <w:p>
            <w:pPr>
              <w:pStyle w:val="TableContents"/>
              <w:spacing w:before="0" w:after="0"/>
              <w:ind w:left="0" w:right="0" w:hanging="0"/>
              <w:rPr/>
            </w:pPr>
            <w:r>
              <w:rPr/>
              <w:t> </w:t>
            </w:r>
          </w:p>
        </w:tc>
        <w:tc>
          <w:tcPr>
            <w:tcW w:w="1277"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70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14"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236"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23" w:type="dxa"/>
            <w:tcBorders/>
            <w:shd w:fill="auto" w:val="clear"/>
            <w:vAlign w:val="bottom"/>
          </w:tcPr>
          <w:p>
            <w:pPr>
              <w:pStyle w:val="TableContents"/>
              <w:spacing w:before="0" w:after="0"/>
              <w:ind w:left="0" w:right="0" w:hanging="0"/>
              <w:rPr/>
            </w:pPr>
            <w:r>
              <w:rPr/>
              <w:t> </w:t>
            </w:r>
          </w:p>
        </w:tc>
      </w:tr>
      <w:tr>
        <w:trPr/>
        <w:tc>
          <w:tcPr>
            <w:tcW w:w="707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w:t>
            </w:r>
          </w:p>
        </w:tc>
        <w:tc>
          <w:tcPr>
            <w:tcW w:w="214" w:type="dxa"/>
            <w:tcBorders/>
            <w:shd w:fill="CCEEFF" w:val="clear"/>
            <w:vAlign w:val="bottom"/>
          </w:tcPr>
          <w:p>
            <w:pPr>
              <w:pStyle w:val="TableContents"/>
              <w:spacing w:before="0" w:after="0"/>
              <w:ind w:left="0" w:right="0" w:hanging="0"/>
              <w:rPr/>
            </w:pPr>
            <w:r>
              <w:rPr/>
              <w:t> </w:t>
            </w:r>
          </w:p>
        </w:tc>
        <w:tc>
          <w:tcPr>
            <w:tcW w:w="12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23" w:type="dxa"/>
            <w:tcBorders/>
            <w:shd w:fill="CCEEFF" w:val="clear"/>
            <w:vAlign w:val="bottom"/>
          </w:tcPr>
          <w:p>
            <w:pPr>
              <w:pStyle w:val="TableContents"/>
              <w:spacing w:before="0" w:after="0"/>
              <w:ind w:left="0" w:right="0" w:hanging="0"/>
              <w:rPr/>
            </w:pPr>
            <w:r>
              <w:rPr/>
              <w:t> </w:t>
            </w:r>
          </w:p>
        </w:tc>
      </w:tr>
      <w:tr>
        <w:trPr/>
        <w:tc>
          <w:tcPr>
            <w:tcW w:w="70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14" w:type="dxa"/>
            <w:tcBorders/>
            <w:shd w:fill="auto" w:val="clear"/>
            <w:vAlign w:val="bottom"/>
          </w:tcPr>
          <w:p>
            <w:pPr>
              <w:pStyle w:val="TableContents"/>
              <w:spacing w:before="0" w:after="0"/>
              <w:ind w:left="0" w:right="0" w:hanging="0"/>
              <w:rPr/>
            </w:pPr>
            <w:r>
              <w:rPr/>
              <w:t> </w:t>
            </w:r>
          </w:p>
        </w:tc>
        <w:tc>
          <w:tcPr>
            <w:tcW w:w="15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236" w:type="dxa"/>
            <w:tcBorders/>
            <w:shd w:fill="auto" w:val="clear"/>
            <w:vAlign w:val="bottom"/>
          </w:tcPr>
          <w:p>
            <w:pPr>
              <w:pStyle w:val="TableContents"/>
              <w:spacing w:before="0" w:after="0"/>
              <w:ind w:left="0" w:right="0" w:hanging="0"/>
              <w:rPr/>
            </w:pPr>
            <w:r>
              <w:rPr/>
              <w:t> </w:t>
            </w:r>
          </w:p>
        </w:tc>
        <w:tc>
          <w:tcPr>
            <w:tcW w:w="15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2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 #</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3606"/>
        <w:gridCol w:w="2782"/>
        <w:gridCol w:w="3817"/>
      </w:tblGrid>
      <w:tr>
        <w:trPr/>
        <w:tc>
          <w:tcPr>
            <w:tcW w:w="3606" w:type="dxa"/>
            <w:tcBorders>
              <w:top w:val="single" w:sz="8" w:space="0" w:color="000000"/>
            </w:tcBorders>
            <w:shd w:fill="auto" w:val="clear"/>
          </w:tcPr>
          <w:p>
            <w:pPr>
              <w:pStyle w:val="TableContents"/>
              <w:spacing w:before="0" w:after="0"/>
              <w:ind w:left="0" w:right="0" w:hanging="0"/>
              <w:jc w:val="right"/>
              <w:rPr/>
            </w:pPr>
            <w:r>
              <w:rPr/>
              <w:t> </w:t>
            </w:r>
          </w:p>
        </w:tc>
        <w:tc>
          <w:tcPr>
            <w:tcW w:w="2782" w:type="dxa"/>
            <w:tcBorders>
              <w:top w:val="single" w:sz="8" w:space="0" w:color="000000"/>
            </w:tcBorders>
            <w:shd w:fill="auto" w:val="clear"/>
          </w:tcPr>
          <w:p>
            <w:pPr>
              <w:pStyle w:val="TableContents"/>
              <w:spacing w:before="0" w:after="0"/>
              <w:ind w:left="0" w:right="0" w:hanging="0"/>
              <w:jc w:val="center"/>
              <w:rPr/>
            </w:pPr>
            <w:r>
              <w:rPr/>
              <w:t> </w:t>
            </w:r>
          </w:p>
        </w:tc>
        <w:tc>
          <w:tcPr>
            <w:tcW w:w="3817" w:type="dxa"/>
            <w:tcBorders>
              <w:top w:val="single" w:sz="8" w:space="0" w:color="000000"/>
            </w:tcBorders>
            <w:shd w:fill="auto" w:val="clear"/>
          </w:tcPr>
          <w:p>
            <w:pPr>
              <w:pStyle w:val="TableContents"/>
              <w:spacing w:before="0" w:after="0"/>
              <w:ind w:left="0" w:right="0" w:hanging="0"/>
              <w:rPr/>
            </w:pPr>
            <w:r>
              <w:rPr/>
              <w:t> </w:t>
            </w:r>
          </w:p>
        </w:tc>
      </w:tr>
      <w:tr>
        <w:trPr/>
        <w:tc>
          <w:tcPr>
            <w:tcW w:w="3606" w:type="dxa"/>
            <w:tcBorders/>
            <w:shd w:fill="auto" w:val="clear"/>
            <w:tcMar>
              <w:top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333 Clay Street, Suite 1600</w:t>
            </w:r>
          </w:p>
        </w:tc>
        <w:tc>
          <w:tcPr>
            <w:tcW w:w="2782" w:type="dxa"/>
            <w:tcBorders/>
            <w:shd w:fill="auto" w:val="clear"/>
            <w:tcMar>
              <w:top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Houston, Texas 77002</w:t>
            </w:r>
          </w:p>
        </w:tc>
        <w:tc>
          <w:tcPr>
            <w:tcW w:w="3817" w:type="dxa"/>
            <w:tcBorders/>
            <w:shd w:fill="auto" w:val="clear"/>
            <w:tcMar>
              <w:top w:w="0" w:type="dxa"/>
            </w:tcMar>
          </w:tcPr>
          <w:p>
            <w:pPr>
              <w:pStyle w:val="TableContents"/>
              <w:spacing w:before="0" w:after="0"/>
              <w:ind w:left="0" w:right="0" w:hanging="0"/>
              <w:rPr>
                <w:rFonts w:ascii="Times New Roman" w:hAnsi="Times New Roman"/>
                <w:sz w:val="17"/>
              </w:rPr>
            </w:pPr>
            <w:r>
              <w:rPr>
                <w:rFonts w:ascii="Times New Roman" w:hAnsi="Times New Roman"/>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22</Pages>
  <Words>9034</Words>
  <CharactersWithSpaces>57273</CharactersWithSpaces>
  <Paragraphs>4019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