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3"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8" w:lineRule="exact"/>
        <w:rPr>
          <w:sz w:val="24"/>
          <w:szCs w:val="24"/>
          <w:color w:val="auto"/>
        </w:rPr>
      </w:pPr>
    </w:p>
    <w:p>
      <w:pPr>
        <w:ind w:left="380"/>
        <w:spacing w:after="0" w:line="24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-247650</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56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560" w:type="dxa"/>
            <w:vAlign w:val="bottom"/>
            <w:vMerge w:val="restart"/>
          </w:tcPr>
          <w:p>
            <w:pPr>
              <w:jc w:val="center"/>
              <w:ind w:right="1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3"/>
        </w:trPr>
        <w:tc>
          <w:tcPr>
            <w:tcW w:w="65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56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3"/>
        </w:trPr>
        <w:tc>
          <w:tcPr>
            <w:tcW w:w="65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65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5"/>
        </w:trPr>
        <w:tc>
          <w:tcPr>
            <w:tcW w:w="6560" w:type="dxa"/>
            <w:vAlign w:val="bottom"/>
          </w:tcPr>
          <w:p>
            <w:pPr>
              <w:spacing w:after="0"/>
              <w:rPr>
                <w:sz w:val="5"/>
                <w:szCs w:val="5"/>
                <w:color w:val="auto"/>
              </w:rPr>
            </w:pPr>
          </w:p>
        </w:tc>
        <w:tc>
          <w:tcPr>
            <w:tcW w:w="40" w:type="dxa"/>
            <w:vAlign w:val="bottom"/>
          </w:tcPr>
          <w:p>
            <w:pPr>
              <w:spacing w:after="0"/>
              <w:rPr>
                <w:sz w:val="5"/>
                <w:szCs w:val="5"/>
                <w:color w:val="auto"/>
              </w:rPr>
            </w:pPr>
          </w:p>
        </w:tc>
        <w:tc>
          <w:tcPr>
            <w:tcW w:w="210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8"/>
        </w:trPr>
        <w:tc>
          <w:tcPr>
            <w:tcW w:w="6560" w:type="dxa"/>
            <w:vAlign w:val="bottom"/>
            <w:vMerge w:val="restart"/>
          </w:tcPr>
          <w:p>
            <w:pPr>
              <w:jc w:val="center"/>
              <w:ind w:right="1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65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-651510</wp:posOffset>
            </wp:positionV>
            <wp:extent cx="59690" cy="664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845"/>
                    </a:xfrm>
                    <a:prstGeom prst="rect">
                      <a:avLst/>
                    </a:prstGeom>
                    <a:noFill/>
                  </pic:spPr>
                </pic:pic>
              </a:graphicData>
            </a:graphic>
          </wp:anchor>
        </w:drawing>
        <w:drawing>
          <wp:anchor simplePos="0" relativeHeight="251657728" behindDoc="1" locked="0" layoutInCell="0" allowOverlap="1">
            <wp:simplePos x="0" y="0"/>
            <wp:positionH relativeFrom="column">
              <wp:posOffset>4152265</wp:posOffset>
            </wp:positionH>
            <wp:positionV relativeFrom="paragraph">
              <wp:posOffset>-651510</wp:posOffset>
            </wp:positionV>
            <wp:extent cx="59690" cy="664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84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28575</wp:posOffset>
            </wp:positionV>
            <wp:extent cx="7323455" cy="49193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4919345"/>
                    </a:xfrm>
                    <a:prstGeom prst="rect">
                      <a:avLst/>
                    </a:prstGeom>
                    <a:noFill/>
                  </pic:spPr>
                </pic:pic>
              </a:graphicData>
            </a:graphic>
          </wp:anchor>
        </w:drawing>
      </w:r>
    </w:p>
    <w:p>
      <w:pPr>
        <w:spacing w:after="0" w:line="117" w:lineRule="exact"/>
        <w:rPr>
          <w:sz w:val="24"/>
          <w:szCs w:val="24"/>
          <w:color w:val="auto"/>
        </w:rPr>
      </w:pPr>
    </w:p>
    <w:p>
      <w:pPr>
        <w:sectPr>
          <w:pgSz w:w="11900" w:h="16838" w:orient="portrait"/>
          <w:cols w:equalWidth="0" w:num="2">
            <w:col w:w="2360" w:space="300"/>
            <w:col w:w="8860"/>
          </w:cols>
          <w:pgMar w:left="240" w:top="219" w:right="139" w:bottom="1440" w:gutter="0" w:footer="0" w:header="0"/>
        </w:sectPr>
      </w:pPr>
    </w:p>
    <w:p>
      <w:pPr>
        <w:spacing w:after="0" w:line="1"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Nerbonne Daniel J</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80"/>
        </w:trPr>
        <w:tc>
          <w:tcPr>
            <w:tcW w:w="40" w:type="dxa"/>
            <w:vAlign w:val="bottom"/>
          </w:tcPr>
          <w:p>
            <w:pPr>
              <w:spacing w:after="0"/>
              <w:rPr>
                <w:sz w:val="15"/>
                <w:szCs w:val="15"/>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(Last)</w:t>
            </w:r>
          </w:p>
        </w:tc>
        <w:tc>
          <w:tcPr>
            <w:tcW w:w="1160" w:type="dxa"/>
            <w:vAlign w:val="bottom"/>
          </w:tcPr>
          <w:p>
            <w:pPr>
              <w:ind w:left="220"/>
              <w:spacing w:after="0"/>
              <w:rPr>
                <w:sz w:val="20"/>
                <w:szCs w:val="20"/>
                <w:color w:val="auto"/>
              </w:rPr>
            </w:pPr>
            <w:r>
              <w:rPr>
                <w:rFonts w:ascii="Arial" w:cs="Arial" w:eastAsia="Arial" w:hAnsi="Arial"/>
                <w:sz w:val="13"/>
                <w:szCs w:val="13"/>
                <w:color w:val="auto"/>
              </w:rPr>
              <w:t>(First)</w:t>
            </w:r>
          </w:p>
        </w:tc>
        <w:tc>
          <w:tcPr>
            <w:tcW w:w="1560" w:type="dxa"/>
            <w:vAlign w:val="bottom"/>
          </w:tcPr>
          <w:p>
            <w:pPr>
              <w:ind w:left="320"/>
              <w:spacing w:after="0"/>
              <w:rPr>
                <w:sz w:val="20"/>
                <w:szCs w:val="20"/>
                <w:color w:val="auto"/>
              </w:rPr>
            </w:pPr>
            <w:r>
              <w:rPr>
                <w:rFonts w:ascii="Arial" w:cs="Arial" w:eastAsia="Arial" w:hAnsi="Arial"/>
                <w:sz w:val="13"/>
                <w:szCs w:val="13"/>
                <w:color w:val="auto"/>
              </w:rPr>
              <w:t>(Middle)</w:t>
            </w:r>
          </w:p>
        </w:tc>
      </w:tr>
      <w:tr>
        <w:trPr>
          <w:trHeight w:val="279"/>
        </w:trPr>
        <w:tc>
          <w:tcPr>
            <w:tcW w:w="40" w:type="dxa"/>
            <w:vAlign w:val="bottom"/>
          </w:tcPr>
          <w:p>
            <w:pPr>
              <w:spacing w:after="0"/>
              <w:rPr>
                <w:sz w:val="24"/>
                <w:szCs w:val="24"/>
                <w:color w:val="auto"/>
              </w:rPr>
            </w:pPr>
          </w:p>
        </w:tc>
        <w:tc>
          <w:tcPr>
            <w:tcW w:w="22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333 CLAY ST., STE. 1600</w:t>
            </w:r>
          </w:p>
        </w:tc>
        <w:tc>
          <w:tcPr>
            <w:tcW w:w="1560" w:type="dxa"/>
            <w:vAlign w:val="bottom"/>
          </w:tcPr>
          <w:p>
            <w:pPr>
              <w:spacing w:after="0"/>
              <w:rPr>
                <w:sz w:val="24"/>
                <w:szCs w:val="24"/>
                <w:color w:val="auto"/>
              </w:rPr>
            </w:pPr>
          </w:p>
        </w:tc>
      </w:tr>
      <w:tr>
        <w:trPr>
          <w:trHeight w:val="210"/>
        </w:trPr>
        <w:tc>
          <w:tcPr>
            <w:tcW w:w="40" w:type="dxa"/>
            <w:vAlign w:val="bottom"/>
          </w:tcPr>
          <w:p>
            <w:pPr>
              <w:spacing w:after="0"/>
              <w:rPr>
                <w:sz w:val="18"/>
                <w:szCs w:val="18"/>
                <w:color w:val="auto"/>
              </w:rPr>
            </w:pPr>
          </w:p>
        </w:tc>
        <w:tc>
          <w:tcPr>
            <w:tcW w:w="1060" w:type="dxa"/>
            <w:vAlign w:val="bottom"/>
            <w:tcBorders>
              <w:bottom w:val="single" w:sz="8" w:color="9A9A9A"/>
            </w:tcBorders>
          </w:tcPr>
          <w:p>
            <w:pPr>
              <w:spacing w:after="0"/>
              <w:rPr>
                <w:sz w:val="18"/>
                <w:szCs w:val="18"/>
                <w:color w:val="auto"/>
              </w:rPr>
            </w:pPr>
          </w:p>
        </w:tc>
        <w:tc>
          <w:tcPr>
            <w:tcW w:w="1160" w:type="dxa"/>
            <w:vAlign w:val="bottom"/>
            <w:tcBorders>
              <w:bottom w:val="single" w:sz="8" w:color="9A9A9A"/>
            </w:tcBorders>
          </w:tcPr>
          <w:p>
            <w:pPr>
              <w:spacing w:after="0"/>
              <w:rPr>
                <w:sz w:val="18"/>
                <w:szCs w:val="18"/>
                <w:color w:val="auto"/>
              </w:rPr>
            </w:pPr>
          </w:p>
        </w:tc>
        <w:tc>
          <w:tcPr>
            <w:tcW w:w="1560" w:type="dxa"/>
            <w:vAlign w:val="bottom"/>
            <w:tcBorders>
              <w:bottom w:val="single" w:sz="8" w:color="9A9A9A"/>
            </w:tcBorders>
          </w:tcPr>
          <w:p>
            <w:pPr>
              <w:spacing w:after="0"/>
              <w:rPr>
                <w:sz w:val="18"/>
                <w:szCs w:val="18"/>
                <w:color w:val="auto"/>
              </w:rPr>
            </w:pPr>
          </w:p>
        </w:tc>
      </w:tr>
      <w:tr>
        <w:trPr>
          <w:trHeight w:val="270"/>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60" w:type="dxa"/>
            <w:vAlign w:val="bottom"/>
          </w:tcPr>
          <w:p>
            <w:pPr>
              <w:spacing w:after="0"/>
              <w:rPr>
                <w:sz w:val="23"/>
                <w:szCs w:val="23"/>
                <w:color w:val="auto"/>
              </w:rPr>
            </w:pPr>
          </w:p>
        </w:tc>
        <w:tc>
          <w:tcPr>
            <w:tcW w:w="1560" w:type="dxa"/>
            <w:vAlign w:val="bottom"/>
          </w:tcPr>
          <w:p>
            <w:pPr>
              <w:spacing w:after="0"/>
              <w:rPr>
                <w:sz w:val="23"/>
                <w:szCs w:val="23"/>
                <w:color w:val="auto"/>
              </w:rPr>
            </w:pPr>
          </w:p>
        </w:tc>
      </w:tr>
      <w:tr>
        <w:trPr>
          <w:trHeight w:val="238"/>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7"/>
                <w:szCs w:val="17"/>
                <w:color w:val="0000FF"/>
              </w:rPr>
              <w:t>HOUSTON</w:t>
            </w:r>
          </w:p>
        </w:tc>
        <w:tc>
          <w:tcPr>
            <w:tcW w:w="116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TX</w:t>
            </w:r>
          </w:p>
        </w:tc>
        <w:tc>
          <w:tcPr>
            <w:tcW w:w="156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77002</w:t>
            </w:r>
          </w:p>
        </w:tc>
      </w:tr>
      <w:tr>
        <w:trPr>
          <w:trHeight w:val="156"/>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r>
      <w:tr>
        <w:trPr>
          <w:trHeight w:val="311"/>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1160" w:type="dxa"/>
            <w:vAlign w:val="bottom"/>
          </w:tcPr>
          <w:p>
            <w:pPr>
              <w:ind w:left="220"/>
              <w:spacing w:after="0"/>
              <w:rPr>
                <w:sz w:val="20"/>
                <w:szCs w:val="20"/>
                <w:color w:val="auto"/>
              </w:rPr>
            </w:pPr>
            <w:r>
              <w:rPr>
                <w:rFonts w:ascii="Arial" w:cs="Arial" w:eastAsia="Arial" w:hAnsi="Arial"/>
                <w:sz w:val="13"/>
                <w:szCs w:val="13"/>
                <w:color w:val="auto"/>
              </w:rPr>
              <w:t>(State)</w:t>
            </w:r>
          </w:p>
        </w:tc>
        <w:tc>
          <w:tcPr>
            <w:tcW w:w="1560" w:type="dxa"/>
            <w:vAlign w:val="bottom"/>
          </w:tcPr>
          <w:p>
            <w:pPr>
              <w:ind w:left="3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3960" w:type="dxa"/>
            <w:vAlign w:val="bottom"/>
            <w:gridSpan w:val="3"/>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44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222"/>
        </w:trPr>
        <w:tc>
          <w:tcPr>
            <w:tcW w:w="60" w:type="dxa"/>
            <w:vAlign w:val="bottom"/>
          </w:tcPr>
          <w:p>
            <w:pPr>
              <w:spacing w:after="0"/>
              <w:rPr>
                <w:sz w:val="19"/>
                <w:szCs w:val="19"/>
                <w:color w:val="auto"/>
              </w:rPr>
            </w:pPr>
          </w:p>
        </w:tc>
        <w:tc>
          <w:tcPr>
            <w:tcW w:w="3900" w:type="dxa"/>
            <w:vAlign w:val="bottom"/>
            <w:gridSpan w:val="2"/>
          </w:tcPr>
          <w:p>
            <w:pPr>
              <w:spacing w:after="0" w:line="215"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PLAINS ALL AMERICAN PIPELINE LP </w:t>
              </w:r>
            </w:hyperlink>
            <w:r>
              <w:rPr>
                <w:rFonts w:ascii="Times New Roman" w:cs="Times New Roman" w:eastAsia="Times New Roman" w:hAnsi="Times New Roman"/>
                <w:sz w:val="21"/>
                <w:szCs w:val="21"/>
                <w:color w:val="000000"/>
              </w:rPr>
              <w:t>[</w:t>
            </w:r>
          </w:p>
        </w:tc>
        <w:tc>
          <w:tcPr>
            <w:tcW w:w="1940" w:type="dxa"/>
            <w:vAlign w:val="bottom"/>
            <w:gridSpan w:val="2"/>
          </w:tcPr>
          <w:p>
            <w:pPr>
              <w:ind w:left="80"/>
              <w:spacing w:after="0"/>
              <w:rPr>
                <w:sz w:val="20"/>
                <w:szCs w:val="20"/>
                <w:color w:val="auto"/>
              </w:rPr>
            </w:pPr>
            <w:r>
              <w:rPr>
                <w:rFonts w:ascii="Arial" w:cs="Arial" w:eastAsia="Arial" w:hAnsi="Arial"/>
                <w:sz w:val="13"/>
                <w:szCs w:val="13"/>
                <w:color w:val="auto"/>
              </w:rPr>
              <w:t>(Check all applicable)</w:t>
            </w: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3"/>
        </w:trPr>
        <w:tc>
          <w:tcPr>
            <w:tcW w:w="60" w:type="dxa"/>
            <w:vAlign w:val="bottom"/>
            <w:vMerge w:val="restart"/>
          </w:tcPr>
          <w:p>
            <w:pPr>
              <w:spacing w:after="0"/>
              <w:rPr>
                <w:sz w:val="13"/>
                <w:szCs w:val="13"/>
                <w:color w:val="auto"/>
              </w:rPr>
            </w:pPr>
          </w:p>
        </w:tc>
        <w:tc>
          <w:tcPr>
            <w:tcW w:w="3720" w:type="dxa"/>
            <w:vAlign w:val="bottom"/>
            <w:tcBorders>
              <w:top w:val="single" w:sz="8" w:color="0000EE"/>
            </w:tcBorders>
            <w:vMerge w:val="restart"/>
          </w:tcPr>
          <w:p>
            <w:pPr>
              <w:spacing w:after="0"/>
              <w:rPr>
                <w:sz w:val="20"/>
                <w:szCs w:val="20"/>
                <w:color w:val="auto"/>
              </w:rPr>
            </w:pPr>
            <w:r>
              <w:rPr>
                <w:rFonts w:ascii="Times New Roman" w:cs="Times New Roman" w:eastAsia="Times New Roman" w:hAnsi="Times New Roman"/>
                <w:sz w:val="17"/>
                <w:szCs w:val="17"/>
                <w:color w:val="0000FF"/>
              </w:rPr>
              <w:t xml:space="preserve">PAA </w:t>
            </w:r>
            <w:r>
              <w:rPr>
                <w:rFonts w:ascii="Times New Roman" w:cs="Times New Roman" w:eastAsia="Times New Roman" w:hAnsi="Times New Roman"/>
                <w:sz w:val="21"/>
                <w:szCs w:val="21"/>
                <w:color w:val="000000"/>
              </w:rPr>
              <w:t>]</w:t>
            </w:r>
          </w:p>
        </w:tc>
        <w:tc>
          <w:tcPr>
            <w:tcW w:w="180" w:type="dxa"/>
            <w:vAlign w:val="bottom"/>
            <w:vMerge w:val="restart"/>
          </w:tcPr>
          <w:p>
            <w:pPr>
              <w:spacing w:after="0"/>
              <w:rPr>
                <w:sz w:val="13"/>
                <w:szCs w:val="13"/>
                <w:color w:val="auto"/>
              </w:rPr>
            </w:pPr>
          </w:p>
        </w:tc>
        <w:tc>
          <w:tcPr>
            <w:tcW w:w="480" w:type="dxa"/>
            <w:vAlign w:val="bottom"/>
          </w:tcPr>
          <w:p>
            <w:pPr>
              <w:spacing w:after="0"/>
              <w:rPr>
                <w:sz w:val="13"/>
                <w:szCs w:val="13"/>
                <w:color w:val="auto"/>
              </w:rPr>
            </w:pPr>
          </w:p>
        </w:tc>
        <w:tc>
          <w:tcPr>
            <w:tcW w:w="1460" w:type="dxa"/>
            <w:vAlign w:val="bottom"/>
          </w:tcPr>
          <w:p>
            <w:pPr>
              <w:ind w:left="140"/>
              <w:spacing w:after="0"/>
              <w:rPr>
                <w:sz w:val="20"/>
                <w:szCs w:val="20"/>
                <w:color w:val="auto"/>
              </w:rPr>
            </w:pPr>
            <w:r>
              <w:rPr>
                <w:rFonts w:ascii="Arial" w:cs="Arial" w:eastAsia="Arial" w:hAnsi="Arial"/>
                <w:sz w:val="13"/>
                <w:szCs w:val="13"/>
                <w:color w:val="auto"/>
              </w:rPr>
              <w:t>Director</w:t>
            </w:r>
          </w:p>
        </w:tc>
        <w:tc>
          <w:tcPr>
            <w:tcW w:w="150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7"/>
        </w:trPr>
        <w:tc>
          <w:tcPr>
            <w:tcW w:w="60" w:type="dxa"/>
            <w:vAlign w:val="bottom"/>
            <w:vMerge w:val="continue"/>
          </w:tcPr>
          <w:p>
            <w:pPr>
              <w:spacing w:after="0"/>
              <w:rPr>
                <w:sz w:val="11"/>
                <w:szCs w:val="11"/>
                <w:color w:val="auto"/>
              </w:rPr>
            </w:pPr>
          </w:p>
        </w:tc>
        <w:tc>
          <w:tcPr>
            <w:tcW w:w="3720" w:type="dxa"/>
            <w:vAlign w:val="bottom"/>
            <w:vMerge w:val="continue"/>
          </w:tcPr>
          <w:p>
            <w:pPr>
              <w:spacing w:after="0"/>
              <w:rPr>
                <w:sz w:val="11"/>
                <w:szCs w:val="11"/>
                <w:color w:val="auto"/>
              </w:rPr>
            </w:pPr>
          </w:p>
        </w:tc>
        <w:tc>
          <w:tcPr>
            <w:tcW w:w="180" w:type="dxa"/>
            <w:vAlign w:val="bottom"/>
            <w:vMerge w:val="continue"/>
          </w:tcPr>
          <w:p>
            <w:pPr>
              <w:spacing w:after="0"/>
              <w:rPr>
                <w:sz w:val="11"/>
                <w:szCs w:val="11"/>
                <w:color w:val="auto"/>
              </w:rPr>
            </w:pPr>
          </w:p>
        </w:tc>
        <w:tc>
          <w:tcPr>
            <w:tcW w:w="48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X</w:t>
            </w:r>
          </w:p>
        </w:tc>
        <w:tc>
          <w:tcPr>
            <w:tcW w:w="1460" w:type="dxa"/>
            <w:vAlign w:val="bottom"/>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50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6"/>
        </w:trPr>
        <w:tc>
          <w:tcPr>
            <w:tcW w:w="60" w:type="dxa"/>
            <w:vAlign w:val="bottom"/>
          </w:tcPr>
          <w:p>
            <w:pPr>
              <w:spacing w:after="0"/>
              <w:rPr>
                <w:sz w:val="2"/>
                <w:szCs w:val="2"/>
                <w:color w:val="auto"/>
              </w:rPr>
            </w:pPr>
          </w:p>
        </w:tc>
        <w:tc>
          <w:tcPr>
            <w:tcW w:w="3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vMerge w:val="continue"/>
          </w:tcPr>
          <w:p>
            <w:pPr>
              <w:spacing w:after="0"/>
              <w:rPr>
                <w:sz w:val="2"/>
                <w:szCs w:val="2"/>
                <w:color w:val="auto"/>
              </w:rPr>
            </w:pPr>
          </w:p>
        </w:tc>
        <w:tc>
          <w:tcPr>
            <w:tcW w:w="1460" w:type="dxa"/>
            <w:vAlign w:val="bottom"/>
            <w:vMerge w:val="continue"/>
          </w:tcPr>
          <w:p>
            <w:pPr>
              <w:spacing w:after="0"/>
              <w:rPr>
                <w:sz w:val="2"/>
                <w:szCs w:val="2"/>
                <w:color w:val="auto"/>
              </w:rPr>
            </w:pPr>
          </w:p>
        </w:tc>
        <w:tc>
          <w:tcPr>
            <w:tcW w:w="150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4"/>
        </w:trPr>
        <w:tc>
          <w:tcPr>
            <w:tcW w:w="60" w:type="dxa"/>
            <w:vAlign w:val="bottom"/>
            <w:tcBorders>
              <w:bottom w:val="single" w:sz="8" w:color="2C2C2C"/>
            </w:tcBorders>
          </w:tcPr>
          <w:p>
            <w:pPr>
              <w:spacing w:after="0"/>
              <w:rPr>
                <w:sz w:val="9"/>
                <w:szCs w:val="9"/>
                <w:color w:val="auto"/>
              </w:rPr>
            </w:pPr>
          </w:p>
        </w:tc>
        <w:tc>
          <w:tcPr>
            <w:tcW w:w="3720" w:type="dxa"/>
            <w:vAlign w:val="bottom"/>
            <w:tcBorders>
              <w:bottom w:val="single" w:sz="8" w:color="2C2C2C"/>
            </w:tcBorders>
          </w:tcPr>
          <w:p>
            <w:pPr>
              <w:spacing w:after="0"/>
              <w:rPr>
                <w:sz w:val="9"/>
                <w:szCs w:val="9"/>
                <w:color w:val="auto"/>
              </w:rPr>
            </w:pPr>
          </w:p>
        </w:tc>
        <w:tc>
          <w:tcPr>
            <w:tcW w:w="180" w:type="dxa"/>
            <w:vAlign w:val="bottom"/>
            <w:tcBorders>
              <w:bottom w:val="single" w:sz="8" w:color="2C2C2C"/>
            </w:tcBorders>
          </w:tcPr>
          <w:p>
            <w:pPr>
              <w:spacing w:after="0"/>
              <w:rPr>
                <w:sz w:val="9"/>
                <w:szCs w:val="9"/>
                <w:color w:val="auto"/>
              </w:rPr>
            </w:pPr>
          </w:p>
        </w:tc>
        <w:tc>
          <w:tcPr>
            <w:tcW w:w="480" w:type="dxa"/>
            <w:vAlign w:val="bottom"/>
            <w:vMerge w:val="continue"/>
          </w:tcPr>
          <w:p>
            <w:pPr>
              <w:spacing w:after="0"/>
              <w:rPr>
                <w:sz w:val="9"/>
                <w:szCs w:val="9"/>
                <w:color w:val="auto"/>
              </w:rPr>
            </w:pPr>
          </w:p>
        </w:tc>
        <w:tc>
          <w:tcPr>
            <w:tcW w:w="1460" w:type="dxa"/>
            <w:vAlign w:val="bottom"/>
            <w:vMerge w:val="restart"/>
          </w:tcPr>
          <w:p>
            <w:pPr>
              <w:ind w:left="140"/>
              <w:spacing w:after="0"/>
              <w:rPr>
                <w:sz w:val="20"/>
                <w:szCs w:val="20"/>
                <w:color w:val="auto"/>
              </w:rPr>
            </w:pPr>
            <w:r>
              <w:rPr>
                <w:rFonts w:ascii="Arial" w:cs="Arial" w:eastAsia="Arial" w:hAnsi="Arial"/>
                <w:sz w:val="13"/>
                <w:szCs w:val="13"/>
                <w:color w:val="auto"/>
              </w:rPr>
              <w:t>below)</w:t>
            </w:r>
          </w:p>
        </w:tc>
        <w:tc>
          <w:tcPr>
            <w:tcW w:w="150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3960" w:type="dxa"/>
            <w:vAlign w:val="bottom"/>
            <w:gridSpan w:val="3"/>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480" w:type="dxa"/>
            <w:vAlign w:val="bottom"/>
          </w:tcPr>
          <w:p>
            <w:pPr>
              <w:spacing w:after="0"/>
              <w:rPr>
                <w:sz w:val="4"/>
                <w:szCs w:val="4"/>
                <w:color w:val="auto"/>
              </w:rPr>
            </w:pPr>
          </w:p>
        </w:tc>
        <w:tc>
          <w:tcPr>
            <w:tcW w:w="1460" w:type="dxa"/>
            <w:vAlign w:val="bottom"/>
            <w:vMerge w:val="continue"/>
          </w:tcPr>
          <w:p>
            <w:pPr>
              <w:spacing w:after="0"/>
              <w:rPr>
                <w:sz w:val="4"/>
                <w:szCs w:val="4"/>
                <w:color w:val="auto"/>
              </w:rPr>
            </w:pPr>
          </w:p>
        </w:tc>
        <w:tc>
          <w:tcPr>
            <w:tcW w:w="1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2"/>
        </w:trPr>
        <w:tc>
          <w:tcPr>
            <w:tcW w:w="3960" w:type="dxa"/>
            <w:vAlign w:val="bottom"/>
            <w:gridSpan w:val="3"/>
            <w:vMerge w:val="continue"/>
          </w:tcPr>
          <w:p>
            <w:pPr>
              <w:spacing w:after="0"/>
              <w:rPr>
                <w:sz w:val="11"/>
                <w:szCs w:val="11"/>
                <w:color w:val="auto"/>
              </w:rPr>
            </w:pPr>
          </w:p>
        </w:tc>
        <w:tc>
          <w:tcPr>
            <w:tcW w:w="480" w:type="dxa"/>
            <w:vAlign w:val="bottom"/>
          </w:tcPr>
          <w:p>
            <w:pPr>
              <w:spacing w:after="0"/>
              <w:rPr>
                <w:sz w:val="11"/>
                <w:szCs w:val="11"/>
                <w:color w:val="auto"/>
              </w:rPr>
            </w:pPr>
          </w:p>
        </w:tc>
        <w:tc>
          <w:tcPr>
            <w:tcW w:w="29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EVP - Operations &amp; Engineering</w:t>
            </w:r>
          </w:p>
        </w:tc>
        <w:tc>
          <w:tcPr>
            <w:tcW w:w="0" w:type="dxa"/>
            <w:vAlign w:val="bottom"/>
          </w:tcPr>
          <w:p>
            <w:pPr>
              <w:spacing w:after="0"/>
              <w:rPr>
                <w:sz w:val="1"/>
                <w:szCs w:val="1"/>
                <w:color w:val="auto"/>
              </w:rPr>
            </w:pPr>
          </w:p>
        </w:tc>
      </w:tr>
      <w:tr>
        <w:trPr>
          <w:trHeight w:val="120"/>
        </w:trPr>
        <w:tc>
          <w:tcPr>
            <w:tcW w:w="378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08/25/2016</w:t>
            </w:r>
          </w:p>
        </w:tc>
        <w:tc>
          <w:tcPr>
            <w:tcW w:w="1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9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378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9"/>
        </w:trPr>
        <w:tc>
          <w:tcPr>
            <w:tcW w:w="60" w:type="dxa"/>
            <w:vAlign w:val="bottom"/>
            <w:tcBorders>
              <w:bottom w:val="single" w:sz="8" w:color="2C2C2C"/>
            </w:tcBorders>
          </w:tcPr>
          <w:p>
            <w:pPr>
              <w:spacing w:after="0"/>
              <w:rPr>
                <w:sz w:val="11"/>
                <w:szCs w:val="11"/>
                <w:color w:val="auto"/>
              </w:rPr>
            </w:pPr>
          </w:p>
        </w:tc>
        <w:tc>
          <w:tcPr>
            <w:tcW w:w="372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3440" w:type="dxa"/>
            <w:vAlign w:val="bottom"/>
            <w:tcBorders>
              <w:bottom w:val="single" w:sz="8" w:color="2C2C2C"/>
            </w:tcBorders>
            <w:gridSpan w:val="3"/>
          </w:tcPr>
          <w:p>
            <w:pPr>
              <w:spacing w:after="0"/>
              <w:rPr>
                <w:sz w:val="11"/>
                <w:szCs w:val="11"/>
                <w:color w:val="auto"/>
              </w:rPr>
            </w:pPr>
          </w:p>
        </w:tc>
        <w:tc>
          <w:tcPr>
            <w:tcW w:w="0" w:type="dxa"/>
            <w:vAlign w:val="bottom"/>
          </w:tcPr>
          <w:p>
            <w:pPr>
              <w:spacing w:after="0"/>
              <w:rPr>
                <w:sz w:val="1"/>
                <w:szCs w:val="1"/>
                <w:color w:val="auto"/>
              </w:rPr>
            </w:pPr>
          </w:p>
        </w:tc>
      </w:tr>
      <w:tr>
        <w:trPr>
          <w:trHeight w:val="201"/>
        </w:trPr>
        <w:tc>
          <w:tcPr>
            <w:tcW w:w="3960" w:type="dxa"/>
            <w:vAlign w:val="bottom"/>
            <w:gridSpan w:val="3"/>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44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4040"/>
        <w:spacing w:after="0"/>
        <w:rPr>
          <w:sz w:val="20"/>
          <w:szCs w:val="20"/>
          <w:color w:val="auto"/>
        </w:rPr>
      </w:pPr>
      <w:r>
        <w:rPr>
          <w:rFonts w:ascii="Arial" w:cs="Arial" w:eastAsia="Arial" w:hAnsi="Arial"/>
          <w:sz w:val="13"/>
          <w:szCs w:val="13"/>
          <w:color w:val="auto"/>
        </w:rPr>
        <w:t>Line)</w:t>
      </w:r>
    </w:p>
    <w:p>
      <w:pPr>
        <w:spacing w:after="0" w:line="9" w:lineRule="exact"/>
        <w:rPr>
          <w:sz w:val="24"/>
          <w:szCs w:val="24"/>
          <w:color w:val="auto"/>
        </w:rPr>
      </w:pPr>
    </w:p>
    <w:p>
      <w:pPr>
        <w:ind w:left="4240"/>
        <w:spacing w:after="0"/>
        <w:tabs>
          <w:tab w:leader="none" w:pos="456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7" w:lineRule="exact"/>
        <w:rPr>
          <w:sz w:val="24"/>
          <w:szCs w:val="24"/>
          <w:color w:val="auto"/>
        </w:rPr>
      </w:pPr>
    </w:p>
    <w:p>
      <w:pPr>
        <w:ind w:left="4580"/>
        <w:spacing w:after="0"/>
        <w:rPr>
          <w:sz w:val="20"/>
          <w:szCs w:val="20"/>
          <w:color w:val="auto"/>
        </w:rPr>
      </w:pPr>
      <w:r>
        <w:rPr>
          <w:rFonts w:ascii="Arial" w:cs="Arial" w:eastAsia="Arial" w:hAnsi="Arial"/>
          <w:sz w:val="13"/>
          <w:szCs w:val="13"/>
          <w:color w:val="auto"/>
        </w:rPr>
        <w:t>Form filed by More than One Reporting</w:t>
      </w:r>
    </w:p>
    <w:p>
      <w:pPr>
        <w:spacing w:after="0" w:line="14" w:lineRule="exact"/>
        <w:rPr>
          <w:sz w:val="24"/>
          <w:szCs w:val="24"/>
          <w:color w:val="auto"/>
        </w:rPr>
      </w:pPr>
    </w:p>
    <w:p>
      <w:pPr>
        <w:ind w:left="4580"/>
        <w:spacing w:after="0"/>
        <w:rPr>
          <w:sz w:val="20"/>
          <w:szCs w:val="20"/>
          <w:color w:val="auto"/>
        </w:rPr>
      </w:pPr>
      <w:r>
        <w:rPr>
          <w:rFonts w:ascii="Arial" w:cs="Arial" w:eastAsia="Arial" w:hAnsi="Arial"/>
          <w:sz w:val="13"/>
          <w:szCs w:val="13"/>
          <w:color w:val="auto"/>
        </w:rPr>
        <w:t>Person</w:t>
      </w:r>
    </w:p>
    <w:p>
      <w:pPr>
        <w:spacing w:after="0" w:line="313" w:lineRule="exact"/>
        <w:rPr>
          <w:sz w:val="24"/>
          <w:szCs w:val="24"/>
          <w:color w:val="auto"/>
        </w:rPr>
      </w:pPr>
    </w:p>
    <w:p>
      <w:pPr>
        <w:sectPr>
          <w:pgSz w:w="11900" w:h="16838" w:orient="portrait"/>
          <w:cols w:equalWidth="0" w:num="2">
            <w:col w:w="3900" w:space="100"/>
            <w:col w:w="7520"/>
          </w:cols>
          <w:pgMar w:left="240" w:top="219"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2"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80" w:type="dxa"/>
            <w:vAlign w:val="bottom"/>
          </w:tcPr>
          <w:p>
            <w:pPr>
              <w:ind w:left="8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7. Nature</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Disposed Of (D) (Instr. 3, 4 and</w:t>
            </w:r>
          </w:p>
        </w:tc>
        <w:tc>
          <w:tcPr>
            <w:tcW w:w="11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of Indirect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4"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Beneficial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Ownership</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8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6"/>
                <w:szCs w:val="6"/>
                <w:color w:val="auto"/>
              </w:rPr>
            </w:pPr>
          </w:p>
        </w:tc>
        <w:tc>
          <w:tcPr>
            <w:tcW w:w="840" w:type="dxa"/>
            <w:vAlign w:val="bottom"/>
            <w:vMerge w:val="restart"/>
          </w:tcPr>
          <w:p>
            <w:pPr>
              <w:ind w:left="100"/>
              <w:spacing w:after="0" w:line="134" w:lineRule="exact"/>
              <w:rPr>
                <w:sz w:val="20"/>
                <w:szCs w:val="20"/>
                <w:color w:val="auto"/>
              </w:rPr>
            </w:pPr>
            <w:r>
              <w:rPr>
                <w:rFonts w:ascii="Arial" w:cs="Arial" w:eastAsia="Arial" w:hAnsi="Arial"/>
                <w:sz w:val="12"/>
                <w:szCs w:val="12"/>
                <w:b w:val="1"/>
                <w:bCs w:val="1"/>
                <w:color w:val="auto"/>
              </w:rPr>
              <w:t>(Instr. 4)</w:t>
            </w: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(A) or</w:t>
            </w:r>
          </w:p>
        </w:tc>
        <w:tc>
          <w:tcPr>
            <w:tcW w:w="66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vMerge w:val="continue"/>
          </w:tcPr>
          <w:p>
            <w:pPr>
              <w:spacing w:after="0"/>
              <w:rPr>
                <w:sz w:val="11"/>
                <w:szCs w:val="11"/>
                <w:color w:val="auto"/>
              </w:rPr>
            </w:pP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2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8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3"/>
        </w:trPr>
        <w:tc>
          <w:tcPr>
            <w:tcW w:w="20" w:type="dxa"/>
            <w:vAlign w:val="bottom"/>
            <w:tcBorders>
              <w:bottom w:val="single" w:sz="8" w:color="2C2C2C"/>
            </w:tcBorders>
          </w:tcPr>
          <w:p>
            <w:pPr>
              <w:spacing w:after="0"/>
              <w:rPr>
                <w:sz w:val="5"/>
                <w:szCs w:val="5"/>
                <w:color w:val="auto"/>
              </w:rPr>
            </w:pPr>
          </w:p>
        </w:tc>
        <w:tc>
          <w:tcPr>
            <w:tcW w:w="2600" w:type="dxa"/>
            <w:vAlign w:val="bottom"/>
            <w:tcBorders>
              <w:bottom w:val="single" w:sz="8" w:color="2C2C2C"/>
            </w:tcBorders>
          </w:tcPr>
          <w:p>
            <w:pPr>
              <w:spacing w:after="0"/>
              <w:rPr>
                <w:sz w:val="5"/>
                <w:szCs w:val="5"/>
                <w:color w:val="auto"/>
              </w:rPr>
            </w:pPr>
          </w:p>
        </w:tc>
        <w:tc>
          <w:tcPr>
            <w:tcW w:w="188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88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62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30"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5"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5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Expiration Date</w:t>
            </w:r>
          </w:p>
        </w:tc>
        <w:tc>
          <w:tcPr>
            <w:tcW w:w="12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Date</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5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82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20" w:type="dxa"/>
            <w:vAlign w:val="bottom"/>
            <w:vMerge w:val="continue"/>
          </w:tcPr>
          <w:p>
            <w:pPr>
              <w:spacing w:after="0"/>
              <w:rPr>
                <w:sz w:val="14"/>
                <w:szCs w:val="14"/>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8"/>
        </w:trPr>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Phantom</w:t>
            </w:r>
          </w:p>
        </w:tc>
        <w:tc>
          <w:tcPr>
            <w:tcW w:w="80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(2)</w:t>
            </w:r>
          </w:p>
        </w:tc>
        <w:tc>
          <w:tcPr>
            <w:tcW w:w="1140" w:type="dxa"/>
            <w:vAlign w:val="bottom"/>
            <w:vMerge w:val="restart"/>
          </w:tcPr>
          <w:p>
            <w:pPr>
              <w:jc w:val="right"/>
              <w:ind w:right="197"/>
              <w:spacing w:after="0"/>
              <w:rPr>
                <w:sz w:val="20"/>
                <w:szCs w:val="20"/>
                <w:color w:val="auto"/>
              </w:rPr>
            </w:pPr>
            <w:r>
              <w:rPr>
                <w:rFonts w:ascii="Times New Roman" w:cs="Times New Roman" w:eastAsia="Times New Roman" w:hAnsi="Times New Roman"/>
                <w:sz w:val="13"/>
                <w:szCs w:val="13"/>
                <w:color w:val="0000FF"/>
              </w:rPr>
              <w:t>08/25/2016</w:t>
            </w:r>
          </w:p>
        </w:tc>
        <w:tc>
          <w:tcPr>
            <w:tcW w:w="1120" w:type="dxa"/>
            <w:vAlign w:val="bottom"/>
          </w:tcPr>
          <w:p>
            <w:pPr>
              <w:spacing w:after="0"/>
              <w:rPr>
                <w:sz w:val="16"/>
                <w:szCs w:val="16"/>
                <w:color w:val="auto"/>
              </w:rPr>
            </w:pPr>
          </w:p>
        </w:tc>
        <w:tc>
          <w:tcPr>
            <w:tcW w:w="84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52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95,000</w:t>
            </w:r>
          </w:p>
        </w:tc>
        <w:tc>
          <w:tcPr>
            <w:tcW w:w="300" w:type="dxa"/>
            <w:vAlign w:val="bottom"/>
          </w:tcPr>
          <w:p>
            <w:pPr>
              <w:spacing w:after="0"/>
              <w:rPr>
                <w:sz w:val="16"/>
                <w:szCs w:val="16"/>
                <w:color w:val="auto"/>
              </w:rPr>
            </w:pPr>
          </w:p>
        </w:tc>
        <w:tc>
          <w:tcPr>
            <w:tcW w:w="820" w:type="dxa"/>
            <w:vAlign w:val="bottom"/>
            <w:vMerge w:val="restart"/>
          </w:tcPr>
          <w:p>
            <w:pPr>
              <w:jc w:val="right"/>
              <w:ind w:right="201"/>
              <w:spacing w:after="0"/>
              <w:rPr>
                <w:sz w:val="20"/>
                <w:szCs w:val="20"/>
                <w:color w:val="auto"/>
              </w:rPr>
            </w:pPr>
            <w:r>
              <w:rPr>
                <w:rFonts w:ascii="Times New Roman" w:cs="Times New Roman" w:eastAsia="Times New Roman" w:hAnsi="Times New Roman"/>
                <w:sz w:val="11"/>
                <w:szCs w:val="11"/>
                <w:color w:val="008000"/>
              </w:rPr>
              <w:t>(3)(4)</w:t>
            </w:r>
          </w:p>
        </w:tc>
        <w:tc>
          <w:tcPr>
            <w:tcW w:w="740" w:type="dxa"/>
            <w:vAlign w:val="bottom"/>
            <w:vMerge w:val="restart"/>
          </w:tcPr>
          <w:p>
            <w:pPr>
              <w:jc w:val="right"/>
              <w:ind w:right="162"/>
              <w:spacing w:after="0"/>
              <w:rPr>
                <w:sz w:val="20"/>
                <w:szCs w:val="20"/>
                <w:color w:val="auto"/>
              </w:rPr>
            </w:pPr>
            <w:r>
              <w:rPr>
                <w:rFonts w:ascii="Times New Roman" w:cs="Times New Roman" w:eastAsia="Times New Roman" w:hAnsi="Times New Roman"/>
                <w:sz w:val="11"/>
                <w:szCs w:val="11"/>
                <w:color w:val="008000"/>
              </w:rPr>
              <w:t>(3)(4)</w:t>
            </w:r>
          </w:p>
        </w:tc>
        <w:tc>
          <w:tcPr>
            <w:tcW w:w="72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95,000</w:t>
            </w:r>
          </w:p>
        </w:tc>
        <w:tc>
          <w:tcPr>
            <w:tcW w:w="720" w:type="dxa"/>
            <w:vAlign w:val="bottom"/>
            <w:vMerge w:val="restart"/>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960" w:type="dxa"/>
            <w:vAlign w:val="bottom"/>
            <w:vMerge w:val="restart"/>
          </w:tcPr>
          <w:p>
            <w:pPr>
              <w:ind w:left="300"/>
              <w:spacing w:after="0"/>
              <w:rPr>
                <w:sz w:val="20"/>
                <w:szCs w:val="20"/>
                <w:color w:val="auto"/>
              </w:rPr>
            </w:pPr>
            <w:r>
              <w:rPr>
                <w:rFonts w:ascii="Times New Roman" w:cs="Times New Roman" w:eastAsia="Times New Roman" w:hAnsi="Times New Roman"/>
                <w:sz w:val="13"/>
                <w:szCs w:val="13"/>
                <w:color w:val="0000FF"/>
              </w:rPr>
              <w:t>95,000</w:t>
            </w:r>
          </w:p>
        </w:tc>
        <w:tc>
          <w:tcPr>
            <w:tcW w:w="76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7"/>
        </w:trPr>
        <w:tc>
          <w:tcPr>
            <w:tcW w:w="720" w:type="dxa"/>
            <w:vAlign w:val="bottom"/>
          </w:tcPr>
          <w:p>
            <w:pPr>
              <w:ind w:left="60"/>
              <w:spacing w:after="0" w:line="68" w:lineRule="exact"/>
              <w:rPr>
                <w:sz w:val="20"/>
                <w:szCs w:val="20"/>
                <w:color w:val="auto"/>
              </w:rPr>
            </w:pPr>
            <w:r>
              <w:rPr>
                <w:rFonts w:ascii="Times New Roman" w:cs="Times New Roman" w:eastAsia="Times New Roman" w:hAnsi="Times New Roman"/>
                <w:sz w:val="6"/>
                <w:szCs w:val="6"/>
                <w:color w:val="0000FF"/>
              </w:rPr>
              <w:t>Units</w:t>
            </w:r>
            <w:r>
              <w:rPr>
                <w:rFonts w:ascii="Times New Roman" w:cs="Times New Roman" w:eastAsia="Times New Roman" w:hAnsi="Times New Roman"/>
                <w:sz w:val="7"/>
                <w:szCs w:val="7"/>
                <w:color w:val="008000"/>
                <w:vertAlign w:val="superscript"/>
              </w:rPr>
              <w:t>(1)</w:t>
            </w:r>
          </w:p>
        </w:tc>
        <w:tc>
          <w:tcPr>
            <w:tcW w:w="800" w:type="dxa"/>
            <w:vAlign w:val="bottom"/>
            <w:vMerge w:val="continue"/>
          </w:tcPr>
          <w:p>
            <w:pPr>
              <w:spacing w:after="0"/>
              <w:rPr>
                <w:sz w:val="5"/>
                <w:szCs w:val="5"/>
                <w:color w:val="auto"/>
              </w:rPr>
            </w:pPr>
          </w:p>
        </w:tc>
        <w:tc>
          <w:tcPr>
            <w:tcW w:w="1140" w:type="dxa"/>
            <w:vAlign w:val="bottom"/>
            <w:vMerge w:val="continue"/>
          </w:tcPr>
          <w:p>
            <w:pPr>
              <w:spacing w:after="0"/>
              <w:rPr>
                <w:sz w:val="5"/>
                <w:szCs w:val="5"/>
                <w:color w:val="auto"/>
              </w:rPr>
            </w:pPr>
          </w:p>
        </w:tc>
        <w:tc>
          <w:tcPr>
            <w:tcW w:w="112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720" w:type="dxa"/>
            <w:vAlign w:val="bottom"/>
          </w:tcPr>
          <w:p>
            <w:pPr>
              <w:ind w:left="180"/>
              <w:spacing w:after="0" w:line="68" w:lineRule="exact"/>
              <w:rPr>
                <w:sz w:val="20"/>
                <w:szCs w:val="20"/>
                <w:color w:val="auto"/>
              </w:rPr>
            </w:pPr>
            <w:r>
              <w:rPr>
                <w:rFonts w:ascii="Times New Roman" w:cs="Times New Roman" w:eastAsia="Times New Roman" w:hAnsi="Times New Roman"/>
                <w:sz w:val="7"/>
                <w:szCs w:val="7"/>
                <w:color w:val="0000FF"/>
              </w:rPr>
              <w:t>Units</w:t>
            </w:r>
          </w:p>
        </w:tc>
        <w:tc>
          <w:tcPr>
            <w:tcW w:w="56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96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72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1140" w:type="dxa"/>
            <w:vAlign w:val="bottom"/>
            <w:vMerge w:val="continue"/>
          </w:tcPr>
          <w:p>
            <w:pPr>
              <w:spacing w:after="0"/>
              <w:rPr>
                <w:sz w:val="3"/>
                <w:szCs w:val="3"/>
                <w:color w:val="auto"/>
              </w:rPr>
            </w:pPr>
          </w:p>
        </w:tc>
        <w:tc>
          <w:tcPr>
            <w:tcW w:w="112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520" w:type="dxa"/>
            <w:vAlign w:val="bottom"/>
            <w:vMerge w:val="continue"/>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56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96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1"/>
        </w:trPr>
        <w:tc>
          <w:tcPr>
            <w:tcW w:w="72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1140" w:type="dxa"/>
            <w:vAlign w:val="bottom"/>
            <w:tcBorders>
              <w:bottom w:val="single" w:sz="8" w:color="2C2C2C"/>
            </w:tcBorders>
          </w:tcPr>
          <w:p>
            <w:pPr>
              <w:spacing w:after="0"/>
              <w:rPr>
                <w:sz w:val="12"/>
                <w:szCs w:val="12"/>
                <w:color w:val="auto"/>
              </w:rPr>
            </w:pPr>
          </w:p>
        </w:tc>
        <w:tc>
          <w:tcPr>
            <w:tcW w:w="1120" w:type="dxa"/>
            <w:vAlign w:val="bottom"/>
            <w:tcBorders>
              <w:bottom w:val="single" w:sz="8" w:color="2C2C2C"/>
            </w:tcBorders>
          </w:tcPr>
          <w:p>
            <w:pPr>
              <w:spacing w:after="0"/>
              <w:rPr>
                <w:sz w:val="12"/>
                <w:szCs w:val="12"/>
                <w:color w:val="auto"/>
              </w:rPr>
            </w:pPr>
          </w:p>
        </w:tc>
        <w:tc>
          <w:tcPr>
            <w:tcW w:w="84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82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96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Phantom</w:t>
            </w:r>
          </w:p>
        </w:tc>
        <w:tc>
          <w:tcPr>
            <w:tcW w:w="80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(2)</w:t>
            </w:r>
          </w:p>
        </w:tc>
        <w:tc>
          <w:tcPr>
            <w:tcW w:w="1140" w:type="dxa"/>
            <w:vAlign w:val="bottom"/>
            <w:vMerge w:val="restart"/>
          </w:tcPr>
          <w:p>
            <w:pPr>
              <w:jc w:val="right"/>
              <w:ind w:right="197"/>
              <w:spacing w:after="0"/>
              <w:rPr>
                <w:sz w:val="20"/>
                <w:szCs w:val="20"/>
                <w:color w:val="auto"/>
              </w:rPr>
            </w:pPr>
            <w:r>
              <w:rPr>
                <w:rFonts w:ascii="Times New Roman" w:cs="Times New Roman" w:eastAsia="Times New Roman" w:hAnsi="Times New Roman"/>
                <w:sz w:val="13"/>
                <w:szCs w:val="13"/>
                <w:color w:val="0000FF"/>
              </w:rPr>
              <w:t>08/25/2016</w:t>
            </w:r>
          </w:p>
        </w:tc>
        <w:tc>
          <w:tcPr>
            <w:tcW w:w="1120" w:type="dxa"/>
            <w:vAlign w:val="bottom"/>
          </w:tcPr>
          <w:p>
            <w:pPr>
              <w:spacing w:after="0"/>
              <w:rPr>
                <w:sz w:val="16"/>
                <w:szCs w:val="16"/>
                <w:color w:val="auto"/>
              </w:rPr>
            </w:pPr>
          </w:p>
        </w:tc>
        <w:tc>
          <w:tcPr>
            <w:tcW w:w="84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52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25,000</w:t>
            </w:r>
          </w:p>
        </w:tc>
        <w:tc>
          <w:tcPr>
            <w:tcW w:w="300" w:type="dxa"/>
            <w:vAlign w:val="bottom"/>
          </w:tcPr>
          <w:p>
            <w:pPr>
              <w:spacing w:after="0"/>
              <w:rPr>
                <w:sz w:val="16"/>
                <w:szCs w:val="16"/>
                <w:color w:val="auto"/>
              </w:rPr>
            </w:pPr>
          </w:p>
        </w:tc>
        <w:tc>
          <w:tcPr>
            <w:tcW w:w="820" w:type="dxa"/>
            <w:vAlign w:val="bottom"/>
            <w:vMerge w:val="restart"/>
          </w:tcPr>
          <w:p>
            <w:pPr>
              <w:jc w:val="right"/>
              <w:ind w:right="281"/>
              <w:spacing w:after="0"/>
              <w:rPr>
                <w:sz w:val="20"/>
                <w:szCs w:val="20"/>
                <w:color w:val="auto"/>
              </w:rPr>
            </w:pPr>
            <w:r>
              <w:rPr>
                <w:rFonts w:ascii="Times New Roman" w:cs="Times New Roman" w:eastAsia="Times New Roman" w:hAnsi="Times New Roman"/>
                <w:sz w:val="11"/>
                <w:szCs w:val="11"/>
                <w:color w:val="008000"/>
              </w:rPr>
              <w:t>(5)</w:t>
            </w:r>
          </w:p>
        </w:tc>
        <w:tc>
          <w:tcPr>
            <w:tcW w:w="740" w:type="dxa"/>
            <w:vAlign w:val="bottom"/>
            <w:vMerge w:val="restart"/>
          </w:tcPr>
          <w:p>
            <w:pPr>
              <w:jc w:val="right"/>
              <w:ind w:right="242"/>
              <w:spacing w:after="0"/>
              <w:rPr>
                <w:sz w:val="20"/>
                <w:szCs w:val="20"/>
                <w:color w:val="auto"/>
              </w:rPr>
            </w:pPr>
            <w:r>
              <w:rPr>
                <w:rFonts w:ascii="Times New Roman" w:cs="Times New Roman" w:eastAsia="Times New Roman" w:hAnsi="Times New Roman"/>
                <w:sz w:val="11"/>
                <w:szCs w:val="11"/>
                <w:color w:val="008000"/>
              </w:rPr>
              <w:t>(5)</w:t>
            </w:r>
          </w:p>
        </w:tc>
        <w:tc>
          <w:tcPr>
            <w:tcW w:w="72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25,000</w:t>
            </w:r>
          </w:p>
        </w:tc>
        <w:tc>
          <w:tcPr>
            <w:tcW w:w="720" w:type="dxa"/>
            <w:vAlign w:val="bottom"/>
            <w:vMerge w:val="restart"/>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960" w:type="dxa"/>
            <w:vAlign w:val="bottom"/>
            <w:vMerge w:val="restart"/>
          </w:tcPr>
          <w:p>
            <w:pPr>
              <w:ind w:left="300"/>
              <w:spacing w:after="0"/>
              <w:rPr>
                <w:sz w:val="20"/>
                <w:szCs w:val="20"/>
                <w:color w:val="auto"/>
              </w:rPr>
            </w:pPr>
            <w:r>
              <w:rPr>
                <w:rFonts w:ascii="Times New Roman" w:cs="Times New Roman" w:eastAsia="Times New Roman" w:hAnsi="Times New Roman"/>
                <w:sz w:val="13"/>
                <w:szCs w:val="13"/>
                <w:color w:val="0000FF"/>
              </w:rPr>
              <w:t>25,000</w:t>
            </w:r>
          </w:p>
        </w:tc>
        <w:tc>
          <w:tcPr>
            <w:tcW w:w="76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7"/>
        </w:trPr>
        <w:tc>
          <w:tcPr>
            <w:tcW w:w="720" w:type="dxa"/>
            <w:vAlign w:val="bottom"/>
          </w:tcPr>
          <w:p>
            <w:pPr>
              <w:ind w:left="60"/>
              <w:spacing w:after="0" w:line="68" w:lineRule="exact"/>
              <w:rPr>
                <w:sz w:val="20"/>
                <w:szCs w:val="20"/>
                <w:color w:val="auto"/>
              </w:rPr>
            </w:pPr>
            <w:r>
              <w:rPr>
                <w:rFonts w:ascii="Times New Roman" w:cs="Times New Roman" w:eastAsia="Times New Roman" w:hAnsi="Times New Roman"/>
                <w:sz w:val="6"/>
                <w:szCs w:val="6"/>
                <w:color w:val="0000FF"/>
              </w:rPr>
              <w:t>Units</w:t>
            </w:r>
            <w:r>
              <w:rPr>
                <w:rFonts w:ascii="Times New Roman" w:cs="Times New Roman" w:eastAsia="Times New Roman" w:hAnsi="Times New Roman"/>
                <w:sz w:val="7"/>
                <w:szCs w:val="7"/>
                <w:color w:val="008000"/>
                <w:vertAlign w:val="superscript"/>
              </w:rPr>
              <w:t>(1)</w:t>
            </w:r>
          </w:p>
        </w:tc>
        <w:tc>
          <w:tcPr>
            <w:tcW w:w="800" w:type="dxa"/>
            <w:vAlign w:val="bottom"/>
            <w:vMerge w:val="continue"/>
          </w:tcPr>
          <w:p>
            <w:pPr>
              <w:spacing w:after="0"/>
              <w:rPr>
                <w:sz w:val="5"/>
                <w:szCs w:val="5"/>
                <w:color w:val="auto"/>
              </w:rPr>
            </w:pPr>
          </w:p>
        </w:tc>
        <w:tc>
          <w:tcPr>
            <w:tcW w:w="1140" w:type="dxa"/>
            <w:vAlign w:val="bottom"/>
            <w:vMerge w:val="continue"/>
          </w:tcPr>
          <w:p>
            <w:pPr>
              <w:spacing w:after="0"/>
              <w:rPr>
                <w:sz w:val="5"/>
                <w:szCs w:val="5"/>
                <w:color w:val="auto"/>
              </w:rPr>
            </w:pPr>
          </w:p>
        </w:tc>
        <w:tc>
          <w:tcPr>
            <w:tcW w:w="112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720" w:type="dxa"/>
            <w:vAlign w:val="bottom"/>
          </w:tcPr>
          <w:p>
            <w:pPr>
              <w:ind w:left="180"/>
              <w:spacing w:after="0" w:line="68" w:lineRule="exact"/>
              <w:rPr>
                <w:sz w:val="20"/>
                <w:szCs w:val="20"/>
                <w:color w:val="auto"/>
              </w:rPr>
            </w:pPr>
            <w:r>
              <w:rPr>
                <w:rFonts w:ascii="Times New Roman" w:cs="Times New Roman" w:eastAsia="Times New Roman" w:hAnsi="Times New Roman"/>
                <w:sz w:val="7"/>
                <w:szCs w:val="7"/>
                <w:color w:val="0000FF"/>
              </w:rPr>
              <w:t>Units</w:t>
            </w:r>
          </w:p>
        </w:tc>
        <w:tc>
          <w:tcPr>
            <w:tcW w:w="56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96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72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1140" w:type="dxa"/>
            <w:vAlign w:val="bottom"/>
            <w:vMerge w:val="continue"/>
          </w:tcPr>
          <w:p>
            <w:pPr>
              <w:spacing w:after="0"/>
              <w:rPr>
                <w:sz w:val="3"/>
                <w:szCs w:val="3"/>
                <w:color w:val="auto"/>
              </w:rPr>
            </w:pPr>
          </w:p>
        </w:tc>
        <w:tc>
          <w:tcPr>
            <w:tcW w:w="112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520" w:type="dxa"/>
            <w:vAlign w:val="bottom"/>
            <w:vMerge w:val="continue"/>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56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96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18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2"/>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Grant of Phantom Units under Long-Term Incentive Plan (includes associated distribution equivalent rights (payable in cash)).</w:t>
      </w:r>
    </w:p>
    <w:p>
      <w:pPr>
        <w:spacing w:after="0" w:line="51" w:lineRule="exact"/>
        <w:rPr>
          <w:rFonts w:ascii="Times New Roman" w:cs="Times New Roman" w:eastAsia="Times New Roman" w:hAnsi="Times New Roman"/>
          <w:sz w:val="13"/>
          <w:szCs w:val="13"/>
          <w:color w:val="008000"/>
        </w:rPr>
      </w:pPr>
    </w:p>
    <w:p>
      <w:pPr>
        <w:ind w:left="180" w:hanging="132"/>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One common unit is deliverable, upon vesting, for each phantom unit that vests.</w:t>
      </w:r>
    </w:p>
    <w:p>
      <w:pPr>
        <w:spacing w:after="0" w:line="51" w:lineRule="exact"/>
        <w:rPr>
          <w:rFonts w:ascii="Times New Roman" w:cs="Times New Roman" w:eastAsia="Times New Roman" w:hAnsi="Times New Roman"/>
          <w:sz w:val="13"/>
          <w:szCs w:val="13"/>
          <w:color w:val="008000"/>
        </w:rPr>
      </w:pPr>
    </w:p>
    <w:p>
      <w:pPr>
        <w:ind w:left="40" w:right="180" w:firstLine="8"/>
        <w:spacing w:after="0" w:line="250" w:lineRule="auto"/>
        <w:tabs>
          <w:tab w:leader="none" w:pos="174"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phantom units will vest as follows: (i) one-third shall vest on the August 2019 distribution date, (ii) one-sixth shall vest on the August 2020 distribution date, (iii) one-sixth shall vest on the August 2021 distribution date, (iv) one-sixth shall vest on the date on which the Partnership pays an annualized quarterly distribution of at least $2.50 per unit; however, in the event the $2.50 distribution threshold is not met prior to the August 2022 distribution date, the applicable phantom units will vest on such distribution date provided that on or prior to such date, PAA shall have achieved a minimum annualized distribution rate of $2.30 per unit, and</w:t>
      </w:r>
    </w:p>
    <w:p>
      <w:pPr>
        <w:spacing w:after="0" w:line="21" w:lineRule="exact"/>
        <w:rPr>
          <w:rFonts w:ascii="Times New Roman" w:cs="Times New Roman" w:eastAsia="Times New Roman" w:hAnsi="Times New Roman"/>
          <w:sz w:val="13"/>
          <w:szCs w:val="13"/>
          <w:color w:val="008000"/>
        </w:rPr>
      </w:pPr>
    </w:p>
    <w:p>
      <w:pPr>
        <w:ind w:left="40" w:right="340" w:firstLine="8"/>
        <w:spacing w:after="0" w:line="256" w:lineRule="auto"/>
        <w:tabs>
          <w:tab w:leader="none" w:pos="174"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(v) one-sixth shall vest on the date on which the Partnership pays an annualized quarterly distribution of at least $2.65 per unit; however, in the event the $2.65 distribution threshold is not met prior to the August 2022 distribution date, the applicable phantom units will vest on such distribution date provided that on or prior to such date, PAA shall have achieved a minimum annualized distribution rate of $2.30 per unit. Any phantom units that have not vested as of the August 2022 distribution date will be forfeited.</w:t>
      </w:r>
    </w:p>
    <w:p>
      <w:pPr>
        <w:spacing w:after="0" w:line="18" w:lineRule="exact"/>
        <w:rPr>
          <w:rFonts w:ascii="Times New Roman" w:cs="Times New Roman" w:eastAsia="Times New Roman" w:hAnsi="Times New Roman"/>
          <w:sz w:val="13"/>
          <w:szCs w:val="13"/>
          <w:color w:val="008000"/>
        </w:rPr>
      </w:pPr>
    </w:p>
    <w:p>
      <w:pPr>
        <w:ind w:left="180" w:hanging="132"/>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phantom units will vest 100% on the August 2018 distribution 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0"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3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Daniel J. Nerbonne</w:t>
            </w:r>
          </w:p>
        </w:tc>
        <w:tc>
          <w:tcPr>
            <w:tcW w:w="780" w:type="dxa"/>
            <w:vAlign w:val="bottom"/>
          </w:tcPr>
          <w:p>
            <w:pPr>
              <w:spacing w:after="0"/>
              <w:rPr>
                <w:sz w:val="20"/>
                <w:szCs w:val="20"/>
                <w:color w:val="auto"/>
              </w:rPr>
            </w:pPr>
            <w:r>
              <w:rPr>
                <w:rFonts w:ascii="Times New Roman" w:cs="Times New Roman" w:eastAsia="Times New Roman" w:hAnsi="Times New Roman"/>
                <w:sz w:val="17"/>
                <w:szCs w:val="17"/>
                <w:color w:val="0000FF"/>
                <w:w w:val="98"/>
              </w:rPr>
              <w:t>08/29/2016</w:t>
            </w:r>
          </w:p>
        </w:tc>
      </w:tr>
      <w:tr>
        <w:trPr>
          <w:trHeight w:val="20"/>
        </w:trPr>
        <w:tc>
          <w:tcPr>
            <w:tcW w:w="156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r>
        <w:trPr>
          <w:trHeight w:val="237"/>
        </w:trPr>
        <w:tc>
          <w:tcPr>
            <w:tcW w:w="23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20" w:firstLine="8"/>
        <w:spacing w:after="0" w:line="321" w:lineRule="auto"/>
        <w:tabs>
          <w:tab w:leader="none" w:pos="182"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19"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16997" TargetMode="External"/><Relationship Id="rId13" Type="http://schemas.openxmlformats.org/officeDocument/2006/relationships/hyperlink" Target="http://www.sec.gov/cgi-bin/browse-edgar?action=getcompany&amp;CIK=00010704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2020-01-19T08:50:38Z</dcterms:created>
  <dcterms:modified xsi:type="dcterms:W3CDTF">2020-01-19T08:50:38Z</dcterms:modified>
</cp:coreProperties>
</file>