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47729d424b2.htm"/>
        <w:bookmarkStart w:id="1" w:name="ksd447729d424b2"/>
        <w:bookmarkEnd w:id="0"/>
        <w:bookmarkEnd w:id="1"/>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Filed pursuant to Rule 424(b)(2)</w:t>
        <w:br/>
        <w:t xml:space="preserve">Registration No. 333-184137 </w:t>
      </w:r>
    </w:p>
    <w:p>
      <w:pPr>
        <w:pStyle w:val="TextBody"/>
        <w:spacing w:before="0" w:after="0"/>
        <w:rPr/>
      </w:pPr>
      <w:r>
        <w:rPr/>
        <w:t> </w:t>
      </w:r>
    </w:p>
    <w:p>
      <w:pPr>
        <w:pStyle w:val="TextBody"/>
        <w:spacing w:before="0" w:after="0"/>
        <w:rPr>
          <w:rFonts w:ascii="Times New Roman" w:hAnsi="Times New Roman"/>
          <w:color w:val="CC062A"/>
          <w:sz w:val="20"/>
        </w:rPr>
      </w:pPr>
      <w:r>
        <w:rPr>
          <w:rFonts w:ascii="Times New Roman" w:hAnsi="Times New Roman"/>
          <w:color w:val="CC062A"/>
          <w:sz w:val="20"/>
        </w:rPr>
        <w:t xml:space="preserve">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 </w:t>
      </w:r>
    </w:p>
    <w:p>
      <w:pPr>
        <w:pStyle w:val="TextBody"/>
        <w:spacing w:before="0" w:after="0"/>
        <w:rPr/>
      </w:pPr>
      <w:r>
        <w:rPr/>
        <w:t> </w:t>
      </w:r>
    </w:p>
    <w:p>
      <w:pPr>
        <w:pStyle w:val="TextBody"/>
        <w:spacing w:before="0" w:after="0"/>
        <w:jc w:val="center"/>
        <w:rPr>
          <w:rFonts w:ascii="Times New Roman" w:hAnsi="Times New Roman"/>
          <w:b/>
          <w:color w:val="CC062A"/>
          <w:sz w:val="20"/>
        </w:rPr>
      </w:pPr>
      <w:r>
        <w:rPr>
          <w:rFonts w:ascii="Times New Roman" w:hAnsi="Times New Roman"/>
          <w:b/>
          <w:color w:val="CC062A"/>
          <w:sz w:val="20"/>
        </w:rPr>
        <w:t xml:space="preserve">SUBJECT TO COMPLETION, DATED DECEMBER 3, 2012 </w:t>
      </w:r>
    </w:p>
    <w:p>
      <w:pPr>
        <w:pStyle w:val="TextBody"/>
        <w:spacing w:before="90" w:after="0"/>
        <w:rPr>
          <w:rFonts w:ascii="Times New Roman" w:hAnsi="Times New Roman"/>
          <w:b/>
          <w:sz w:val="20"/>
        </w:rPr>
      </w:pPr>
      <w:r>
        <w:rPr>
          <w:rFonts w:ascii="Times New Roman" w:hAnsi="Times New Roman"/>
          <w:b/>
          <w:sz w:val="20"/>
        </w:rPr>
        <w:t xml:space="preserve">PRELIMINARY 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September 27, 2012 </w:t>
      </w:r>
    </w:p>
    <w:p>
      <w:pPr>
        <w:pStyle w:val="TextBody"/>
        <w:spacing w:before="0" w:after="0"/>
        <w:rPr/>
      </w:pPr>
      <w:r>
        <w:rPr/>
        <w:t> </w:t>
      </w:r>
    </w:p>
    <w:p>
      <w:pPr>
        <w:pStyle w:val="TextBody"/>
        <w:spacing w:before="90" w:after="0"/>
        <w:jc w:val="center"/>
        <w:rPr/>
      </w:pPr>
      <w:r>
        <w:rPr/>
        <w:drawing>
          <wp:inline distT="0" distB="0" distL="0" distR="0">
            <wp:extent cx="18859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15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b/>
          <w:sz w:val="36"/>
        </w:rPr>
      </w:pPr>
      <w:r>
        <w:rPr>
          <w:rFonts w:ascii="Times New Roman" w:hAnsi="Times New Roman"/>
          <w:b/>
          <w:sz w:val="36"/>
        </w:rPr>
        <w:t xml:space="preserve">PAA Finance Corp. </w:t>
      </w:r>
    </w:p>
    <w:p>
      <w:pPr>
        <w:pStyle w:val="TextBody"/>
        <w:spacing w:before="30" w:after="0"/>
        <w:jc w:val="center"/>
        <w:rPr>
          <w:rFonts w:ascii="Times New Roman" w:hAnsi="Times New Roman"/>
          <w:b/>
          <w:sz w:val="20"/>
        </w:rPr>
      </w:pPr>
      <w:r>
        <w:rPr>
          <w:rFonts w:ascii="Times New Roman" w:hAnsi="Times New Roman"/>
          <w:b/>
          <w:sz w:val="20"/>
        </w:rPr>
        <w:t xml:space="preserve">$             % Senior Notes due 2023 </w:t>
      </w:r>
    </w:p>
    <w:p>
      <w:pPr>
        <w:pStyle w:val="TextBody"/>
        <w:spacing w:before="0" w:after="0"/>
        <w:jc w:val="center"/>
        <w:rPr>
          <w:rFonts w:ascii="Times New Roman" w:hAnsi="Times New Roman"/>
          <w:b/>
          <w:sz w:val="20"/>
        </w:rPr>
      </w:pPr>
      <w:r>
        <w:rPr>
          <w:rFonts w:ascii="Times New Roman" w:hAnsi="Times New Roman"/>
          <w:b/>
          <w:sz w:val="20"/>
        </w:rPr>
        <w:t xml:space="preserve">$             % Senior Notes due 2043 </w:t>
      </w:r>
    </w:p>
    <w:p>
      <w:pPr>
        <w:pStyle w:val="TextBody"/>
        <w:spacing w:before="90" w:after="0"/>
        <w:rPr>
          <w:rFonts w:ascii="Times New Roman" w:hAnsi="Times New Roman"/>
          <w:sz w:val="20"/>
        </w:rPr>
      </w:pPr>
      <w:r>
        <w:rPr>
          <w:rFonts w:ascii="Times New Roman" w:hAnsi="Times New Roman"/>
          <w:sz w:val="20"/>
        </w:rPr>
        <w:t xml:space="preserve">Plains All American Pipeline, L.P. and PAA Finance Corp. are offering $         aggregate principal amount of debt securities, consisting of $         million aggregate principal amount of     % Senior Notes due 2023 and $         million aggregate principal amount of     % Senior Notes due 2043. We refer to each such series of notes as the 2023 Notes and the 2043 Notes, respectively, and, collectively as the Notes. </w:t>
      </w:r>
    </w:p>
    <w:p>
      <w:pPr>
        <w:pStyle w:val="TextBody"/>
        <w:spacing w:before="105" w:after="0"/>
        <w:rPr>
          <w:rFonts w:ascii="Times New Roman" w:hAnsi="Times New Roman"/>
          <w:sz w:val="20"/>
        </w:rPr>
      </w:pPr>
      <w:r>
        <w:rPr>
          <w:rFonts w:ascii="Times New Roman" w:hAnsi="Times New Roman"/>
          <w:sz w:val="20"/>
        </w:rPr>
        <w:t xml:space="preserve">We will pay interest on the Notes semi-annually in arrears on January    and July    of each year, beginning on July    , 2013. The 2023 Notes will mature on January    , 2023, and the 2043 Notes will mature on January    , 2043, in either case unless redeemed prior to the respective maturity dates. </w:t>
      </w:r>
    </w:p>
    <w:p>
      <w:pPr>
        <w:pStyle w:val="TextBody"/>
        <w:spacing w:before="105" w:after="0"/>
        <w:rPr>
          <w:rFonts w:ascii="Times New Roman" w:hAnsi="Times New Roman"/>
          <w:sz w:val="20"/>
        </w:rPr>
      </w:pPr>
      <w:r>
        <w:rPr>
          <w:rFonts w:ascii="Times New Roman" w:hAnsi="Times New Roman"/>
          <w:sz w:val="20"/>
        </w:rPr>
        <w:t xml:space="preserve">We may, at our option, redeem the Notes of either series at any time in whole or from time to time in part, prior to maturity, at the redemption prices as described herein under Description of NotesOptional Redemption. </w:t>
      </w:r>
    </w:p>
    <w:p>
      <w:pPr>
        <w:pStyle w:val="TextBody"/>
        <w:spacing w:before="105" w:after="0"/>
        <w:rPr>
          <w:rFonts w:ascii="Times New Roman" w:hAnsi="Times New Roman"/>
          <w:sz w:val="20"/>
        </w:rPr>
      </w:pPr>
      <w:r>
        <w:rPr>
          <w:rFonts w:ascii="Times New Roman" w:hAnsi="Times New Roman"/>
          <w:sz w:val="20"/>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spacing w:before="105" w:after="0"/>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w:t>
      </w:r>
    </w:p>
    <w:p>
      <w:pPr>
        <w:pStyle w:val="TextBody"/>
        <w:spacing w:before="105" w:after="0"/>
        <w:rPr/>
      </w:pPr>
      <w:r>
        <w:rPr>
          <w:rFonts w:ascii="Times New Roman" w:hAnsi="Times New Roman"/>
          <w:b/>
          <w:sz w:val="20"/>
        </w:rPr>
        <w:t>Investing in the Notes involves risks. See </w:t>
      </w:r>
      <w:hyperlink w:anchor="supprom447729_4">
        <w:r>
          <w:rPr>
            <w:rStyle w:val="InternetLink"/>
            <w:rFonts w:ascii="Times New Roman" w:hAnsi="Times New Roman"/>
            <w:b/>
            <w:sz w:val="20"/>
          </w:rPr>
          <w:t>Risk Factors</w:t>
        </w:r>
      </w:hyperlink>
      <w:r>
        <w:rPr>
          <w:rFonts w:ascii="Times New Roman" w:hAnsi="Times New Roman"/>
          <w:b/>
          <w:sz w:val="20"/>
        </w:rPr>
        <w:t xml:space="preserve"> on page S-6 of this prospectus supplement and beginning on page 2 of the accompanying base prospectus. </w:t>
      </w:r>
    </w:p>
    <w:p>
      <w:pPr>
        <w:pStyle w:val="TextBody"/>
        <w:spacing w:before="105"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61"/>
        <w:gridCol w:w="121"/>
        <w:gridCol w:w="1871"/>
        <w:gridCol w:w="102"/>
        <w:gridCol w:w="1871"/>
        <w:gridCol w:w="102"/>
        <w:gridCol w:w="1877"/>
      </w:tblGrid>
      <w:tr>
        <w:trPr/>
        <w:tc>
          <w:tcPr>
            <w:tcW w:w="426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87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Public Offering</w:t>
              <w:br/>
              <w:t>Price(1)</w:t>
            </w:r>
          </w:p>
        </w:tc>
        <w:tc>
          <w:tcPr>
            <w:tcW w:w="102" w:type="dxa"/>
            <w:tcBorders/>
            <w:shd w:fill="auto" w:val="clear"/>
            <w:vAlign w:val="bottom"/>
          </w:tcPr>
          <w:p>
            <w:pPr>
              <w:pStyle w:val="TableContents"/>
              <w:spacing w:before="0" w:after="283"/>
              <w:rPr/>
            </w:pPr>
            <w:r>
              <w:rPr/>
              <w:t> </w:t>
            </w:r>
          </w:p>
        </w:tc>
        <w:tc>
          <w:tcPr>
            <w:tcW w:w="187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w:t>
              <w:br/>
              <w:t>Discount</w:t>
            </w:r>
          </w:p>
        </w:tc>
        <w:tc>
          <w:tcPr>
            <w:tcW w:w="102" w:type="dxa"/>
            <w:tcBorders/>
            <w:shd w:fill="auto" w:val="clear"/>
            <w:vAlign w:val="bottom"/>
          </w:tcPr>
          <w:p>
            <w:pPr>
              <w:pStyle w:val="TableContents"/>
              <w:spacing w:before="0" w:after="283"/>
              <w:rPr/>
            </w:pPr>
            <w:r>
              <w:rPr/>
              <w:t> </w:t>
            </w:r>
          </w:p>
        </w:tc>
        <w:tc>
          <w:tcPr>
            <w:tcW w:w="187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Proceeds, Before</w:t>
              <w:br/>
              <w:t>Expenses, to Us</w:t>
            </w:r>
          </w:p>
        </w:tc>
      </w:tr>
      <w:tr>
        <w:trPr/>
        <w:tc>
          <w:tcPr>
            <w:tcW w:w="4261" w:type="dxa"/>
            <w:tcBorders/>
            <w:shd w:fill="CCEEFF" w:val="clear"/>
          </w:tcPr>
          <w:p>
            <w:pPr>
              <w:pStyle w:val="TableContents"/>
              <w:spacing w:before="0" w:after="283"/>
              <w:rPr>
                <w:rFonts w:ascii="Times New Roman" w:hAnsi="Times New Roman"/>
                <w:sz w:val="20"/>
              </w:rPr>
            </w:pPr>
            <w:r>
              <w:rPr>
                <w:rFonts w:ascii="Times New Roman" w:hAnsi="Times New Roman"/>
                <w:sz w:val="20"/>
              </w:rPr>
              <w:t>Per 2023 Note</w:t>
            </w:r>
          </w:p>
        </w:tc>
        <w:tc>
          <w:tcPr>
            <w:tcW w:w="121" w:type="dxa"/>
            <w:tcBorders/>
            <w:shd w:fill="CCEEFF" w:val="clear"/>
            <w:vAlign w:val="bottom"/>
          </w:tcPr>
          <w:p>
            <w:pPr>
              <w:pStyle w:val="TableContents"/>
              <w:spacing w:before="0" w:after="283"/>
              <w:rPr/>
            </w:pPr>
            <w:r>
              <w:rPr/>
              <w:t>  </w:t>
            </w:r>
          </w:p>
        </w:tc>
        <w:tc>
          <w:tcPr>
            <w:tcW w:w="1871" w:type="dxa"/>
            <w:tcBorders/>
            <w:shd w:fill="CCEEFF" w:val="clear"/>
            <w:vAlign w:val="bottom"/>
          </w:tcPr>
          <w:p>
            <w:pPr>
              <w:pStyle w:val="TableContents"/>
              <w:spacing w:before="0" w:after="283"/>
              <w:jc w:val="center"/>
              <w:rPr/>
            </w:pPr>
            <w:r>
              <w:rPr/>
              <w:t xml:space="preserve">                         </w:t>
            </w: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871" w:type="dxa"/>
            <w:tcBorders/>
            <w:shd w:fill="CCEEFF" w:val="clear"/>
            <w:vAlign w:val="bottom"/>
          </w:tcPr>
          <w:p>
            <w:pPr>
              <w:pStyle w:val="TableContents"/>
              <w:spacing w:before="0" w:after="283"/>
              <w:jc w:val="center"/>
              <w:rPr/>
            </w:pPr>
            <w:r>
              <w:rPr/>
              <w:t xml:space="preserve">                         </w:t>
            </w: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center"/>
              <w:rPr/>
            </w:pPr>
            <w:r>
              <w:rPr/>
              <w:t xml:space="preserve">                         </w:t>
            </w:r>
            <w:r>
              <w:rPr>
                <w:rFonts w:ascii="Times New Roman" w:hAnsi="Times New Roman"/>
                <w:sz w:val="20"/>
              </w:rPr>
              <w:t>%</w:t>
            </w:r>
          </w:p>
        </w:tc>
      </w:tr>
      <w:tr>
        <w:trPr/>
        <w:tc>
          <w:tcPr>
            <w:tcW w:w="4261"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21"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                         </w:t>
            </w:r>
          </w:p>
        </w:tc>
        <w:tc>
          <w:tcPr>
            <w:tcW w:w="102"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                         </w:t>
            </w:r>
          </w:p>
        </w:tc>
        <w:tc>
          <w:tcPr>
            <w:tcW w:w="102"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                         </w:t>
            </w:r>
          </w:p>
        </w:tc>
      </w:tr>
      <w:tr>
        <w:trPr/>
        <w:tc>
          <w:tcPr>
            <w:tcW w:w="4261" w:type="dxa"/>
            <w:tcBorders/>
            <w:shd w:fill="CCEEFF" w:val="clear"/>
          </w:tcPr>
          <w:p>
            <w:pPr>
              <w:pStyle w:val="TableContents"/>
              <w:spacing w:before="0" w:after="283"/>
              <w:rPr>
                <w:rFonts w:ascii="Times New Roman" w:hAnsi="Times New Roman"/>
                <w:sz w:val="20"/>
              </w:rPr>
            </w:pPr>
            <w:r>
              <w:rPr>
                <w:rFonts w:ascii="Times New Roman" w:hAnsi="Times New Roman"/>
                <w:sz w:val="20"/>
              </w:rPr>
              <w:t>Per 2043 Note</w:t>
            </w:r>
          </w:p>
        </w:tc>
        <w:tc>
          <w:tcPr>
            <w:tcW w:w="121" w:type="dxa"/>
            <w:tcBorders/>
            <w:shd w:fill="CCEEFF" w:val="clear"/>
            <w:vAlign w:val="bottom"/>
          </w:tcPr>
          <w:p>
            <w:pPr>
              <w:pStyle w:val="TableContents"/>
              <w:spacing w:before="0" w:after="283"/>
              <w:rPr/>
            </w:pPr>
            <w:r>
              <w:rPr/>
              <w:t>  </w:t>
            </w:r>
          </w:p>
        </w:tc>
        <w:tc>
          <w:tcPr>
            <w:tcW w:w="1871" w:type="dxa"/>
            <w:tcBorders/>
            <w:shd w:fill="CCEEFF" w:val="clear"/>
            <w:vAlign w:val="bottom"/>
          </w:tcPr>
          <w:p>
            <w:pPr>
              <w:pStyle w:val="TableContents"/>
              <w:spacing w:before="0" w:after="283"/>
              <w:jc w:val="center"/>
              <w:rPr/>
            </w:pPr>
            <w:r>
              <w:rPr/>
              <w:t xml:space="preserve">                         </w:t>
            </w: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871" w:type="dxa"/>
            <w:tcBorders/>
            <w:shd w:fill="CCEEFF" w:val="clear"/>
            <w:vAlign w:val="bottom"/>
          </w:tcPr>
          <w:p>
            <w:pPr>
              <w:pStyle w:val="TableContents"/>
              <w:spacing w:before="0" w:after="283"/>
              <w:jc w:val="center"/>
              <w:rPr/>
            </w:pPr>
            <w:r>
              <w:rPr/>
              <w:t xml:space="preserve">                         </w:t>
            </w: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center"/>
              <w:rPr/>
            </w:pPr>
            <w:r>
              <w:rPr/>
              <w:t xml:space="preserve">                         </w:t>
            </w:r>
            <w:r>
              <w:rPr>
                <w:rFonts w:ascii="Times New Roman" w:hAnsi="Times New Roman"/>
                <w:sz w:val="20"/>
              </w:rPr>
              <w:t>%</w:t>
            </w:r>
          </w:p>
        </w:tc>
      </w:tr>
      <w:tr>
        <w:trPr/>
        <w:tc>
          <w:tcPr>
            <w:tcW w:w="4261"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21"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                         </w:t>
            </w:r>
          </w:p>
        </w:tc>
        <w:tc>
          <w:tcPr>
            <w:tcW w:w="102"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                         </w:t>
            </w:r>
          </w:p>
        </w:tc>
        <w:tc>
          <w:tcPr>
            <w:tcW w:w="102"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Plus accrued interest, if any, from December     , 2012 if settlement occurs after that date. </w:t>
            </w:r>
          </w:p>
        </w:tc>
      </w:tr>
    </w:tbl>
    <w:p>
      <w:pPr>
        <w:pStyle w:val="TextBody"/>
        <w:spacing w:before="45" w:after="0"/>
        <w:rPr>
          <w:rFonts w:ascii="Times New Roman" w:hAnsi="Times New Roman"/>
          <w:sz w:val="20"/>
        </w:rPr>
      </w:pPr>
      <w:r>
        <w:rPr>
          <w:rFonts w:ascii="Times New Roman" w:hAnsi="Times New Roman"/>
          <w:sz w:val="20"/>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December    , 2012, the                  trading day after the date of this prospectus supplement. </w:t>
      </w:r>
    </w:p>
    <w:p>
      <w:pPr>
        <w:pStyle w:val="TextBody"/>
        <w:spacing w:before="105"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90" w:after="0"/>
        <w:rPr>
          <w:rFonts w:ascii="Times New Roman" w:hAnsi="Times New Roman"/>
          <w:b/>
          <w:sz w:val="20"/>
        </w:rPr>
      </w:pPr>
      <w:r>
        <w:rPr>
          <w:rFonts w:ascii="Times New Roman" w:hAnsi="Times New Roman"/>
          <w:b/>
          <w:sz w:val="20"/>
        </w:rPr>
        <w:t xml:space="preserve">Wells Fargo Securities </w:t>
      </w:r>
    </w:p>
    <w:p>
      <w:pPr>
        <w:pStyle w:val="TextBody"/>
        <w:spacing w:before="0" w:after="0"/>
        <w:rPr>
          <w:rFonts w:ascii="Times New Roman" w:hAnsi="Times New Roman"/>
          <w:b/>
          <w:sz w:val="20"/>
        </w:rPr>
      </w:pPr>
      <w:r>
        <w:rPr>
          <w:rFonts w:ascii="Times New Roman" w:hAnsi="Times New Roman"/>
          <w:b/>
          <w:sz w:val="20"/>
        </w:rPr>
        <w:t xml:space="preserve">Barclays </w:t>
      </w:r>
    </w:p>
    <w:p>
      <w:pPr>
        <w:pStyle w:val="TextBody"/>
        <w:spacing w:before="0" w:after="0"/>
        <w:rPr>
          <w:rFonts w:ascii="Times New Roman" w:hAnsi="Times New Roman"/>
          <w:b/>
          <w:sz w:val="20"/>
        </w:rPr>
      </w:pPr>
      <w:r>
        <w:rPr>
          <w:rFonts w:ascii="Times New Roman" w:hAnsi="Times New Roman"/>
          <w:b/>
          <w:sz w:val="20"/>
        </w:rPr>
        <w:t xml:space="preserve">Citigroup </w:t>
      </w:r>
    </w:p>
    <w:p>
      <w:pPr>
        <w:pStyle w:val="TextBody"/>
        <w:spacing w:before="0" w:after="0"/>
        <w:rPr>
          <w:rFonts w:ascii="Times New Roman" w:hAnsi="Times New Roman"/>
          <w:b/>
          <w:sz w:val="20"/>
        </w:rPr>
      </w:pPr>
      <w:r>
        <w:rPr>
          <w:rFonts w:ascii="Times New Roman" w:hAnsi="Times New Roman"/>
          <w:b/>
          <w:sz w:val="20"/>
        </w:rPr>
        <w:t xml:space="preserve">SunTrust Robinson Humphrey </w:t>
      </w:r>
    </w:p>
    <w:p>
      <w:pPr>
        <w:pStyle w:val="TextBody"/>
        <w:spacing w:before="0" w:after="0"/>
        <w:rPr>
          <w:rFonts w:ascii="Times New Roman" w:hAnsi="Times New Roman"/>
          <w:b/>
          <w:sz w:val="20"/>
        </w:rPr>
      </w:pPr>
      <w:r>
        <w:rPr>
          <w:rFonts w:ascii="Times New Roman" w:hAnsi="Times New Roman"/>
          <w:b/>
          <w:sz w:val="20"/>
        </w:rPr>
        <w:t xml:space="preserve">UBS Investment Bank </w:t>
      </w:r>
    </w:p>
    <w:p>
      <w:pPr>
        <w:pStyle w:val="TextBody"/>
        <w:spacing w:before="240" w:after="0"/>
        <w:jc w:val="center"/>
        <w:rPr>
          <w:rFonts w:ascii="Times New Roman" w:hAnsi="Times New Roman"/>
          <w:sz w:val="20"/>
        </w:rPr>
      </w:pPr>
      <w:r>
        <w:rPr>
          <w:rFonts w:ascii="Times New Roman" w:hAnsi="Times New Roman"/>
          <w:sz w:val="20"/>
        </w:rPr>
        <w:t xml:space="preserve">The date of this prospectus supplement is December     ,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5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77"/>
        <w:gridCol w:w="387"/>
        <w:gridCol w:w="441"/>
      </w:tblGrid>
      <w:tr>
        <w:trPr/>
        <w:tc>
          <w:tcPr>
            <w:tcW w:w="937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937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Page</w:t>
            </w:r>
          </w:p>
        </w:tc>
      </w:tr>
    </w:tbl>
    <w:tbl>
      <w:tblPr>
        <w:tblW w:w="5000" w:type="pct"/>
        <w:jc w:val="center"/>
        <w:tblInd w:w="0" w:type="dxa"/>
        <w:tblCellMar>
          <w:top w:w="0" w:type="dxa"/>
          <w:left w:w="0" w:type="dxa"/>
          <w:bottom w:w="0" w:type="dxa"/>
          <w:right w:w="0" w:type="dxa"/>
        </w:tblCellMar>
      </w:tblPr>
      <w:tblGrid>
        <w:gridCol w:w="9579"/>
        <w:gridCol w:w="132"/>
        <w:gridCol w:w="60"/>
        <w:gridCol w:w="311"/>
        <w:gridCol w:w="123"/>
      </w:tblGrid>
      <w:tr>
        <w:trPr/>
        <w:tc>
          <w:tcPr>
            <w:tcW w:w="957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79" w:type="dxa"/>
            <w:tcBorders/>
            <w:shd w:fill="auto" w:val="clear"/>
          </w:tcPr>
          <w:p>
            <w:pPr>
              <w:pStyle w:val="TableContents"/>
              <w:spacing w:before="0" w:after="283"/>
              <w:rPr/>
            </w:pPr>
            <w:hyperlink w:anchor="supprom447729_1">
              <w:r>
                <w:rPr>
                  <w:rStyle w:val="InternetLink"/>
                  <w:rFonts w:ascii="Times New Roman" w:hAnsi="Times New Roman"/>
                  <w:sz w:val="20"/>
                </w:rPr>
                <w:t>Important Notice About Information in This Prospectus Supplement and the Accompanying Base Prospectus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2">
              <w:r>
                <w:rPr>
                  <w:rStyle w:val="InternetLink"/>
                  <w:rFonts w:ascii="Times New Roman" w:hAnsi="Times New Roman"/>
                  <w:sz w:val="20"/>
                </w:rPr>
                <w:t>Forward-Looking Statements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3">
              <w:r>
                <w:rPr>
                  <w:rStyle w:val="InternetLink"/>
                  <w:rFonts w:ascii="Times New Roman" w:hAnsi="Times New Roman"/>
                  <w:sz w:val="20"/>
                </w:rPr>
                <w:t>Prospectus Supplement Summary</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4">
              <w:r>
                <w:rPr>
                  <w:rStyle w:val="InternetLink"/>
                  <w:rFonts w:ascii="Times New Roman" w:hAnsi="Times New Roman"/>
                  <w:sz w:val="20"/>
                </w:rPr>
                <w:t>Risk Factors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5">
              <w:r>
                <w:rPr>
                  <w:rStyle w:val="InternetLink"/>
                  <w:rFonts w:ascii="Times New Roman" w:hAnsi="Times New Roman"/>
                  <w:sz w:val="20"/>
                </w:rPr>
                <w:t>Use of Proceeds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S-8</w:t>
            </w:r>
          </w:p>
        </w:tc>
        <w:tc>
          <w:tcPr>
            <w:tcW w:w="123" w:type="dxa"/>
            <w:tcBorders/>
            <w:shd w:fill="auto" w:val="clear"/>
            <w:vAlign w:val="bottom"/>
          </w:tcPr>
          <w:p>
            <w:pPr>
              <w:pStyle w:val="TableContents"/>
              <w:spacing w:before="0" w:after="283"/>
              <w:rPr/>
            </w:pPr>
            <w:r>
              <w:rPr/>
              <w:t>  </w:t>
            </w:r>
          </w:p>
        </w:tc>
      </w:tr>
      <w:tr>
        <w:trPr/>
        <w:tc>
          <w:tcPr>
            <w:tcW w:w="9579" w:type="dxa"/>
            <w:tcBorders/>
            <w:shd w:fill="auto" w:val="clear"/>
          </w:tcPr>
          <w:p>
            <w:pPr>
              <w:pStyle w:val="TableContents"/>
              <w:spacing w:before="0" w:after="283"/>
              <w:rPr/>
            </w:pPr>
            <w:hyperlink w:anchor="supprom447729_6">
              <w:r>
                <w:rPr>
                  <w:rStyle w:val="InternetLink"/>
                  <w:rFonts w:ascii="Times New Roman" w:hAnsi="Times New Roman"/>
                  <w:sz w:val="20"/>
                </w:rPr>
                <w:t>Ratio of Earnings to Fixed Charges</w:t>
              </w:r>
            </w:hyperlink>
          </w:p>
        </w:tc>
        <w:tc>
          <w:tcPr>
            <w:tcW w:w="1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S-9</w:t>
            </w:r>
          </w:p>
        </w:tc>
        <w:tc>
          <w:tcPr>
            <w:tcW w:w="123"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499"/>
        <w:gridCol w:w="125"/>
        <w:gridCol w:w="60"/>
        <w:gridCol w:w="399"/>
        <w:gridCol w:w="122"/>
      </w:tblGrid>
      <w:tr>
        <w:trPr/>
        <w:tc>
          <w:tcPr>
            <w:tcW w:w="94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99" w:type="dxa"/>
            <w:tcBorders/>
            <w:shd w:fill="auto" w:val="clear"/>
          </w:tcPr>
          <w:p>
            <w:pPr>
              <w:pStyle w:val="TableContents"/>
              <w:spacing w:before="0" w:after="283"/>
              <w:rPr/>
            </w:pPr>
            <w:hyperlink w:anchor="supprom447729_7">
              <w:r>
                <w:rPr>
                  <w:rStyle w:val="InternetLink"/>
                  <w:rFonts w:ascii="Times New Roman" w:hAnsi="Times New Roman"/>
                  <w:sz w:val="20"/>
                </w:rPr>
                <w:t>Capitalization</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S-10</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8">
              <w:r>
                <w:rPr>
                  <w:rStyle w:val="InternetLink"/>
                  <w:rFonts w:ascii="Times New Roman" w:hAnsi="Times New Roman"/>
                  <w:sz w:val="20"/>
                </w:rPr>
                <w:t>Description of Notes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9">
              <w:r>
                <w:rPr>
                  <w:rStyle w:val="InternetLink"/>
                  <w:rFonts w:ascii="Times New Roman" w:hAnsi="Times New Roman"/>
                  <w:sz w:val="20"/>
                </w:rPr>
                <w:t>Book Entry, Delivery and Form</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S-24</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0">
              <w:r>
                <w:rPr>
                  <w:rStyle w:val="InternetLink"/>
                  <w:rFonts w:ascii="Times New Roman" w:hAnsi="Times New Roman"/>
                  <w:sz w:val="20"/>
                </w:rPr>
                <w:t>Material U.S. Federal Income and Estate Tax Consequences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S-27</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1">
              <w:r>
                <w:rPr>
                  <w:rStyle w:val="InternetLink"/>
                  <w:rFonts w:ascii="Times New Roman" w:hAnsi="Times New Roman"/>
                  <w:sz w:val="20"/>
                </w:rPr>
                <w:t>Underwriting (Conflicts of Interest)</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S-33</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2">
              <w:r>
                <w:rPr>
                  <w:rStyle w:val="InternetLink"/>
                  <w:rFonts w:ascii="Times New Roman" w:hAnsi="Times New Roman"/>
                  <w:sz w:val="20"/>
                </w:rPr>
                <w:t>Legal Matters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S-37</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3">
              <w:r>
                <w:rPr>
                  <w:rStyle w:val="InternetLink"/>
                  <w:rFonts w:ascii="Times New Roman" w:hAnsi="Times New Roman"/>
                  <w:sz w:val="20"/>
                </w:rPr>
                <w:t>Experts</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S-37</w:t>
            </w:r>
          </w:p>
        </w:tc>
        <w:tc>
          <w:tcPr>
            <w:tcW w:w="122" w:type="dxa"/>
            <w:tcBorders/>
            <w:shd w:fill="auto" w:val="clear"/>
            <w:vAlign w:val="bottom"/>
          </w:tcPr>
          <w:p>
            <w:pPr>
              <w:pStyle w:val="TableContents"/>
              <w:spacing w:before="0" w:after="283"/>
              <w:rPr/>
            </w:pPr>
            <w:r>
              <w:rPr/>
              <w:t>  </w:t>
            </w:r>
          </w:p>
        </w:tc>
      </w:tr>
      <w:tr>
        <w:trPr/>
        <w:tc>
          <w:tcPr>
            <w:tcW w:w="9499" w:type="dxa"/>
            <w:tcBorders/>
            <w:shd w:fill="auto" w:val="clear"/>
          </w:tcPr>
          <w:p>
            <w:pPr>
              <w:pStyle w:val="TableContents"/>
              <w:spacing w:before="0" w:after="283"/>
              <w:rPr/>
            </w:pPr>
            <w:hyperlink w:anchor="supprom447729_14">
              <w:r>
                <w:rPr>
                  <w:rStyle w:val="InternetLink"/>
                  <w:rFonts w:ascii="Times New Roman" w:hAnsi="Times New Roman"/>
                  <w:sz w:val="20"/>
                </w:rPr>
                <w:t>Where You Can Find More Information</w:t>
              </w:r>
            </w:hyperlink>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S-37</w:t>
            </w:r>
          </w:p>
        </w:tc>
        <w:tc>
          <w:tcPr>
            <w:tcW w:w="122" w:type="dxa"/>
            <w:tcBorders/>
            <w:shd w:fill="auto" w:val="clear"/>
            <w:vAlign w:val="bottom"/>
          </w:tcPr>
          <w:p>
            <w:pPr>
              <w:pStyle w:val="TableContents"/>
              <w:spacing w:before="0" w:after="283"/>
              <w:rPr/>
            </w:pPr>
            <w:r>
              <w:rPr/>
              <w:t>  </w:t>
            </w:r>
          </w:p>
        </w:tc>
      </w:tr>
    </w:tbl>
    <w:p>
      <w:pPr>
        <w:pStyle w:val="TextBody"/>
        <w:spacing w:before="300" w:after="0"/>
        <w:jc w:val="center"/>
        <w:rPr>
          <w:rFonts w:ascii="Times New Roman" w:hAnsi="Times New Roman"/>
          <w:b/>
          <w:sz w:val="20"/>
        </w:rPr>
      </w:pPr>
      <w:r>
        <w:rPr>
          <w:rFonts w:ascii="Times New Roman" w:hAnsi="Times New Roman"/>
          <w:b/>
          <w:sz w:val="20"/>
        </w:rPr>
        <w:t xml:space="preserve">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46"/>
        <w:gridCol w:w="98"/>
        <w:gridCol w:w="60"/>
        <w:gridCol w:w="80"/>
        <w:gridCol w:w="121"/>
      </w:tblGrid>
      <w:tr>
        <w:trPr/>
        <w:tc>
          <w:tcPr>
            <w:tcW w:w="984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846" w:type="dxa"/>
            <w:tcBorders/>
            <w:shd w:fill="auto" w:val="clear"/>
          </w:tcPr>
          <w:p>
            <w:pPr>
              <w:pStyle w:val="TableContents"/>
              <w:spacing w:before="0" w:after="283"/>
              <w:rPr/>
            </w:pPr>
            <w:hyperlink w:anchor="rom447729_1">
              <w:r>
                <w:rPr>
                  <w:rStyle w:val="InternetLink"/>
                  <w:rFonts w:ascii="Times New Roman" w:hAnsi="Times New Roman"/>
                  <w:sz w:val="20"/>
                </w:rPr>
                <w:t>About This Prospectus</w:t>
              </w:r>
            </w:hyperlink>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786"/>
        <w:gridCol w:w="98"/>
        <w:gridCol w:w="60"/>
        <w:gridCol w:w="140"/>
        <w:gridCol w:w="121"/>
      </w:tblGrid>
      <w:tr>
        <w:trPr/>
        <w:tc>
          <w:tcPr>
            <w:tcW w:w="978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786" w:type="dxa"/>
            <w:tcBorders/>
            <w:shd w:fill="auto" w:val="clear"/>
          </w:tcPr>
          <w:p>
            <w:pPr>
              <w:pStyle w:val="TableContents"/>
              <w:spacing w:before="0" w:after="283"/>
              <w:rPr/>
            </w:pPr>
            <w:hyperlink w:anchor="rom447729_2">
              <w:r>
                <w:rPr>
                  <w:rStyle w:val="InternetLink"/>
                  <w:rFonts w:ascii="Times New Roman" w:hAnsi="Times New Roman"/>
                  <w:sz w:val="20"/>
                </w:rPr>
                <w:t>Where You Can Find More Information</w:t>
              </w:r>
            </w:hyperlink>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740"/>
        <w:gridCol w:w="99"/>
        <w:gridCol w:w="60"/>
        <w:gridCol w:w="185"/>
        <w:gridCol w:w="121"/>
      </w:tblGrid>
      <w:tr>
        <w:trPr/>
        <w:tc>
          <w:tcPr>
            <w:tcW w:w="974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740" w:type="dxa"/>
            <w:tcBorders/>
            <w:shd w:fill="auto" w:val="clear"/>
          </w:tcPr>
          <w:p>
            <w:pPr>
              <w:pStyle w:val="TableContents"/>
              <w:spacing w:before="0" w:after="283"/>
              <w:rPr/>
            </w:pPr>
            <w:hyperlink w:anchor="rom447729_3">
              <w:r>
                <w:rPr>
                  <w:rStyle w:val="InternetLink"/>
                  <w:rFonts w:ascii="Times New Roman" w:hAnsi="Times New Roman"/>
                  <w:sz w:val="20"/>
                </w:rPr>
                <w:t>Forward-Looking Statements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800"/>
        <w:gridCol w:w="99"/>
        <w:gridCol w:w="60"/>
        <w:gridCol w:w="125"/>
        <w:gridCol w:w="121"/>
      </w:tblGrid>
      <w:tr>
        <w:trPr/>
        <w:tc>
          <w:tcPr>
            <w:tcW w:w="980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800" w:type="dxa"/>
            <w:tcBorders/>
            <w:shd w:fill="auto" w:val="clear"/>
          </w:tcPr>
          <w:p>
            <w:pPr>
              <w:pStyle w:val="TableContents"/>
              <w:spacing w:before="0" w:after="283"/>
              <w:rPr/>
            </w:pPr>
            <w:hyperlink w:anchor="rom447729_4">
              <w:r>
                <w:rPr>
                  <w:rStyle w:val="InternetLink"/>
                  <w:rFonts w:ascii="Times New Roman" w:hAnsi="Times New Roman"/>
                  <w:sz w:val="20"/>
                </w:rPr>
                <w:t>Who We Are</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5">
              <w:r>
                <w:rPr>
                  <w:rStyle w:val="InternetLink"/>
                  <w:rFonts w:ascii="Times New Roman" w:hAnsi="Times New Roman"/>
                  <w:sz w:val="20"/>
                </w:rPr>
                <w:t>Risk Factors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6">
              <w:r>
                <w:rPr>
                  <w:rStyle w:val="InternetLink"/>
                  <w:rFonts w:ascii="Times New Roman" w:hAnsi="Times New Roman"/>
                  <w:sz w:val="20"/>
                </w:rPr>
                <w:t>Use of Proceeds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7">
              <w:r>
                <w:rPr>
                  <w:rStyle w:val="InternetLink"/>
                  <w:rFonts w:ascii="Times New Roman" w:hAnsi="Times New Roman"/>
                  <w:sz w:val="20"/>
                </w:rPr>
                <w:t>Ratio of Earnings to Fixed Charges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c>
          <w:tcPr>
            <w:tcW w:w="9800" w:type="dxa"/>
            <w:tcBorders/>
            <w:shd w:fill="auto" w:val="clear"/>
          </w:tcPr>
          <w:p>
            <w:pPr>
              <w:pStyle w:val="TableContents"/>
              <w:spacing w:before="0" w:after="283"/>
              <w:rPr/>
            </w:pPr>
            <w:hyperlink w:anchor="rom447729_8">
              <w:r>
                <w:rPr>
                  <w:rStyle w:val="InternetLink"/>
                  <w:rFonts w:ascii="Times New Roman" w:hAnsi="Times New Roman"/>
                  <w:sz w:val="20"/>
                </w:rPr>
                <w:t>Description of Our Debt Securities</w:t>
              </w:r>
            </w:hyperlink>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9662"/>
        <w:gridCol w:w="128"/>
        <w:gridCol w:w="60"/>
        <w:gridCol w:w="232"/>
        <w:gridCol w:w="123"/>
      </w:tblGrid>
      <w:tr>
        <w:trPr/>
        <w:tc>
          <w:tcPr>
            <w:tcW w:w="966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62" w:type="dxa"/>
            <w:tcBorders/>
            <w:shd w:fill="auto" w:val="clear"/>
          </w:tcPr>
          <w:p>
            <w:pPr>
              <w:pStyle w:val="TableContents"/>
              <w:spacing w:before="0" w:after="283"/>
              <w:rPr/>
            </w:pPr>
            <w:hyperlink w:anchor="rom447729_9">
              <w:r>
                <w:rPr>
                  <w:rStyle w:val="InternetLink"/>
                  <w:rFonts w:ascii="Times New Roman" w:hAnsi="Times New Roman"/>
                  <w:sz w:val="20"/>
                </w:rPr>
                <w:t>Description of Our Common Units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0">
              <w:r>
                <w:rPr>
                  <w:rStyle w:val="InternetLink"/>
                  <w:rFonts w:ascii="Times New Roman" w:hAnsi="Times New Roman"/>
                  <w:sz w:val="20"/>
                </w:rPr>
                <w:t>Cash Distribution Policy</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1">
              <w:r>
                <w:rPr>
                  <w:rStyle w:val="InternetLink"/>
                  <w:rFonts w:ascii="Times New Roman" w:hAnsi="Times New Roman"/>
                  <w:sz w:val="20"/>
                </w:rPr>
                <w:t>Description of Our Partnership Agreement</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2">
              <w:r>
                <w:rPr>
                  <w:rStyle w:val="InternetLink"/>
                  <w:rFonts w:ascii="Times New Roman" w:hAnsi="Times New Roman"/>
                  <w:sz w:val="20"/>
                </w:rPr>
                <w:t>Material U.S. Federal Income Tax Consequences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3">
              <w:r>
                <w:rPr>
                  <w:rStyle w:val="InternetLink"/>
                  <w:rFonts w:ascii="Times New Roman" w:hAnsi="Times New Roman"/>
                  <w:sz w:val="20"/>
                </w:rPr>
                <w:t>Plan of Distribution</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4">
              <w:r>
                <w:rPr>
                  <w:rStyle w:val="InternetLink"/>
                  <w:rFonts w:ascii="Times New Roman" w:hAnsi="Times New Roman"/>
                  <w:sz w:val="20"/>
                </w:rPr>
                <w:t>Legal Matters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662" w:type="dxa"/>
            <w:tcBorders/>
            <w:shd w:fill="auto" w:val="clear"/>
          </w:tcPr>
          <w:p>
            <w:pPr>
              <w:pStyle w:val="TableContents"/>
              <w:spacing w:before="0" w:after="283"/>
              <w:rPr/>
            </w:pPr>
            <w:hyperlink w:anchor="rom447729_15">
              <w:r>
                <w:rPr>
                  <w:rStyle w:val="InternetLink"/>
                  <w:rFonts w:ascii="Times New Roman" w:hAnsi="Times New Roman"/>
                  <w:sz w:val="20"/>
                </w:rPr>
                <w:t>Experts</w:t>
              </w:r>
            </w:hyperlink>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rom447729_1"/>
      <w:bookmarkEnd w:id="3"/>
      <w:r>
        <w:rPr>
          <w:rFonts w:ascii="Times New Roman" w:hAnsi="Times New Roman"/>
          <w:b/>
          <w:sz w:val="20"/>
        </w:rPr>
        <w:t xml:space="preserve">IMPORTANT NOTICE ABOUT INFORMATION IN THIS PROSPECTUS SUPPLEMENT AND THE ACCOMPANYING BASE PROSPECTUS </w:t>
      </w:r>
    </w:p>
    <w:p>
      <w:pPr>
        <w:pStyle w:val="TextBody"/>
        <w:spacing w:before="150" w:after="0"/>
        <w:rPr>
          <w:rFonts w:ascii="Times New Roman" w:hAnsi="Times New Roman"/>
          <w:b/>
          <w:sz w:val="20"/>
        </w:rPr>
      </w:pPr>
      <w:r>
        <w:rPr>
          <w:rFonts w:ascii="Times New Roman" w:hAnsi="Times New Roman"/>
          <w:b/>
          <w:sz w:val="20"/>
        </w:rPr>
        <w:t xml:space="preserve">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 </w:t>
      </w:r>
    </w:p>
    <w:p>
      <w:pPr>
        <w:pStyle w:val="TextBody"/>
        <w:spacing w:before="150" w:after="0"/>
        <w:rPr>
          <w:rFonts w:ascii="Times New Roman" w:hAnsi="Times New Roman"/>
          <w:b/>
          <w:sz w:val="20"/>
        </w:rPr>
      </w:pPr>
      <w:r>
        <w:rPr>
          <w:rFonts w:ascii="Times New Roman" w:hAnsi="Times New Roman"/>
          <w:b/>
          <w:sz w:val="20"/>
        </w:rPr>
        <w:t xml:space="preserve">If the description of the offering varies between the prospectus supplement and the accompanying base prospectus, you should rely on the information in the prospectus supplement. </w:t>
      </w:r>
    </w:p>
    <w:p>
      <w:pPr>
        <w:pStyle w:val="TextBody"/>
        <w:spacing w:before="150" w:after="0"/>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spacing w:before="150" w:after="0"/>
        <w:rPr>
          <w:rFonts w:ascii="Times New Roman" w:hAnsi="Times New Roman"/>
          <w:b/>
          <w:sz w:val="20"/>
        </w:rPr>
      </w:pPr>
      <w:r>
        <w:rPr>
          <w:rFonts w:ascii="Times New Roman" w:hAnsi="Times New Roman"/>
          <w:b/>
          <w:sz w:val="20"/>
        </w:rPr>
        <w:t xml:space="preserve">The information in this prospectus supplement is not complete. You should review carefully all of the detailed information appearing in this prospectus supplement, the accompanying base prospectus and the documents we have incorporated by reference before making any investment decision. </w:t>
      </w:r>
    </w:p>
    <w:p>
      <w:pPr>
        <w:pStyle w:val="TextBody"/>
        <w:spacing w:before="150" w:after="0"/>
        <w:rPr>
          <w:rFonts w:ascii="Times New Roman" w:hAnsi="Times New Roman"/>
          <w:sz w:val="20"/>
        </w:rPr>
      </w:pPr>
      <w:r>
        <w:rPr>
          <w:rFonts w:ascii="Times New Roman" w:hAnsi="Times New Roman"/>
          <w:sz w:val="20"/>
        </w:rPr>
        <w:t xml:space="preserve">We expect delivery of the Notes will be made against payment therefor on or about December     , 2012, which is the              business day following the date of pricing of the Notes (such settlement being referred to as T+        ).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 </w:t>
      </w:r>
    </w:p>
    <w:p>
      <w:pPr>
        <w:pStyle w:val="TextBody"/>
        <w:spacing w:before="150" w:after="0"/>
        <w:jc w:val="center"/>
        <w:rPr>
          <w:rFonts w:ascii="Times New Roman" w:hAnsi="Times New Roman"/>
          <w:b/>
          <w:sz w:val="20"/>
        </w:rPr>
      </w:pPr>
      <w:bookmarkStart w:id="4" w:name="supprom447729_2"/>
      <w:bookmarkEnd w:id="4"/>
      <w:r>
        <w:rPr>
          <w:rFonts w:ascii="Times New Roman" w:hAnsi="Times New Roman"/>
          <w:b/>
          <w:sz w:val="20"/>
        </w:rPr>
        <w:t xml:space="preserve">FORWARD-LOOKING STATEMENTS </w:t>
      </w:r>
    </w:p>
    <w:p>
      <w:pPr>
        <w:pStyle w:val="TextBody"/>
        <w:spacing w:before="150" w:after="0"/>
        <w:rPr>
          <w:rFonts w:ascii="Times New Roman" w:hAnsi="Times New Roman"/>
          <w:sz w:val="20"/>
        </w:rPr>
      </w:pPr>
      <w:r>
        <w:rPr>
          <w:rFonts w:ascii="Times New Roman" w:hAnsi="Times New Roman"/>
          <w:sz w:val="20"/>
        </w:rPr>
        <w:t xml:space="preserve">All statements included or incorporated by reference in this prospectus supplement or the accompanying base prospectus,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5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on page S-6 of this prospectus supplement and in Item 1A. Risk Factors in our Annual Report on Form 10-K for the fiscal year ended December 31, 2011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supprom447729_3"/>
      <w:bookmarkEnd w:id="5"/>
      <w:r>
        <w:rPr>
          <w:rFonts w:ascii="Times New Roman" w:hAnsi="Times New Roman"/>
          <w:b/>
          <w:sz w:val="20"/>
          <w:bdr w:val="single" w:sz="8" w:space="1" w:color="000000"/>
        </w:rPr>
        <w:t xml:space="preserve">PROSPECTUS SUPPLEMENT SUMMARY </w:t>
      </w:r>
    </w:p>
    <w:p>
      <w:pPr>
        <w:pStyle w:val="TextBody"/>
        <w:spacing w:before="150" w:after="0"/>
        <w:rPr>
          <w:rFonts w:ascii="Times New Roman" w:hAnsi="Times New Roman"/>
          <w:sz w:val="20"/>
          <w:bdr w:val="single" w:sz="8" w:space="1" w:color="000000"/>
        </w:rPr>
      </w:pPr>
      <w:r>
        <w:rPr>
          <w:rFonts w:ascii="Times New Roman" w:hAnsi="Times New Roman"/>
          <w:i/>
          <w:sz w:val="20"/>
          <w:bdr w:val="single" w:sz="8" w:space="1" w:color="000000"/>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on page S-</w:t>
      </w:r>
      <w:r>
        <w:rPr>
          <w:rFonts w:ascii="Times New Roman" w:hAnsi="Times New Roman"/>
          <w:sz w:val="20"/>
          <w:bdr w:val="single" w:sz="8" w:space="1" w:color="000000"/>
        </w:rPr>
        <w:t xml:space="preserve">6 </w:t>
      </w:r>
      <w:r>
        <w:rPr>
          <w:rFonts w:ascii="Times New Roman" w:hAnsi="Times New Roman"/>
          <w:i/>
          <w:sz w:val="20"/>
          <w:bdr w:val="single" w:sz="8" w:space="1" w:color="000000"/>
        </w:rPr>
        <w:t xml:space="preserve">of this prospectus supplement and in our Annual Report on Form 10-K for the fiscal year ended December 31, 2011, which is incorporated by reference herein, for information regarding risks you should consider before making a decision to purchase any Notes in this offering. </w:t>
      </w:r>
    </w:p>
    <w:p>
      <w:pPr>
        <w:pStyle w:val="TextBody"/>
        <w:spacing w:before="15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Plains All American Pipeline, L.P.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62% limited partner interest in PNG.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midstream crude oil companies in North America. We have an extensive network of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Activities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Subsequent to the end of the third quarter of 2012, we signed and closed one transaction and signed a definitive agreement for another transaction. These two transactions complement our existing operations and, assuming the second transaction closes, represent a potential aggregate purchase price in the range of $600 million to $650 million.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bdr w:val="single" w:sz="8" w:space="1" w:color="000000"/>
        </w:rPr>
        <w:t>www.paalp.com</w:t>
      </w:r>
      <w:r>
        <w:rPr>
          <w:rFonts w:ascii="Times New Roman" w:hAnsi="Times New Roman"/>
          <w:sz w:val="20"/>
          <w:bdr w:val="single" w:sz="8" w:space="1" w:color="000000"/>
        </w:rPr>
        <w:t xml:space="preserve"> 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150" w:after="0"/>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2011, and our Quarterly Reports on Form 10-Q for the quarterly periods ended March 31, 2012, June 30, 2012 and September 30, 2012, each of which is incorporated by reference herein.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150" w:after="0"/>
        <w:rPr>
          <w:rFonts w:ascii="Times New Roman" w:hAnsi="Times New Roman"/>
          <w:sz w:val="20"/>
          <w:bdr w:val="single" w:sz="8" w:space="1" w:color="000000"/>
        </w:rPr>
      </w:pPr>
      <w:r>
        <w:rPr>
          <w:rFonts w:ascii="Times New Roman" w:hAnsi="Times New Roman"/>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Issuers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Plains All American Pipeline, L.P. and PAA Finance Corp.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vAlign w:val="center"/>
          </w:tcPr>
          <w:p>
            <w:pPr>
              <w:pStyle w:val="TableContents"/>
              <w:spacing w:before="0" w:after="283"/>
              <w:rPr/>
            </w:pPr>
            <w:r>
              <w:rPr/>
              <w:t> </w:t>
            </w:r>
          </w:p>
        </w:tc>
        <w:tc>
          <w:tcPr>
            <w:tcW w:w="58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Future Guarantees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Notes offered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         aggregate principal amount of     % Senior Notes due 2023.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vAlign w:val="center"/>
          </w:tcPr>
          <w:p>
            <w:pPr>
              <w:pStyle w:val="TableContents"/>
              <w:spacing w:before="0" w:after="283"/>
              <w:rPr/>
            </w:pPr>
            <w:r>
              <w:rPr/>
              <w:t> </w:t>
            </w:r>
          </w:p>
        </w:tc>
        <w:tc>
          <w:tcPr>
            <w:tcW w:w="581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         aggregate principal amount of     % Senior Notes due 2043.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Maturity date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2023 Notes: January     , 2023.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vAlign w:val="center"/>
          </w:tcPr>
          <w:p>
            <w:pPr>
              <w:pStyle w:val="TableContents"/>
              <w:spacing w:before="0" w:after="283"/>
              <w:rPr/>
            </w:pPr>
            <w:r>
              <w:rPr/>
              <w:t> </w:t>
            </w:r>
          </w:p>
        </w:tc>
        <w:tc>
          <w:tcPr>
            <w:tcW w:w="581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2043 Notes: January     , 2043.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rate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2023 Notes:     %.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4"/>
        <w:gridCol w:w="5821"/>
      </w:tblGrid>
      <w:tr>
        <w:trPr/>
        <w:tc>
          <w:tcPr>
            <w:tcW w:w="4384" w:type="dxa"/>
            <w:tcBorders/>
            <w:shd w:fill="auto" w:val="clear"/>
            <w:vAlign w:val="center"/>
          </w:tcPr>
          <w:p>
            <w:pPr>
              <w:pStyle w:val="TableContents"/>
              <w:spacing w:before="0" w:after="283"/>
              <w:rPr/>
            </w:pPr>
            <w:r>
              <w:rPr/>
              <w:t> </w:t>
            </w:r>
          </w:p>
        </w:tc>
        <w:tc>
          <w:tcPr>
            <w:tcW w:w="582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2043 Notes:     %.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9"/>
        <w:gridCol w:w="5816"/>
      </w:tblGrid>
      <w:tr>
        <w:trPr/>
        <w:tc>
          <w:tcPr>
            <w:tcW w:w="438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payment dates </w:t>
            </w:r>
          </w:p>
        </w:tc>
        <w:tc>
          <w:tcPr>
            <w:tcW w:w="581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will pay interest on the Notes of each series semi-annually in arrears on January      and July      of each year, beginning on July     , 2013.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Optional redemption </w:t>
            </w:r>
          </w:p>
        </w:tc>
        <w:tc>
          <w:tcPr>
            <w:tcW w:w="581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redeem either or both series of Notes, in whole or in part, at any time and from time to time prior to maturity. If we redeem the 2023 Notes before October     , 2022 (three months prior to their maturity date) or the 2043 Notes before July     , 2042 (six months prior to their maturity date), such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(as defined herein) plus              basis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points for the 2023 Notes and              basis points for the 2043 Notes, in each case, together with accrued interest to the date of redemption. If we redeem the 2023 Notes on or after October     , 2022 (three months prior to their maturity date) or the 2043 Notes on or after July     , 2042 (six months prior to their maturity date), the redemption price will equal 100% of the principal amount of the Notes to be redeemed plus accrued interest to the redemption date. See Description of NotesOptional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Ranking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general senior unsecured obligations of the issuers and will rank equally in right of payment with the existing and future senior indebtedness of the issuers.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Certain covenants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issued under an indenture containing covenants for your benefit. These covenants restrict our ability, with certain exceptions,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305"/>
        <w:gridCol w:w="102"/>
        <w:gridCol w:w="5410"/>
      </w:tblGrid>
      <w:tr>
        <w:trPr/>
        <w:tc>
          <w:tcPr>
            <w:tcW w:w="438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liens on principal properties to secure debt;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306"/>
        <w:gridCol w:w="101"/>
        <w:gridCol w:w="5410"/>
      </w:tblGrid>
      <w:tr>
        <w:trPr/>
        <w:tc>
          <w:tcPr>
            <w:tcW w:w="438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engage in sale-leaseback transactions;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9"/>
        <w:gridCol w:w="305"/>
        <w:gridCol w:w="101"/>
        <w:gridCol w:w="5410"/>
      </w:tblGrid>
      <w:tr>
        <w:trPr/>
        <w:tc>
          <w:tcPr>
            <w:tcW w:w="438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54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merge or consolidate with another entity or sell, lease or transfer substantially all of our properties or assets to another entity.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Description of NotesCovenants.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net proceeds of this offering will be approximately $         million after deducting the underwriting discounts and our estimated offering expenses. We expect to use the net proceeds from this offering to repay outstanding borrowings under our credit facilities and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repaid under our credit facilities may be reborrowed, as necessary, to fund our ongoing expansion capital program, future acquisitions, or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6"/>
        <w:gridCol w:w="5819"/>
      </w:tblGrid>
      <w:tr>
        <w:trPr/>
        <w:tc>
          <w:tcPr>
            <w:tcW w:w="438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Book entry, delivery and form </w:t>
            </w:r>
          </w:p>
        </w:tc>
        <w:tc>
          <w:tcPr>
            <w:tcW w:w="581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of each series will be represented by one or more permanent global certificates in fully registered form deposited with a custodian for, and registered in the name of, a nominee of The Depository Trust Company.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Further issuances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create and issue additional Notes of either series ranking equally and ratably with that same series of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 listing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See Risk FactorsYour ability to transfer the Notes may be limited by the absence of an organized trading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7"/>
        <w:gridCol w:w="5818"/>
      </w:tblGrid>
      <w:tr>
        <w:trPr/>
        <w:tc>
          <w:tcPr>
            <w:tcW w:w="438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Governing law </w:t>
            </w:r>
          </w:p>
        </w:tc>
        <w:tc>
          <w:tcPr>
            <w:tcW w:w="581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New York.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Trustee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U.S. Bank National Association.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Conflicts of interest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proceeds from this offering pursuant to any repayment of borrowings under such facilities. Please read Underwriting (Conflicts of Interest) in this prospectus supplement for further information.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581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Investing in the Notes involves risks. You should consider carefully all of the information in this prospectus supplement, the accompanying base prospectus and the documents incorporated by reference herein and therein. In particular, you should consider carefully the specific risks set forth in Risk Factors beginning on page S-6 of this prospectus supplement and beginning on page 2 of the accompanying base prospectus.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rom447729_4"/>
      <w:bookmarkEnd w:id="6"/>
      <w:r>
        <w:rPr>
          <w:rFonts w:ascii="Times New Roman" w:hAnsi="Times New Roman"/>
          <w:b/>
          <w:sz w:val="20"/>
        </w:rPr>
        <w:t xml:space="preserve">RISK FACTORS </w:t>
      </w:r>
    </w:p>
    <w:p>
      <w:pPr>
        <w:pStyle w:val="TextBody"/>
        <w:spacing w:before="150" w:after="0"/>
        <w:rPr>
          <w:rFonts w:ascii="Times New Roman" w:hAnsi="Times New Roman"/>
          <w:i/>
          <w:sz w:val="20"/>
        </w:rPr>
      </w:pPr>
      <w:r>
        <w:rPr>
          <w:rFonts w:ascii="Times New Roman" w:hAnsi="Times New Roman"/>
          <w:i/>
          <w:sz w:val="20"/>
        </w:rPr>
        <w:t xml:space="preserve">Before making an investment in the Notes offered hereby, you should carefully consider the risk factors included below, as well as the risk factors beginning on page 2 of the accompanying base prospectus and those included in Item 1A. Risk Factors in our Annual Report on Form 10-K for the fiscal year ended December 31, 2011 (File No. 001-14569), which is incorporated by reference herein, together with all of the other information included or incorporated by reference in this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spacing w:before="150" w:after="0"/>
        <w:rPr>
          <w:rFonts w:ascii="Times New Roman" w:hAnsi="Times New Roman"/>
          <w:b/>
          <w:sz w:val="20"/>
        </w:rPr>
      </w:pPr>
      <w:r>
        <w:rPr>
          <w:rFonts w:ascii="Times New Roman" w:hAnsi="Times New Roman"/>
          <w:b/>
          <w:sz w:val="20"/>
        </w:rPr>
        <w:t xml:space="preserve">Risks Related to the Notes </w:t>
      </w:r>
    </w:p>
    <w:p>
      <w:pPr>
        <w:pStyle w:val="TextBody"/>
        <w:spacing w:before="150" w:after="0"/>
        <w:rPr>
          <w:rFonts w:ascii="Times New Roman" w:hAnsi="Times New Roman"/>
          <w:b/>
          <w:i/>
          <w:sz w:val="20"/>
        </w:rPr>
      </w:pPr>
      <w:r>
        <w:rPr>
          <w:rFonts w:ascii="Times New Roman" w:hAnsi="Times New Roman"/>
          <w:b/>
          <w:i/>
          <w:sz w:val="20"/>
        </w:rPr>
        <w:t xml:space="preserve">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50" w:after="0"/>
        <w:rPr>
          <w:rFonts w:ascii="Times New Roman" w:hAnsi="Times New Roman"/>
          <w:sz w:val="20"/>
        </w:rPr>
      </w:pPr>
      <w:r>
        <w:rPr>
          <w:rFonts w:ascii="Times New Roman" w:hAnsi="Times New Roman"/>
          <w:sz w:val="20"/>
        </w:rPr>
        <w:t xml:space="preserve">The Notes are effectively subordinated to claims of our secured creditors and to any existing and future indebtedness and other obligations of our subsidiaries, including trade payables, other than subsidiaries that may guarantee the Notes in the future. As of September 30, 2012, on an as adjusted basis as described under Capitalization, the Notes would have been effectively subordinated to $         million of our short-term secured indebtedness and structurally subordinated to all of our subsidiaries indebtedness, which totaled approximately $375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 </w:t>
      </w:r>
    </w:p>
    <w:p>
      <w:pPr>
        <w:pStyle w:val="TextBody"/>
        <w:spacing w:before="150" w:after="0"/>
        <w:rPr>
          <w:rFonts w:ascii="Times New Roman" w:hAnsi="Times New Roman"/>
          <w:b/>
          <w:i/>
          <w:sz w:val="20"/>
        </w:rPr>
      </w:pPr>
      <w:r>
        <w:rPr>
          <w:rFonts w:ascii="Times New Roman" w:hAnsi="Times New Roman"/>
          <w:b/>
          <w:i/>
          <w:sz w:val="20"/>
        </w:rPr>
        <w:t xml:space="preserve">Our leverage may limit our ability to borrow additional funds, comply with the terms of our indebtedness or capitalize on business opportunities. </w:t>
      </w:r>
    </w:p>
    <w:p>
      <w:pPr>
        <w:pStyle w:val="TextBody"/>
        <w:spacing w:before="150" w:after="0"/>
        <w:rPr>
          <w:rFonts w:ascii="Times New Roman" w:hAnsi="Times New Roman"/>
          <w:sz w:val="20"/>
        </w:rPr>
      </w:pPr>
      <w:r>
        <w:rPr>
          <w:rFonts w:ascii="Times New Roman" w:hAnsi="Times New Roman"/>
          <w:sz w:val="20"/>
        </w:rPr>
        <w:t xml:space="preserve">Our leverage is significant in relation to our partners capital. As of September 30, 2012, on an as adjusted basis as described under Capitalization, our total outstanding long-term debt was approximately $         billion, and our total outstanding short-term debt was approximately $         billion.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50" w:after="0"/>
        <w:rPr>
          <w:rFonts w:ascii="Times New Roman" w:hAnsi="Times New Roman"/>
          <w:sz w:val="20"/>
        </w:rPr>
      </w:pPr>
      <w:r>
        <w:rPr>
          <w:rFonts w:ascii="Times New Roman" w:hAnsi="Times New Roman"/>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of each series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spacing w:before="150" w:after="0"/>
        <w:rPr>
          <w:rFonts w:ascii="Times New Roman" w:hAnsi="Times New Roman"/>
          <w:sz w:val="20"/>
        </w:rPr>
      </w:pPr>
      <w:r>
        <w:rPr>
          <w:rFonts w:ascii="Times New Roman" w:hAnsi="Times New Roman"/>
          <w:sz w:val="20"/>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150" w:after="0"/>
        <w:rPr>
          <w:rFonts w:ascii="Times New Roman" w:hAnsi="Times New Roman"/>
          <w:b/>
          <w:i/>
          <w:sz w:val="20"/>
        </w:rPr>
      </w:pPr>
      <w:r>
        <w:rPr>
          <w:rFonts w:ascii="Times New Roman" w:hAnsi="Times New Roman"/>
          <w:b/>
          <w:i/>
          <w:sz w:val="20"/>
        </w:rPr>
        <w:t xml:space="preserve">Your ability to transfer the Notes may be limited by the absence of an organized trading market. </w:t>
      </w:r>
    </w:p>
    <w:p>
      <w:pPr>
        <w:pStyle w:val="TextBody"/>
        <w:spacing w:before="150" w:after="0"/>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of each series, they are not obligated to do so. In addition, the underwriters may discontinue any such market making at any time without notice. The liquidity of any market for the Notes of either series will depend on the number of holders of the Notes, the interest of securities dealers in making a market in those Notes and other factors. Accordingly, we can give no assurance as to the development, continuation or liquidity of any market for the Notes of either series. </w:t>
      </w:r>
    </w:p>
    <w:p>
      <w:pPr>
        <w:pStyle w:val="TextBody"/>
        <w:spacing w:before="150" w:after="0"/>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t>
      </w:r>
    </w:p>
    <w:p>
      <w:pPr>
        <w:pStyle w:val="TextBody"/>
        <w:spacing w:before="150" w:after="0"/>
        <w:rPr>
          <w:rFonts w:ascii="Times New Roman" w:hAnsi="Times New Roman"/>
          <w:sz w:val="20"/>
        </w:rPr>
      </w:pPr>
      <w:r>
        <w:rPr>
          <w:rFonts w:ascii="Times New Roman" w:hAnsi="Times New Roman"/>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of either series, we may be required to adopt one or more alternatives, such as a refinancing of such Notes. We cannot assure you that we would be able to refinance the Notes of either series. </w:t>
      </w:r>
    </w:p>
    <w:p>
      <w:pPr>
        <w:pStyle w:val="TextBody"/>
        <w:spacing w:before="150" w:after="0"/>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of either series or to repay them at maturity. </w:t>
      </w:r>
    </w:p>
    <w:p>
      <w:pPr>
        <w:pStyle w:val="TextBody"/>
        <w:spacing w:before="150" w:after="0"/>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proper conduct of our business and the businesses of our operating partnerships (including reserves for future capital expenditures and for our anticipated future credit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funds for distributions to our unitholders and the general partner for any one or more of the next four calendar quarters;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spacing w:before="150" w:after="0"/>
        <w:rPr>
          <w:rFonts w:ascii="Times New Roman" w:hAnsi="Times New Roman"/>
          <w:sz w:val="20"/>
        </w:rPr>
      </w:pPr>
      <w:r>
        <w:rPr>
          <w:rFonts w:ascii="Times New Roman" w:hAnsi="Times New Roman"/>
          <w:sz w:val="20"/>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rom447729_5"/>
      <w:bookmarkEnd w:id="7"/>
      <w:r>
        <w:rPr>
          <w:rFonts w:ascii="Times New Roman" w:hAnsi="Times New Roman"/>
          <w:b/>
          <w:sz w:val="20"/>
        </w:rPr>
        <w:t xml:space="preserve">USE OF PROCEEDS </w:t>
      </w:r>
    </w:p>
    <w:p>
      <w:pPr>
        <w:pStyle w:val="TextBody"/>
        <w:spacing w:before="150" w:after="0"/>
        <w:rPr>
          <w:rFonts w:ascii="Times New Roman" w:hAnsi="Times New Roman"/>
          <w:sz w:val="20"/>
        </w:rPr>
      </w:pPr>
      <w:r>
        <w:rPr>
          <w:rFonts w:ascii="Times New Roman" w:hAnsi="Times New Roman"/>
          <w:sz w:val="20"/>
        </w:rPr>
        <w:t xml:space="preserve">The net proceeds of this offering will be approximately $         million after deducting the underwriting discounts and our estimated offering expenses. We expect to use the net proceeds from this offering to repay outstanding borrowings under our credit facilities and for general partnership purposes. Amounts repaid under our credit facilities may be reborrowed, as necessary, to fund our ongoing expansion capital program, future acquisitions, or for general partnership purposes. </w:t>
      </w:r>
    </w:p>
    <w:p>
      <w:pPr>
        <w:pStyle w:val="TextBody"/>
        <w:spacing w:before="150" w:after="0"/>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net proceeds from this offering pursuant to the repayment of borrowings under such facilities. Please read Underwriting (Conflicts of Interest) in this prospectus supplement for further information. </w:t>
      </w:r>
    </w:p>
    <w:p>
      <w:pPr>
        <w:pStyle w:val="TextBody"/>
        <w:spacing w:before="150" w:after="0"/>
        <w:rPr>
          <w:rFonts w:ascii="Times New Roman" w:hAnsi="Times New Roman"/>
          <w:sz w:val="20"/>
        </w:rPr>
      </w:pPr>
      <w:r>
        <w:rPr>
          <w:rFonts w:ascii="Times New Roman" w:hAnsi="Times New Roman"/>
          <w:sz w:val="20"/>
        </w:rPr>
        <w:t xml:space="preserve">As of November 30, 2012, we had approximately $76 million and $945 million of debt outstanding under our revolving credit facility and our senior secured hedged inventory facility, respectively, with a weighted average interest rate of approximately 2.4% and 1.6%, respectively. Our revolving credit facility matures in August 2016 and our senior secured hedged inventory facility matures in August 2014.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rom447729_6"/>
      <w:bookmarkEnd w:id="8"/>
      <w:r>
        <w:rPr>
          <w:rFonts w:ascii="Times New Roman" w:hAnsi="Times New Roman"/>
          <w:b/>
          <w:sz w:val="20"/>
        </w:rPr>
        <w:t xml:space="preserve">RATIO OF EARNINGS TO FIXED CHARGES </w:t>
      </w:r>
    </w:p>
    <w:p>
      <w:pPr>
        <w:pStyle w:val="TextBody"/>
        <w:spacing w:before="15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0"/>
        <w:gridCol w:w="415"/>
        <w:gridCol w:w="850"/>
        <w:gridCol w:w="415"/>
        <w:gridCol w:w="682"/>
        <w:gridCol w:w="415"/>
        <w:gridCol w:w="682"/>
        <w:gridCol w:w="415"/>
        <w:gridCol w:w="682"/>
        <w:gridCol w:w="415"/>
        <w:gridCol w:w="682"/>
        <w:gridCol w:w="415"/>
        <w:gridCol w:w="687"/>
      </w:tblGrid>
      <w:tr>
        <w:trPr/>
        <w:tc>
          <w:tcPr>
            <w:tcW w:w="345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850"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Nine Months</w:t>
              <w:br/>
              <w:t>Ended</w:t>
              <w:br/>
              <w:t>September 30,</w:t>
              <w:br/>
              <w:t>2012</w:t>
            </w:r>
          </w:p>
        </w:tc>
        <w:tc>
          <w:tcPr>
            <w:tcW w:w="415" w:type="dxa"/>
            <w:tcBorders/>
            <w:shd w:fill="auto" w:val="clear"/>
            <w:vAlign w:val="bottom"/>
          </w:tcPr>
          <w:p>
            <w:pPr>
              <w:pStyle w:val="TableContents"/>
              <w:spacing w:before="0" w:after="283"/>
              <w:rPr/>
            </w:pPr>
            <w:r>
              <w:rPr/>
              <w:t> </w:t>
            </w:r>
          </w:p>
        </w:tc>
        <w:tc>
          <w:tcPr>
            <w:tcW w:w="5075"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r>
      <w:tr>
        <w:trPr/>
        <w:tc>
          <w:tcPr>
            <w:tcW w:w="3450"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850" w:type="dxa"/>
            <w:vMerge w:val="continue"/>
            <w:tcBorders>
              <w:bottom w:val="single" w:sz="2" w:space="0" w:color="000000"/>
            </w:tcBorders>
            <w:shd w:fill="auto" w:val="clear"/>
            <w:tcMar>
              <w:bottom w:w="28" w:type="dxa"/>
            </w:tcMar>
            <w:vAlign w:val="bottom"/>
          </w:tcPr>
          <w:p>
            <w:pPr>
              <w:pStyle w:val="Normal"/>
              <w:rPr/>
            </w:pPr>
            <w:r>
              <w:rPr/>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415"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41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2007    </w:t>
            </w:r>
          </w:p>
        </w:tc>
      </w:tr>
      <w:tr>
        <w:trPr/>
        <w:tc>
          <w:tcPr>
            <w:tcW w:w="3450"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41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3.91x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4.13x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2.57x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3.00x</w:t>
            </w:r>
          </w:p>
        </w:tc>
        <w:tc>
          <w:tcPr>
            <w:tcW w:w="41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2.60x</w:t>
            </w:r>
          </w:p>
        </w:tc>
        <w:tc>
          <w:tcPr>
            <w:tcW w:w="41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2.45x</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$9 million for the nine months ended September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rom447729_7"/>
      <w:bookmarkEnd w:id="9"/>
      <w:r>
        <w:rPr>
          <w:rFonts w:ascii="Times New Roman" w:hAnsi="Times New Roman"/>
          <w:b/>
          <w:sz w:val="20"/>
        </w:rPr>
        <w:t xml:space="preserve">CAPITALIZATION </w:t>
      </w:r>
    </w:p>
    <w:p>
      <w:pPr>
        <w:pStyle w:val="TextBody"/>
        <w:spacing w:before="150" w:after="0"/>
        <w:rPr>
          <w:rFonts w:ascii="Times New Roman" w:hAnsi="Times New Roman"/>
          <w:sz w:val="20"/>
        </w:rPr>
      </w:pPr>
      <w:r>
        <w:rPr>
          <w:rFonts w:ascii="Times New Roman" w:hAnsi="Times New Roman"/>
          <w:sz w:val="20"/>
        </w:rPr>
        <w:t xml:space="preserve">The following table sets forth our capitalization as of September 30, 2012: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historical basis;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adjusted basis to give effect to the sale of the Notes offered hereby and the application of the net proceeds therefrom as described under Use of Proceeds in this prospectus supplement. </w:t>
            </w:r>
          </w:p>
        </w:tc>
      </w:tr>
    </w:tbl>
    <w:p>
      <w:pPr>
        <w:pStyle w:val="TextBody"/>
        <w:spacing w:before="150" w:after="0"/>
        <w:rPr>
          <w:rFonts w:ascii="Times New Roman" w:hAnsi="Times New Roman"/>
          <w:sz w:val="20"/>
        </w:rPr>
      </w:pPr>
      <w:r>
        <w:rPr>
          <w:rFonts w:ascii="Times New Roman" w:hAnsi="Times New Roman"/>
          <w:sz w:val="20"/>
        </w:rPr>
        <w:t xml:space="preserve">This table should also be read in conjunction with our financial statements and the notes thereto that are incorporated by reference into this prospectus supplement. As of November 30, 2012, we had approximately $76 million, $945 million and $387 million of borrowings outstanding under our PAA revolving credit facility, our PAA senior secured hedged inventory facility and the PNG credit facilities,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19"/>
        <w:gridCol w:w="106"/>
        <w:gridCol w:w="60"/>
        <w:gridCol w:w="1506"/>
        <w:gridCol w:w="120"/>
        <w:gridCol w:w="106"/>
        <w:gridCol w:w="60"/>
        <w:gridCol w:w="1506"/>
        <w:gridCol w:w="122"/>
      </w:tblGrid>
      <w:tr>
        <w:trPr/>
        <w:tc>
          <w:tcPr>
            <w:tcW w:w="661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661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3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September 30, 2012</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5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5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Adjusted</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358"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c>
          <w:tcPr>
            <w:tcW w:w="122" w:type="dxa"/>
            <w:tcBorders/>
            <w:shd w:fill="auto" w:val="clear"/>
            <w:vAlign w:val="bottom"/>
          </w:tcPr>
          <w:p>
            <w:pPr>
              <w:pStyle w:val="TableContents"/>
              <w:spacing w:before="0" w:after="283"/>
              <w:rPr/>
            </w:pPr>
            <w:r>
              <w:rPr/>
              <w:t> </w:t>
            </w:r>
          </w:p>
        </w:tc>
      </w:tr>
      <w:tr>
        <w:trPr/>
        <w:tc>
          <w:tcPr>
            <w:tcW w:w="6619"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pPr>
            <w:r>
              <w:rPr/>
              <w:t>     </w:t>
            </w:r>
            <w:r>
              <w:rPr>
                <w:rFonts w:ascii="Times New Roman" w:hAnsi="Times New Roman"/>
                <w:sz w:val="20"/>
              </w:rPr>
              <w:t>$                     32</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pPr>
            <w:r>
              <w:rPr/>
              <w:t>     </w:t>
            </w:r>
            <w:r>
              <w:rPr>
                <w:rFonts w:ascii="Times New Roman" w:hAnsi="Times New Roman"/>
                <w:sz w:val="20"/>
              </w:rPr>
              <w:t>$                     32</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b/>
                <w:sz w:val="20"/>
              </w:rPr>
            </w:pPr>
            <w:r>
              <w:rPr>
                <w:rFonts w:ascii="Times New Roman" w:hAnsi="Times New Roman"/>
                <w:b/>
                <w:sz w:val="20"/>
              </w:rPr>
              <w:t>SHORT-TERM DEBT</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PAA senior secured hedged inventory facility</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694</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PAA senior unsecured revolving credit facility (1)</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PNG senior unsecured revolving credit facility (2)</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834</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rHeight w:val="195" w:hRule="atLeast"/>
        </w:trPr>
        <w:tc>
          <w:tcPr>
            <w:tcW w:w="6619"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r>
      <w:tr>
        <w:trPr/>
        <w:tc>
          <w:tcPr>
            <w:tcW w:w="6619" w:type="dxa"/>
            <w:tcBorders/>
            <w:shd w:fill="auto" w:val="clear"/>
          </w:tcPr>
          <w:p>
            <w:pPr>
              <w:pStyle w:val="TableContents"/>
              <w:spacing w:before="0" w:after="283"/>
              <w:rPr>
                <w:rFonts w:ascii="Times New Roman" w:hAnsi="Times New Roman"/>
                <w:b/>
                <w:sz w:val="20"/>
              </w:rPr>
            </w:pPr>
            <w:r>
              <w:rPr>
                <w:rFonts w:ascii="Times New Roman" w:hAnsi="Times New Roman"/>
                <w:b/>
                <w:sz w:val="20"/>
              </w:rPr>
              <w:t>LONG-TERM DEBT</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Senior notes, net of unamortized discounts</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5,511</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5,511</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2023 Notes offered hereby, net of unamortized discount</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2043 Notes offered hereby, net of unamortized discount</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06" w:type="dxa"/>
            <w:tcBorders/>
            <w:shd w:fill="CCEEFF" w:val="clear"/>
            <w:vAlign w:val="bottom"/>
          </w:tcPr>
          <w:p>
            <w:pPr>
              <w:pStyle w:val="TableContents"/>
              <w:spacing w:before="0" w:after="283"/>
              <w:rPr>
                <w:sz w:val="4"/>
                <w:szCs w:val="4"/>
              </w:rPr>
            </w:pPr>
            <w:r>
              <w:rPr>
                <w:sz w:val="4"/>
                <w:szCs w:val="4"/>
              </w:rPr>
            </w:r>
          </w:p>
        </w:tc>
        <w:tc>
          <w:tcPr>
            <w:tcW w:w="122" w:type="dxa"/>
            <w:tcBorders/>
            <w:shd w:fill="CCEEFF" w:val="clear"/>
            <w:vAlign w:val="bottom"/>
          </w:tcPr>
          <w:p>
            <w:pPr>
              <w:pStyle w:val="TableContents"/>
              <w:spacing w:before="0" w:after="283"/>
              <w:rPr>
                <w:sz w:val="4"/>
                <w:szCs w:val="4"/>
              </w:rPr>
            </w:pPr>
            <w:r>
              <w:rPr>
                <w:sz w:val="4"/>
                <w:szCs w:val="4"/>
              </w:rPr>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under credit facilities and other</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long-term debt</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5,811</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rHeight w:val="195" w:hRule="atLeast"/>
        </w:trPr>
        <w:tc>
          <w:tcPr>
            <w:tcW w:w="6619" w:type="dxa"/>
            <w:tcBorders/>
            <w:shd w:fill="auto" w:val="clear"/>
            <w:vAlign w:val="center"/>
          </w:tcPr>
          <w:p>
            <w:pPr>
              <w:pStyle w:val="TableContents"/>
              <w:spacing w:before="0" w:after="283"/>
              <w:rPr>
                <w:sz w:val="4"/>
                <w:szCs w:val="4"/>
              </w:rPr>
            </w:pPr>
            <w:r>
              <w:rPr>
                <w:sz w:val="4"/>
                <w:szCs w:val="4"/>
              </w:rPr>
            </w:r>
          </w:p>
        </w:tc>
        <w:tc>
          <w:tcPr>
            <w:tcW w:w="1792" w:type="dxa"/>
            <w:gridSpan w:val="4"/>
            <w:tcBorders/>
            <w:shd w:fill="auto" w:val="clear"/>
            <w:vAlign w:val="center"/>
          </w:tcPr>
          <w:p>
            <w:pPr>
              <w:pStyle w:val="TableContents"/>
              <w:spacing w:before="0" w:after="283"/>
              <w:rPr>
                <w:sz w:val="4"/>
                <w:szCs w:val="4"/>
              </w:rPr>
            </w:pPr>
            <w:r>
              <w:rPr>
                <w:sz w:val="4"/>
                <w:szCs w:val="4"/>
              </w:rPr>
            </w:r>
          </w:p>
        </w:tc>
        <w:tc>
          <w:tcPr>
            <w:tcW w:w="1794" w:type="dxa"/>
            <w:gridSpan w:val="4"/>
            <w:tcBorders/>
            <w:shd w:fill="auto" w:val="clear"/>
            <w:vAlign w:val="center"/>
          </w:tcPr>
          <w:p>
            <w:pPr>
              <w:pStyle w:val="TableContents"/>
              <w:spacing w:before="0" w:after="283"/>
              <w:rPr>
                <w:sz w:val="4"/>
                <w:szCs w:val="4"/>
              </w:rPr>
            </w:pPr>
            <w:r>
              <w:rPr>
                <w:sz w:val="4"/>
                <w:szCs w:val="4"/>
              </w:rPr>
            </w:r>
          </w:p>
        </w:tc>
      </w:tr>
      <w:tr>
        <w:trPr/>
        <w:tc>
          <w:tcPr>
            <w:tcW w:w="6619"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6"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Common unitholders</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6,183</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6,183</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6,420</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6,420</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6,925</w:t>
            </w:r>
          </w:p>
        </w:tc>
        <w:tc>
          <w:tcPr>
            <w:tcW w:w="12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6,925</w:t>
            </w:r>
          </w:p>
        </w:tc>
        <w:tc>
          <w:tcPr>
            <w:tcW w:w="122" w:type="dxa"/>
            <w:tcBorders/>
            <w:shd w:fill="CCEEFF"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506"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12,736</w:t>
            </w:r>
          </w:p>
        </w:tc>
        <w:tc>
          <w:tcPr>
            <w:tcW w:w="12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auto" w:val="clear"/>
            <w:vAlign w:val="bottom"/>
          </w:tcPr>
          <w:p>
            <w:pPr>
              <w:pStyle w:val="TableContents"/>
              <w:spacing w:before="0" w:after="283"/>
              <w:rPr/>
            </w:pPr>
            <w:r>
              <w:rPr/>
              <w:t>  </w:t>
            </w:r>
          </w:p>
        </w:tc>
      </w:tr>
      <w:tr>
        <w:trPr/>
        <w:tc>
          <w:tcPr>
            <w:tcW w:w="661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506"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classify as short-term certain borrowings under the PAA senior unsecured revolving credit facility. These borrowings are primarily designated as working capital borrowings, must be repaid within one year and are primarily for hedged NGL and crude oil inventory and NYMEX and ICE margin deposits.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PNG classifies as short-term any borrowings under the PNG senior unsecured credit facility that have been designated as working capital borrowings and must be repaid within one year. Such borrowings are primarily related to a portion of PNGs hedged natural gas inventory.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rom447729_8"/>
      <w:bookmarkEnd w:id="10"/>
      <w:r>
        <w:rPr>
          <w:rFonts w:ascii="Times New Roman" w:hAnsi="Times New Roman"/>
          <w:b/>
          <w:sz w:val="20"/>
        </w:rPr>
        <w:t xml:space="preserve">DESCRIPTION OF NOTES </w:t>
      </w:r>
    </w:p>
    <w:p>
      <w:pPr>
        <w:pStyle w:val="TextBody"/>
        <w:spacing w:before="150" w:after="0"/>
        <w:rPr>
          <w:rFonts w:ascii="Times New Roman" w:hAnsi="Times New Roman"/>
          <w:sz w:val="20"/>
        </w:rPr>
      </w:pPr>
      <w:r>
        <w:rPr>
          <w:rFonts w:ascii="Times New Roman" w:hAnsi="Times New Roman"/>
          <w:sz w:val="20"/>
        </w:rPr>
        <w:t xml:space="preserve">We will issue the Notes under an indenture (the Base Indenture) dated as of September 25, 2002, among us, the subsidiary guarantors and U.S. Bank National Association, as successor trustee, and a supplemental indenture thereto with respect to each series of the Notes to be dated as of December     , 2012 (each such supplemental indenture, together with the Base Indenture, the Indenture). Each series of the Notes will constitute a new series of debt securities under the Indenture, and 13 other series are now outstanding under the Base Indenture, each issued under a separate supplemental indenture. </w:t>
      </w:r>
    </w:p>
    <w:p>
      <w:pPr>
        <w:pStyle w:val="TextBody"/>
        <w:spacing w:before="150" w:after="0"/>
        <w:rPr>
          <w:rFonts w:ascii="Times New Roman" w:hAnsi="Times New Roman"/>
          <w:sz w:val="20"/>
        </w:rPr>
      </w:pPr>
      <w:r>
        <w:rPr>
          <w:rFonts w:ascii="Times New Roman" w:hAnsi="Times New Roman"/>
          <w:sz w:val="20"/>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 </w:t>
      </w:r>
    </w:p>
    <w:p>
      <w:pPr>
        <w:pStyle w:val="TextBody"/>
        <w:spacing w:before="150" w:after="0"/>
        <w:rPr>
          <w:rFonts w:ascii="Times New Roman" w:hAnsi="Times New Roman"/>
          <w:sz w:val="20"/>
        </w:rPr>
      </w:pPr>
      <w:r>
        <w:rPr>
          <w:rFonts w:ascii="Times New Roman" w:hAnsi="Times New Roman"/>
          <w:sz w:val="20"/>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w:t>
      </w:r>
    </w:p>
    <w:p>
      <w:pPr>
        <w:pStyle w:val="TextBody"/>
        <w:spacing w:before="150" w:after="0"/>
        <w:rPr>
          <w:rFonts w:ascii="Times New Roman" w:hAnsi="Times New Roman"/>
          <w:sz w:val="20"/>
        </w:rPr>
      </w:pPr>
      <w:r>
        <w:rPr>
          <w:rFonts w:ascii="Times New Roman" w:hAnsi="Times New Roman"/>
          <w:sz w:val="20"/>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 </w:t>
      </w:r>
    </w:p>
    <w:p>
      <w:pPr>
        <w:pStyle w:val="TextBody"/>
        <w:spacing w:before="150" w:after="0"/>
        <w:rPr>
          <w:rFonts w:ascii="Times New Roman" w:hAnsi="Times New Roman"/>
          <w:b/>
          <w:sz w:val="20"/>
        </w:rPr>
      </w:pPr>
      <w:r>
        <w:rPr>
          <w:rFonts w:ascii="Times New Roman" w:hAnsi="Times New Roman"/>
          <w:b/>
          <w:sz w:val="20"/>
        </w:rPr>
        <w:t xml:space="preserve">General Description of Each Series of the Notes </w:t>
      </w:r>
    </w:p>
    <w:p>
      <w:pPr>
        <w:pStyle w:val="TextBody"/>
        <w:spacing w:before="150" w:after="0"/>
        <w:rPr>
          <w:rFonts w:ascii="Times New Roman" w:hAnsi="Times New Roman"/>
          <w:sz w:val="20"/>
        </w:rPr>
      </w:pPr>
      <w:r>
        <w:rPr>
          <w:rFonts w:ascii="Times New Roman" w:hAnsi="Times New Roman"/>
          <w:sz w:val="20"/>
        </w:rPr>
        <w:t xml:space="preserve">The Notes of each series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senior unsecured indebtedness ranking equally in right of payment with all of our existing and future unsubordinated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new series of debt securities issued under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non-recourse to our general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in right of payment to any of our future 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any of our existing and future secured indebtedness, to the extent of the security for that debt;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existing and future indebtedness and other obligations of our subsidiaries, including trade payables, other than subsidiaries that may guarantee such Notes in the future. </w:t>
            </w:r>
          </w:p>
        </w:tc>
      </w:tr>
    </w:tbl>
    <w:p>
      <w:pPr>
        <w:pStyle w:val="TextBody"/>
        <w:spacing w:before="150" w:after="0"/>
        <w:rPr>
          <w:rFonts w:ascii="Times New Roman" w:hAnsi="Times New Roman"/>
          <w:sz w:val="20"/>
        </w:rPr>
      </w:pPr>
      <w:r>
        <w:rPr>
          <w:rFonts w:ascii="Times New Roman" w:hAnsi="Times New Roman"/>
          <w:sz w:val="20"/>
        </w:rPr>
        <w:t xml:space="preserve">As of September 30, 2012, on an as adjusted basis as described under Capitalization, the Notes would have been effectively subordinated to $        million of short-term secured indebtedness and structurally subordinated to all of our subsidiaries outstanding indebtedness, which totaled approximately $375 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Indenture does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 </w:t>
      </w:r>
    </w:p>
    <w:p>
      <w:pPr>
        <w:pStyle w:val="TextBody"/>
        <w:spacing w:before="150" w:after="0"/>
        <w:rPr>
          <w:rFonts w:ascii="Times New Roman" w:hAnsi="Times New Roman"/>
          <w:b/>
          <w:sz w:val="20"/>
        </w:rPr>
      </w:pPr>
      <w:r>
        <w:rPr>
          <w:rFonts w:ascii="Times New Roman" w:hAnsi="Times New Roman"/>
          <w:b/>
          <w:sz w:val="20"/>
        </w:rPr>
        <w:t xml:space="preserve">Further Issuances </w:t>
      </w:r>
    </w:p>
    <w:p>
      <w:pPr>
        <w:pStyle w:val="TextBody"/>
        <w:spacing w:before="150" w:after="0"/>
        <w:rPr>
          <w:rFonts w:ascii="Times New Roman" w:hAnsi="Times New Roman"/>
          <w:sz w:val="20"/>
        </w:rPr>
      </w:pPr>
      <w:r>
        <w:rPr>
          <w:rFonts w:ascii="Times New Roman" w:hAnsi="Times New Roman"/>
          <w:sz w:val="20"/>
        </w:rPr>
        <w:t xml:space="preserve">We may, from time to time, without notice to or the consent of the holders of the Notes of either series, create and issue additional Notes of the same series ranking equally and ratably with that same series of Notes in all respects, so that such additional Notes form a single series with such Notes and have the same terms as to status, redemption or otherwise as such Notes (except for the issue date, the initial payment date, if applicable, and the payment of interest accruing prior to the issue date of such additional Notes). </w:t>
      </w:r>
    </w:p>
    <w:p>
      <w:pPr>
        <w:pStyle w:val="TextBody"/>
        <w:spacing w:before="150" w:after="0"/>
        <w:rPr>
          <w:rFonts w:ascii="Times New Roman" w:hAnsi="Times New Roman"/>
          <w:b/>
          <w:sz w:val="20"/>
        </w:rPr>
      </w:pPr>
      <w:r>
        <w:rPr>
          <w:rFonts w:ascii="Times New Roman" w:hAnsi="Times New Roman"/>
          <w:b/>
          <w:sz w:val="20"/>
        </w:rPr>
        <w:t xml:space="preserve">Principal, Maturity and Interest </w:t>
      </w:r>
    </w:p>
    <w:p>
      <w:pPr>
        <w:pStyle w:val="TextBody"/>
        <w:spacing w:before="150" w:after="0"/>
        <w:rPr>
          <w:rFonts w:ascii="Times New Roman" w:hAnsi="Times New Roman"/>
          <w:sz w:val="20"/>
        </w:rPr>
      </w:pPr>
      <w:r>
        <w:rPr>
          <w:rFonts w:ascii="Times New Roman" w:hAnsi="Times New Roman"/>
          <w:sz w:val="20"/>
        </w:rPr>
        <w:t xml:space="preserve">We will issue the Notes in an initial aggregate principal amount of $        million, consisting of $        million aggregate principal amount of the    % Senior Notes due 2023 and $        million aggregate principal amount of the     % Senior Notes due 2043. The 2023 Notes will mature on January    , 2023, and the 2043 Notes will mature on January     , 2043. The 2023 Notes will bear interest at the annual rate of     %, and the 2043 Notes will bear interest at the annual rate of     %. Interest on each series of the Notes will accrue from December    , 2012 and will be payable semi-annually in arrears on January    and July    of each year, beginning July    , 2013. We will make each interest payment to the holders of record at the close of business on the              and              preceding such interest payment dates. Interest will be computed on the basis of a 360-day year consisting of twelve 30-day months. We will issue the Notes in minimum denominations of $2,000 and integral multiples of $1,000 in excess thereof. </w:t>
      </w:r>
    </w:p>
    <w:p>
      <w:pPr>
        <w:pStyle w:val="TextBody"/>
        <w:spacing w:before="180" w:after="0"/>
        <w:rPr>
          <w:rFonts w:ascii="Times New Roman" w:hAnsi="Times New Roman"/>
          <w:sz w:val="20"/>
        </w:rPr>
      </w:pPr>
      <w:r>
        <w:rPr>
          <w:rFonts w:ascii="Times New Roman" w:hAnsi="Times New Roman"/>
          <w:sz w:val="20"/>
        </w:rPr>
        <w:t xml:space="preserve">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 </w:t>
      </w:r>
    </w:p>
    <w:p>
      <w:pPr>
        <w:pStyle w:val="TextBody"/>
        <w:spacing w:before="150" w:after="0"/>
        <w:rPr>
          <w:rFonts w:ascii="Times New Roman" w:hAnsi="Times New Roman"/>
          <w:b/>
          <w:sz w:val="20"/>
        </w:rPr>
      </w:pPr>
      <w:r>
        <w:rPr>
          <w:rFonts w:ascii="Times New Roman" w:hAnsi="Times New Roman"/>
          <w:b/>
          <w:sz w:val="20"/>
        </w:rPr>
        <w:t xml:space="preserve">No Liability of General Partner </w:t>
      </w:r>
    </w:p>
    <w:p>
      <w:pPr>
        <w:pStyle w:val="TextBody"/>
        <w:spacing w:before="150" w:after="0"/>
        <w:rPr>
          <w:rFonts w:ascii="Times New Roman" w:hAnsi="Times New Roman"/>
          <w:sz w:val="20"/>
        </w:rPr>
      </w:pPr>
      <w:r>
        <w:rPr>
          <w:rFonts w:ascii="Times New Roman" w:hAnsi="Times New Roman"/>
          <w:sz w:val="20"/>
        </w:rPr>
        <w:t xml:space="preserve">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150" w:after="0"/>
        <w:rPr>
          <w:rFonts w:ascii="Times New Roman" w:hAnsi="Times New Roman"/>
          <w:b/>
          <w:sz w:val="20"/>
        </w:rPr>
      </w:pPr>
      <w:r>
        <w:rPr>
          <w:rFonts w:ascii="Times New Roman" w:hAnsi="Times New Roman"/>
          <w:b/>
          <w:sz w:val="20"/>
        </w:rPr>
        <w:t xml:space="preserve">Possible Future Guarantees </w:t>
      </w:r>
    </w:p>
    <w:p>
      <w:pPr>
        <w:pStyle w:val="TextBody"/>
        <w:spacing w:before="150" w:after="0"/>
        <w:rPr>
          <w:rFonts w:ascii="Times New Roman" w:hAnsi="Times New Roman"/>
          <w:sz w:val="20"/>
        </w:rPr>
      </w:pPr>
      <w:r>
        <w:rPr>
          <w:rFonts w:ascii="Times New Roman" w:hAnsi="Times New Roman"/>
          <w:sz w:val="20"/>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spacing w:before="150" w:after="0"/>
        <w:rPr>
          <w:rFonts w:ascii="Times New Roman" w:hAnsi="Times New Roman"/>
          <w:sz w:val="20"/>
        </w:rPr>
      </w:pPr>
      <w:r>
        <w:rPr>
          <w:rFonts w:ascii="Times New Roman" w:hAnsi="Times New Roman"/>
          <w:sz w:val="20"/>
        </w:rPr>
        <w:t xml:space="preserve">Provided that no default shall have occurred and shall be continuing under the Indenture, a future subsidiary guarantor will be unconditionally released and discharged from its guarantee: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of our direct or indirect equity interests in that subsidiary guarantor to any person that is not our affiliate;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following delivery of a written notice of the release from the guarantee by us to the trustee, upon the release of all guarantees by the subsidiary guarantor of any debt of ours (other than debt securities issued under the Indenture). </w:t>
            </w:r>
          </w:p>
        </w:tc>
      </w:tr>
    </w:tbl>
    <w:p>
      <w:pPr>
        <w:pStyle w:val="TextBody"/>
        <w:spacing w:before="150" w:after="0"/>
        <w:rPr>
          <w:rFonts w:ascii="Times New Roman" w:hAnsi="Times New Roman"/>
          <w:b/>
          <w:sz w:val="20"/>
        </w:rPr>
      </w:pPr>
      <w:r>
        <w:rPr>
          <w:rFonts w:ascii="Times New Roman" w:hAnsi="Times New Roman"/>
          <w:b/>
          <w:sz w:val="20"/>
        </w:rPr>
        <w:t xml:space="preserve">Optional Redemption </w:t>
      </w:r>
    </w:p>
    <w:p>
      <w:pPr>
        <w:pStyle w:val="TextBody"/>
        <w:spacing w:before="150" w:after="0"/>
        <w:rPr>
          <w:rFonts w:ascii="Times New Roman" w:hAnsi="Times New Roman"/>
          <w:sz w:val="20"/>
        </w:rPr>
      </w:pPr>
      <w:r>
        <w:rPr>
          <w:rFonts w:ascii="Times New Roman" w:hAnsi="Times New Roman"/>
          <w:sz w:val="20"/>
        </w:rPr>
        <w:t xml:space="preserve">The Notes will be redeemable, in whole or in part, at our option at any time and from time to time prior to maturity. If we redeem the 2023 Notes before October     , 2022 (three months prior to their maturity date) or the 2043 Notes before July     , 2042 (six months prior to their maturity date), such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basis points for the 2023 Notes and             basis points for the 2043 Notes, in each case together with accrued interest to the date of redemption. </w:t>
      </w:r>
    </w:p>
    <w:p>
      <w:pPr>
        <w:pStyle w:val="TextBody"/>
        <w:spacing w:before="150" w:after="0"/>
        <w:rPr>
          <w:rFonts w:ascii="Times New Roman" w:hAnsi="Times New Roman"/>
          <w:sz w:val="20"/>
        </w:rPr>
      </w:pPr>
      <w:r>
        <w:rPr>
          <w:rFonts w:ascii="Times New Roman" w:hAnsi="Times New Roman"/>
          <w:sz w:val="20"/>
        </w:rPr>
        <w:t xml:space="preserve">If we redeem the 2023 Notes on or after October     , 2022 (three months prior to their maturity date) or the 2043 Notes on or after July     , 2042 (six months prior to their maturity date), the redemption price will equal 100% of the principal amount of the Notes to be redeemed plus accrued interest to the redemption date.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Adjusted Treasury Rate</w:t>
      </w:r>
      <w:r>
        <w:rPr>
          <w:rFonts w:ascii="Times New Roman" w:hAnsi="Times New Roman"/>
          <w:sz w:val="20"/>
        </w:rPr>
        <w:t xml:space="preserve">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Comparable Treasury Issue</w:t>
      </w:r>
      <w:r>
        <w:rPr>
          <w:rFonts w:ascii="Times New Roman" w:hAnsi="Times New Roman"/>
          <w:sz w:val="20"/>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Comparable Treasury Price</w:t>
      </w:r>
      <w:r>
        <w:rPr>
          <w:rFonts w:ascii="Times New Roman" w:hAnsi="Times New Roman"/>
          <w:sz w:val="20"/>
        </w:rPr>
        <w:t xml:space="preserv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Quotation Agent</w:t>
      </w:r>
      <w:r>
        <w:rPr>
          <w:rFonts w:ascii="Times New Roman" w:hAnsi="Times New Roman"/>
          <w:sz w:val="20"/>
        </w:rPr>
        <w:t xml:space="preserve"> means a Primary Treasury Dealer (as defined below) appointed by us.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Reference Treasury Dealer</w:t>
      </w:r>
      <w:r>
        <w:rPr>
          <w:rFonts w:ascii="Times New Roman" w:hAnsi="Times New Roman"/>
          <w:sz w:val="20"/>
        </w:rPr>
        <w:t xml:space="preserve"> means each of Barclays Capital Inc., Citigroup Global Markets Inc., UBS Securities LLC and a Primary Treasury Dealer (as defined below) selected by each of Wells Fargo Securities, LLC and SunTrust Robinson Humphrey, Inc. and each of their successors; provided, however, that if any of the foregoing shall cease to be a primary U.S. government securities dealer in the United States (a Primary Treasury Dealer), we shall substitute another Primary Treasury Dealer.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Reference Treasury Dealer Quotations</w:t>
      </w:r>
      <w:r>
        <w:rPr>
          <w:rFonts w:ascii="Times New Roman" w:hAnsi="Times New Roman"/>
          <w:sz w:val="20"/>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50" w:after="0"/>
        <w:rPr>
          <w:rFonts w:ascii="Times New Roman" w:hAnsi="Times New Roman"/>
          <w:sz w:val="20"/>
        </w:rPr>
      </w:pPr>
      <w:r>
        <w:rPr>
          <w:rFonts w:ascii="Times New Roman" w:hAnsi="Times New Roman"/>
          <w:sz w:val="20"/>
        </w:rPr>
        <w:t xml:space="preserve">Unless we default in payment of the redemption price, on and after the date of redemption, interest will cease to accrue on the Notes or portions thereof called for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On or before a redemption date, we will deposit with a paying agent (or with the trustee) sufficient money to pay the redemption price and accrued interest on the Notes to be redeemed. </w:t>
      </w:r>
    </w:p>
    <w:p>
      <w:pPr>
        <w:pStyle w:val="TextBody"/>
        <w:spacing w:before="150" w:after="0"/>
        <w:rPr>
          <w:rFonts w:ascii="Times New Roman" w:hAnsi="Times New Roman"/>
          <w:sz w:val="20"/>
        </w:rPr>
      </w:pPr>
      <w:r>
        <w:rPr>
          <w:rFonts w:ascii="Times New Roman" w:hAnsi="Times New Roman"/>
          <w:sz w:val="20"/>
        </w:rPr>
        <w:t xml:space="preserve">If less than all of the Notes of either series are to be redeemed at any time, the trustee will select Notes (or any portion of Notes in integral multiples of $1,000) for redemption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listed, in compliance with the requirements of the principal national securities exchange on which such Notes are listed;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not so listed or there are no such requirements, on a pro rata basis, by lot or by such method as the trustee shall deem fair and appropriate. </w:t>
            </w:r>
          </w:p>
        </w:tc>
      </w:tr>
    </w:tbl>
    <w:p>
      <w:pPr>
        <w:pStyle w:val="TextBody"/>
        <w:spacing w:before="150" w:after="0"/>
        <w:rPr>
          <w:rFonts w:ascii="Times New Roman" w:hAnsi="Times New Roman"/>
          <w:sz w:val="20"/>
        </w:rPr>
      </w:pPr>
      <w:r>
        <w:rPr>
          <w:rFonts w:ascii="Times New Roman" w:hAnsi="Times New Roman"/>
          <w:sz w:val="20"/>
        </w:rPr>
        <w:t xml:space="preserve">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150" w:after="0"/>
        <w:rPr>
          <w:rFonts w:ascii="Times New Roman" w:hAnsi="Times New Roman"/>
          <w:b/>
          <w:sz w:val="20"/>
        </w:rPr>
      </w:pPr>
      <w:r>
        <w:rPr>
          <w:rFonts w:ascii="Times New Roman" w:hAnsi="Times New Roman"/>
          <w:b/>
          <w:sz w:val="20"/>
        </w:rPr>
        <w:t xml:space="preserve">Events of Default </w:t>
      </w:r>
    </w:p>
    <w:p>
      <w:pPr>
        <w:pStyle w:val="TextBody"/>
        <w:spacing w:before="150" w:after="0"/>
        <w:rPr>
          <w:rFonts w:ascii="Times New Roman" w:hAnsi="Times New Roman"/>
          <w:sz w:val="20"/>
        </w:rPr>
      </w:pPr>
      <w:r>
        <w:rPr>
          <w:rFonts w:ascii="Times New Roman" w:hAnsi="Times New Roman"/>
          <w:sz w:val="20"/>
        </w:rPr>
        <w:t xml:space="preserve">Each of the following is an Event of Default with respect to the Notes of either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payment when due of the principal of or any premium on any Note of that series at maturity, upon redemption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for 60 days in the payment when due of interest on any Note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us or, if and so long as the Notes of that series are guaranteed by a subsidiary guarantor, by such subsidiary guarantor, for 90 days after receipt of notice from the trustee or the holders to comply with any other term, covenant or warranty in the Indenture or such Notes (provided that notice need not be given, and an Event of Default will occur, 90 days after any breach of the covenants described under Consolidation, Merger or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specified events in bankruptcy, insolvency or reorganization of us or, if and so long as the Notes of that series are guaranteed by a subsidiary guarantor, by such subsidiary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713"/>
        <w:gridCol w:w="306"/>
        <w:gridCol w:w="101"/>
        <w:gridCol w:w="9085"/>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6"/>
        <w:gridCol w:w="102"/>
        <w:gridCol w:w="9083"/>
      </w:tblGrid>
      <w:tr>
        <w:trPr/>
        <w:tc>
          <w:tcPr>
            <w:tcW w:w="71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150" w:after="0"/>
        <w:rPr>
          <w:rFonts w:ascii="Times New Roman" w:hAnsi="Times New Roman"/>
          <w:sz w:val="20"/>
        </w:rPr>
      </w:pPr>
      <w:r>
        <w:rPr>
          <w:rFonts w:ascii="Times New Roman" w:hAnsi="Times New Roman"/>
          <w:sz w:val="20"/>
        </w:rPr>
        <w:t xml:space="preserve">An Event of Default regarding the Notes of either series will not necessarily constitute an Event of Default for the Notes of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to be due and payable immediately. </w:t>
      </w:r>
    </w:p>
    <w:p>
      <w:pPr>
        <w:pStyle w:val="TextBody"/>
        <w:spacing w:before="150" w:after="0"/>
        <w:rPr>
          <w:rFonts w:ascii="Times New Roman" w:hAnsi="Times New Roman"/>
          <w:sz w:val="20"/>
        </w:rPr>
      </w:pPr>
      <w:r>
        <w:rPr>
          <w:rFonts w:ascii="Times New Roman" w:hAnsi="Times New Roman"/>
          <w:sz w:val="20"/>
        </w:rPr>
        <w:t xml:space="preserve">Within five days after any of our officers becomes aware of the occurrence of any Default (meaning an event that is, or after the giving of notice or passage of time or both would be, an Event of Default) or Event of Default with respect to the Notes,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spacing w:before="150" w:after="0"/>
        <w:rPr>
          <w:rFonts w:ascii="Times New Roman" w:hAnsi="Times New Roman"/>
          <w:sz w:val="20"/>
        </w:rPr>
      </w:pPr>
      <w:r>
        <w:rPr>
          <w:rFonts w:ascii="Times New Roman" w:hAnsi="Times New Roman"/>
          <w:sz w:val="20"/>
        </w:rPr>
        <w:t xml:space="preserve">If a Default with respect to the Notes of either series occurs and is continuing and is known to the trustee, the trustee must mail to each holder of such series of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 </w:t>
      </w:r>
    </w:p>
    <w:p>
      <w:pPr>
        <w:pStyle w:val="TextBody"/>
        <w:spacing w:before="150" w:after="0"/>
        <w:rPr>
          <w:rFonts w:ascii="Times New Roman" w:hAnsi="Times New Roman"/>
          <w:b/>
          <w:sz w:val="20"/>
        </w:rPr>
      </w:pPr>
      <w:r>
        <w:rPr>
          <w:rFonts w:ascii="Times New Roman" w:hAnsi="Times New Roman"/>
          <w:b/>
          <w:sz w:val="20"/>
        </w:rPr>
        <w:t xml:space="preserve">Consolidation, Merger or Sale </w:t>
      </w:r>
    </w:p>
    <w:p>
      <w:pPr>
        <w:pStyle w:val="TextBody"/>
        <w:spacing w:before="150" w:after="0"/>
        <w:rPr>
          <w:rFonts w:ascii="Times New Roman" w:hAnsi="Times New Roman"/>
          <w:sz w:val="20"/>
        </w:rPr>
      </w:pPr>
      <w:r>
        <w:rPr>
          <w:rFonts w:ascii="Times New Roman" w:hAnsi="Times New Roman"/>
          <w:sz w:val="20"/>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are the surviving Person in the case of a merger, or the surviving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102"/>
        <w:gridCol w:w="9084"/>
      </w:tblGrid>
      <w:tr>
        <w:trPr/>
        <w:tc>
          <w:tcPr>
            <w:tcW w:w="713"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08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50" w:after="0"/>
        <w:rPr>
          <w:rFonts w:ascii="Times New Roman" w:hAnsi="Times New Roman"/>
          <w:sz w:val="20"/>
        </w:rPr>
      </w:pPr>
      <w:r>
        <w:rPr>
          <w:rFonts w:ascii="Times New Roman" w:hAnsi="Times New Roman"/>
          <w:sz w:val="20"/>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150" w:after="0"/>
        <w:rPr>
          <w:rFonts w:ascii="Times New Roman" w:hAnsi="Times New Roman"/>
          <w:b/>
          <w:sz w:val="20"/>
        </w:rPr>
      </w:pPr>
      <w:r>
        <w:rPr>
          <w:rFonts w:ascii="Times New Roman" w:hAnsi="Times New Roman"/>
          <w:b/>
          <w:sz w:val="20"/>
        </w:rPr>
        <w:t xml:space="preserve">Modification of the Indenture </w:t>
      </w:r>
    </w:p>
    <w:p>
      <w:pPr>
        <w:pStyle w:val="TextBody"/>
        <w:spacing w:before="150" w:after="0"/>
        <w:rPr>
          <w:rFonts w:ascii="Times New Roman" w:hAnsi="Times New Roman"/>
          <w:sz w:val="20"/>
        </w:rPr>
      </w:pPr>
      <w:r>
        <w:rPr>
          <w:rFonts w:ascii="Times New Roman" w:hAnsi="Times New Roman"/>
          <w:sz w:val="20"/>
        </w:rPr>
        <w:t xml:space="preserve">Generally, we, any subsidiary guarantors and the trustee may amend or supplement the Indenture, any guarantees and the Notes with respect to each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Notes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other provisions with respect to the redemption of any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release any security that may have been granted with respect to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note payable in currency other than that stated in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Notes to receive payments of principal of or premium, if any, or interest on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subsidiary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paragraph, without the consent of any holder of Notes, we, any subsidiary guarantors and the trustee may amend or supplement the Indenture or the Notes with respect to each series of the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certificated Notes;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our or the confirmation of any subsidiary guarantors obligations to holders of Notes in the case of a merger or consolidation or sale of all or substantially all of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subsidiary guarantors as permitted pursuant to the terms of the Indenture (see Possible Future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Notes that do not, taken as a whole, adversely affect the rights under the Indenture of any holder of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Notes and/or any guarantees;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or terms of any other series of debt securities under the Base Indenture. </w:t>
            </w:r>
          </w:p>
        </w:tc>
      </w:tr>
    </w:tbl>
    <w:p>
      <w:pPr>
        <w:pStyle w:val="TextBody"/>
        <w:spacing w:before="150" w:after="0"/>
        <w:rPr>
          <w:rFonts w:ascii="Times New Roman" w:hAnsi="Times New Roman"/>
          <w:b/>
          <w:sz w:val="20"/>
        </w:rPr>
      </w:pPr>
      <w:r>
        <w:rPr>
          <w:rFonts w:ascii="Times New Roman" w:hAnsi="Times New Roman"/>
          <w:b/>
          <w:sz w:val="20"/>
        </w:rPr>
        <w:t xml:space="preserve">Covenants </w:t>
      </w:r>
    </w:p>
    <w:p>
      <w:pPr>
        <w:pStyle w:val="TextBody"/>
        <w:spacing w:before="150" w:after="0"/>
        <w:rPr>
          <w:rFonts w:ascii="Times New Roman" w:hAnsi="Times New Roman"/>
          <w:b/>
          <w:i/>
          <w:sz w:val="20"/>
        </w:rPr>
      </w:pPr>
      <w:r>
        <w:rPr>
          <w:rFonts w:ascii="Times New Roman" w:hAnsi="Times New Roman"/>
          <w:b/>
          <w:i/>
          <w:sz w:val="20"/>
        </w:rPr>
        <w:t xml:space="preserve">Limitations on Liens </w:t>
      </w:r>
    </w:p>
    <w:p>
      <w:pPr>
        <w:pStyle w:val="TextBody"/>
        <w:spacing w:before="150" w:after="0"/>
        <w:rPr>
          <w:rFonts w:ascii="Times New Roman" w:hAnsi="Times New Roman"/>
          <w:sz w:val="20"/>
        </w:rPr>
      </w:pPr>
      <w:r>
        <w:rPr>
          <w:rFonts w:ascii="Times New Roman" w:hAnsi="Times New Roman"/>
          <w:sz w:val="20"/>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Permitted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of our property or assets or the property or assets of any Restricted Subsidiary in existence on December 10, 2003 or provided for pursuant to agreements existing on December 10, 2003;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resulting from the deposit of moneys or evidence of indebtedness in trust for the purpose of defeasing our debt or debt of any Restricted Subsidiary.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 </w:t>
      </w:r>
    </w:p>
    <w:p>
      <w:pPr>
        <w:pStyle w:val="TextBody"/>
        <w:spacing w:before="150" w:after="0"/>
        <w:rPr>
          <w:rFonts w:ascii="Times New Roman" w:hAnsi="Times New Roman"/>
          <w:b/>
          <w:i/>
          <w:sz w:val="20"/>
        </w:rPr>
      </w:pPr>
      <w:r>
        <w:rPr>
          <w:rFonts w:ascii="Times New Roman" w:hAnsi="Times New Roman"/>
          <w:b/>
          <w:i/>
          <w:sz w:val="20"/>
        </w:rPr>
        <w:t xml:space="preserve">Limitations on Sale-Leasebacks </w:t>
      </w:r>
    </w:p>
    <w:p>
      <w:pPr>
        <w:pStyle w:val="TextBody"/>
        <w:spacing w:before="150" w:after="0"/>
        <w:rPr>
          <w:rFonts w:ascii="Times New Roman" w:hAnsi="Times New Roman"/>
          <w:sz w:val="20"/>
        </w:rPr>
      </w:pPr>
      <w:r>
        <w:rPr>
          <w:rFonts w:ascii="Times New Roman" w:hAnsi="Times New Roman"/>
          <w:sz w:val="20"/>
        </w:rPr>
        <w:t xml:space="preserve">We will not, and will not permit any Subsidiary to, engage in a Sale-leaseback Transaction,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0"/>
        <w:gridCol w:w="9496"/>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Sale-leaseback Transaction involves a lease for a period, including renewals, of not more than three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50" w:after="0"/>
        <w:rPr>
          <w:rFonts w:ascii="Times New Roman" w:hAnsi="Times New Roman"/>
          <w:sz w:val="20"/>
        </w:rPr>
      </w:pPr>
      <w:r>
        <w:rPr>
          <w:rFonts w:ascii="Times New Roman" w:hAnsi="Times New Roman"/>
          <w:sz w:val="20"/>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SEC Reports </w:t>
      </w:r>
    </w:p>
    <w:p>
      <w:pPr>
        <w:pStyle w:val="TextBody"/>
        <w:spacing w:before="150" w:after="0"/>
        <w:rPr>
          <w:rFonts w:ascii="Times New Roman" w:hAnsi="Times New Roman"/>
          <w:sz w:val="20"/>
        </w:rPr>
      </w:pPr>
      <w:r>
        <w:rPr>
          <w:rFonts w:ascii="Times New Roman" w:hAnsi="Times New Roman"/>
          <w:sz w:val="20"/>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50" w:after="0"/>
        <w:rPr>
          <w:rFonts w:ascii="Times New Roman" w:hAnsi="Times New Roman"/>
          <w:sz w:val="20"/>
        </w:rPr>
      </w:pPr>
      <w:r>
        <w:rPr>
          <w:rFonts w:ascii="Times New Roman" w:hAnsi="Times New Roman"/>
          <w:sz w:val="20"/>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50" w:after="0"/>
        <w:rPr>
          <w:rFonts w:ascii="Times New Roman" w:hAnsi="Times New Roman"/>
          <w:b/>
          <w:sz w:val="20"/>
        </w:rPr>
      </w:pPr>
      <w:r>
        <w:rPr>
          <w:rFonts w:ascii="Times New Roman" w:hAnsi="Times New Roman"/>
          <w:b/>
          <w:sz w:val="20"/>
        </w:rPr>
        <w:t xml:space="preserve">Defeasance and Discharge </w:t>
      </w:r>
    </w:p>
    <w:p>
      <w:pPr>
        <w:pStyle w:val="TextBody"/>
        <w:spacing w:before="150" w:after="0"/>
        <w:rPr>
          <w:rFonts w:ascii="Times New Roman" w:hAnsi="Times New Roman"/>
          <w:sz w:val="20"/>
        </w:rPr>
      </w:pPr>
      <w:r>
        <w:rPr>
          <w:rFonts w:ascii="Times New Roman" w:hAnsi="Times New Roman"/>
          <w:sz w:val="20"/>
        </w:rPr>
        <w:t xml:space="preserve">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such Notes. </w:t>
      </w:r>
    </w:p>
    <w:p>
      <w:pPr>
        <w:pStyle w:val="TextBody"/>
        <w:spacing w:before="150" w:after="0"/>
        <w:rPr>
          <w:rFonts w:ascii="Times New Roman" w:hAnsi="Times New Roman"/>
          <w:sz w:val="20"/>
        </w:rPr>
      </w:pPr>
      <w:r>
        <w:rPr>
          <w:rFonts w:ascii="Times New Roman" w:hAnsi="Times New Roman"/>
          <w:sz w:val="20"/>
        </w:rPr>
        <w:t xml:space="preserve">Also, at any time we may terminate our obligations under covenants described in the first paragraph of Possible Future Guarantees, under Covenants and under SEC Reports with respect to the Notes of the defeased series (covenant defeasance), and thereafter our failure to comply with any of such covenants would not constitute an Event of Default with respect to that series. </w:t>
      </w:r>
    </w:p>
    <w:p>
      <w:pPr>
        <w:pStyle w:val="TextBody"/>
        <w:spacing w:before="150" w:after="0"/>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any guarantee obligation will be deemed to have been discharged with respect to the Notes of the defeased series. </w:t>
      </w:r>
    </w:p>
    <w:p>
      <w:pPr>
        <w:pStyle w:val="TextBody"/>
        <w:spacing w:before="150" w:after="0"/>
        <w:rPr>
          <w:rFonts w:ascii="Times New Roman" w:hAnsi="Times New Roman"/>
          <w:sz w:val="20"/>
        </w:rPr>
      </w:pPr>
      <w:r>
        <w:rPr>
          <w:rFonts w:ascii="Times New Roman" w:hAnsi="Times New Roman"/>
          <w:sz w:val="20"/>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50" w:after="0"/>
        <w:rPr>
          <w:rFonts w:ascii="Times New Roman" w:hAnsi="Times New Roman"/>
          <w:sz w:val="20"/>
        </w:rPr>
      </w:pPr>
      <w:r>
        <w:rPr>
          <w:rFonts w:ascii="Times New Roman" w:hAnsi="Times New Roman"/>
          <w:sz w:val="20"/>
        </w:rPr>
        <w:t xml:space="preserve">In the event of any legal defeasance, holders of the Notes of the defeased series would be entitled to look only to the trust for payment of principal of and any premium and interest on their Notes until maturity. </w:t>
      </w:r>
    </w:p>
    <w:p>
      <w:pPr>
        <w:pStyle w:val="TextBody"/>
        <w:spacing w:before="150" w:after="0"/>
        <w:rPr>
          <w:rFonts w:ascii="Times New Roman" w:hAnsi="Times New Roman"/>
          <w:sz w:val="20"/>
        </w:rPr>
      </w:pPr>
      <w:r>
        <w:rPr>
          <w:rFonts w:ascii="Times New Roman" w:hAnsi="Times New Roman"/>
          <w:sz w:val="20"/>
        </w:rPr>
        <w:t xml:space="preserve">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we may satisfy and discharge all our obligations under the Indenture with respect to either series of the Notes, other than certain obligations to the trustee and our obligation to register the transfer of or exchange the Notes, provided that we either: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deliver all outstanding Notes of the applicable series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w:t>
            </w:r>
          </w:p>
        </w:tc>
      </w:tr>
    </w:tbl>
    <w:p>
      <w:pPr>
        <w:pStyle w:val="TextBody"/>
        <w:spacing w:before="150" w:after="0"/>
        <w:rPr>
          <w:rFonts w:ascii="Times New Roman" w:hAnsi="Times New Roman"/>
          <w:sz w:val="20"/>
        </w:rPr>
      </w:pPr>
      <w:r>
        <w:rPr>
          <w:rFonts w:ascii="Times New Roman" w:hAnsi="Times New Roman"/>
          <w:sz w:val="20"/>
        </w:rPr>
        <w:t xml:space="preserve">and comply with the other requirements of the Indenture in relation to satisfaction and discharge. </w:t>
      </w:r>
    </w:p>
    <w:p>
      <w:pPr>
        <w:pStyle w:val="TextBody"/>
        <w:spacing w:before="150" w:after="0"/>
        <w:rPr>
          <w:rFonts w:ascii="Times New Roman" w:hAnsi="Times New Roman"/>
          <w:b/>
          <w:sz w:val="20"/>
        </w:rPr>
      </w:pPr>
      <w:r>
        <w:rPr>
          <w:rFonts w:ascii="Times New Roman" w:hAnsi="Times New Roman"/>
          <w:b/>
          <w:sz w:val="20"/>
        </w:rPr>
        <w:t xml:space="preserve">Definitions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Attributable Indebtedness</w:t>
      </w:r>
      <w:r>
        <w:rPr>
          <w:rFonts w:ascii="Times New Roman" w:hAnsi="Times New Roman"/>
          <w:sz w:val="20"/>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Capital Interests</w:t>
      </w:r>
      <w:r>
        <w:rPr>
          <w:rFonts w:ascii="Times New Roman" w:hAnsi="Times New Roman"/>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after deducting therefrom: </w:t>
      </w:r>
    </w:p>
    <w:p>
      <w:pPr>
        <w:pStyle w:val="TextBody"/>
        <w:spacing w:before="150" w:after="0"/>
        <w:rPr>
          <w:rFonts w:ascii="Times New Roman" w:hAnsi="Times New Roman"/>
          <w:sz w:val="20"/>
        </w:rPr>
      </w:pPr>
      <w:r>
        <w:rPr>
          <w:rFonts w:ascii="Times New Roman" w:hAnsi="Times New Roman"/>
          <w:sz w:val="20"/>
        </w:rPr>
        <w:t xml:space="preserve">(1)    all current liabilities excluding: </w:t>
      </w:r>
    </w:p>
    <w:p>
      <w:pPr>
        <w:pStyle w:val="TextBody"/>
        <w:spacing w:before="150" w:after="0"/>
        <w:rPr>
          <w:rFonts w:ascii="Times New Roman" w:hAnsi="Times New Roman"/>
          <w:sz w:val="20"/>
        </w:rPr>
      </w:pPr>
      <w:r>
        <w:rPr>
          <w:rFonts w:ascii="Times New Roman" w:hAnsi="Times New Roman"/>
          <w:sz w:val="20"/>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50" w:after="0"/>
        <w:rPr>
          <w:rFonts w:ascii="Times New Roman" w:hAnsi="Times New Roman"/>
          <w:sz w:val="20"/>
        </w:rPr>
      </w:pPr>
      <w:r>
        <w:rPr>
          <w:rFonts w:ascii="Times New Roman" w:hAnsi="Times New Roman"/>
          <w:sz w:val="20"/>
        </w:rPr>
        <w:t xml:space="preserve">(b)    current maturities of long-term debt; and </w:t>
      </w:r>
    </w:p>
    <w:p>
      <w:pPr>
        <w:pStyle w:val="TextBody"/>
        <w:spacing w:before="150" w:after="0"/>
        <w:rPr>
          <w:rFonts w:ascii="Times New Roman" w:hAnsi="Times New Roman"/>
          <w:sz w:val="20"/>
        </w:rPr>
      </w:pPr>
      <w:r>
        <w:rPr>
          <w:rFonts w:ascii="Times New Roman" w:hAnsi="Times New Roman"/>
          <w:sz w:val="20"/>
        </w:rPr>
        <w:t xml:space="preserve">(2)    the amount, net of any applicable reserves, of all goodwill, trade names, trademarks, patents and other like intangible assets, </w:t>
      </w:r>
    </w:p>
    <w:p>
      <w:pPr>
        <w:pStyle w:val="TextBody"/>
        <w:spacing w:before="150" w:after="0"/>
        <w:rPr>
          <w:rFonts w:ascii="Times New Roman" w:hAnsi="Times New Roman"/>
          <w:sz w:val="20"/>
        </w:rPr>
      </w:pPr>
      <w:r>
        <w:rPr>
          <w:rFonts w:ascii="Times New Roman" w:hAnsi="Times New Roman"/>
          <w:sz w:val="20"/>
        </w:rPr>
        <w:t xml:space="preserve">all as set forth on the consolidated balance sheet of Plains All American Pipeline for its most recently completed fiscal quarter, prepared in accordance with generally accepted accounting principles.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Funded Debt</w:t>
      </w:r>
      <w:r>
        <w:rPr>
          <w:rFonts w:ascii="Times New Roman" w:hAnsi="Times New Roman"/>
          <w:sz w:val="20"/>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the date on which the Notes are initially issued.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Managing General Partner</w:t>
      </w:r>
      <w:r>
        <w:rPr>
          <w:rFonts w:ascii="Times New Roman" w:hAnsi="Times New Roman"/>
          <w:sz w:val="20"/>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Pari Passu Debt</w:t>
      </w:r>
      <w:r>
        <w:rPr>
          <w:rFonts w:ascii="Times New Roman" w:hAnsi="Times New Roman"/>
          <w:sz w:val="20"/>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Permitted Liens</w:t>
      </w:r>
      <w:r>
        <w:rPr>
          <w:rFonts w:ascii="Times New Roman" w:hAnsi="Times New Roman"/>
          <w:sz w:val="20"/>
        </w:rPr>
        <w:t xml:space="preserve"> means: </w:t>
      </w:r>
    </w:p>
    <w:p>
      <w:pPr>
        <w:pStyle w:val="TextBody"/>
        <w:spacing w:before="15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15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5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5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us or any Restricted Subsidiary in good faith; </w:t>
      </w:r>
    </w:p>
    <w:p>
      <w:pPr>
        <w:pStyle w:val="TextBody"/>
        <w:spacing w:before="15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15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150" w:after="0"/>
        <w:rPr>
          <w:rFonts w:ascii="Times New Roman" w:hAnsi="Times New Roman"/>
          <w:sz w:val="20"/>
        </w:rPr>
      </w:pPr>
      <w:r>
        <w:rPr>
          <w:rFonts w:ascii="Times New Roman" w:hAnsi="Times New Roman"/>
          <w:sz w:val="20"/>
        </w:rPr>
        <w:t xml:space="preserve">(7)    any lien upon property or assets acquired or sold by us or any Restricted Subsidiary resulting from the exercise of any rights arising out of defaults on receivables; </w:t>
      </w:r>
    </w:p>
    <w:p>
      <w:pPr>
        <w:pStyle w:val="TextBody"/>
        <w:spacing w:before="15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50" w:after="0"/>
        <w:rPr>
          <w:rFonts w:ascii="Times New Roman" w:hAnsi="Times New Roman"/>
          <w:sz w:val="20"/>
        </w:rPr>
      </w:pPr>
      <w:r>
        <w:rPr>
          <w:rFonts w:ascii="Times New Roman" w:hAnsi="Times New Roman"/>
          <w:sz w:val="20"/>
        </w:rPr>
        <w:t xml:space="preserve">(9)    any lien in favor of us or any Restricted Subsidiary; </w:t>
      </w:r>
    </w:p>
    <w:p>
      <w:pPr>
        <w:pStyle w:val="TextBody"/>
        <w:spacing w:before="15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5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150" w:after="0"/>
        <w:rPr>
          <w:rFonts w:ascii="Times New Roman" w:hAnsi="Times New Roman"/>
          <w:sz w:val="20"/>
        </w:rPr>
      </w:pPr>
      <w:r>
        <w:rPr>
          <w:rFonts w:ascii="Times New Roman" w:hAnsi="Times New Roman"/>
          <w:sz w:val="20"/>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5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5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15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50" w:after="0"/>
        <w:rPr>
          <w:rFonts w:ascii="Times New Roman" w:hAnsi="Times New Roman"/>
          <w:sz w:val="20"/>
        </w:rPr>
      </w:pPr>
      <w:r>
        <w:rPr>
          <w:rFonts w:ascii="Times New Roman" w:hAnsi="Times New Roman"/>
          <w:sz w:val="20"/>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5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5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Principal Property</w:t>
      </w:r>
      <w:r>
        <w:rPr>
          <w:rFonts w:ascii="Times New Roman" w:hAnsi="Times New Roman"/>
          <w:sz w:val="20"/>
        </w:rPr>
        <w:t xml:space="preserve"> means, whether owned or leased on the Issue Date or thereafter acquired: </w:t>
      </w:r>
    </w:p>
    <w:p>
      <w:pPr>
        <w:pStyle w:val="TextBody"/>
        <w:spacing w:before="150" w:after="0"/>
        <w:rPr>
          <w:rFonts w:ascii="Times New Roman" w:hAnsi="Times New Roman"/>
          <w:sz w:val="20"/>
        </w:rPr>
      </w:pPr>
      <w:r>
        <w:rPr>
          <w:rFonts w:ascii="Times New Roman" w:hAnsi="Times New Roman"/>
          <w:sz w:val="20"/>
        </w:rPr>
        <w:t xml:space="preserve">(1)    any of the pipeline assets of Plains All American Pipeline or the pipeline assets of any Subsidiary of Plains All American Pipeline, including any related facilities employed in the transportation,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terminalling, gathering, treating, processing, marketing or storage of crude oil or refined petroleum products, natural gas, natural gas liquids, fuel additives or petrochemicals; and </w:t>
      </w:r>
    </w:p>
    <w:p>
      <w:pPr>
        <w:pStyle w:val="TextBody"/>
        <w:spacing w:before="150" w:after="0"/>
        <w:rPr>
          <w:rFonts w:ascii="Times New Roman" w:hAnsi="Times New Roman"/>
          <w:sz w:val="20"/>
        </w:rPr>
      </w:pPr>
      <w:r>
        <w:rPr>
          <w:rFonts w:ascii="Times New Roman" w:hAnsi="Times New Roman"/>
          <w:sz w:val="20"/>
        </w:rPr>
        <w:t xml:space="preserve">(2)    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Restricted Subsidiary</w:t>
      </w:r>
      <w:r>
        <w:rPr>
          <w:rFonts w:ascii="Times New Roman" w:hAnsi="Times New Roman"/>
          <w:sz w:val="20"/>
        </w:rPr>
        <w:t xml:space="preserve"> means any Subsidiary of Plains All American Pipeline owning or leasing, directly or indirectly through ownership in another Subsidiary, any Principal Property.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Sale-leaseback Transaction</w:t>
      </w:r>
      <w:r>
        <w:rPr>
          <w:rFonts w:ascii="Times New Roman" w:hAnsi="Times New Roman"/>
          <w:sz w:val="20"/>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spacing w:before="150" w:after="0"/>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w:t>
      </w:r>
    </w:p>
    <w:p>
      <w:pPr>
        <w:pStyle w:val="TextBody"/>
        <w:spacing w:before="150" w:after="0"/>
        <w:rPr>
          <w:rFonts w:ascii="Times New Roman" w:hAnsi="Times New Roman"/>
          <w:sz w:val="20"/>
        </w:rPr>
      </w:pPr>
      <w:r>
        <w:rPr>
          <w:rFonts w:ascii="Times New Roman" w:hAnsi="Times New Roman"/>
          <w:sz w:val="20"/>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50" w:after="0"/>
        <w:rPr>
          <w:rFonts w:ascii="Times New Roman" w:hAnsi="Times New Roman"/>
          <w:sz w:val="20"/>
        </w:rPr>
      </w:pPr>
      <w:r>
        <w:rPr>
          <w:rFonts w:ascii="Times New Roman" w:hAnsi="Times New Roman"/>
          <w:sz w:val="20"/>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rom447729_9"/>
      <w:bookmarkEnd w:id="11"/>
      <w:r>
        <w:rPr>
          <w:rFonts w:ascii="Times New Roman" w:hAnsi="Times New Roman"/>
          <w:b/>
          <w:sz w:val="20"/>
        </w:rPr>
        <w:t xml:space="preserve">BOOK ENTRY, DELIVERY AND FORM </w:t>
      </w:r>
    </w:p>
    <w:p>
      <w:pPr>
        <w:pStyle w:val="TextBody"/>
        <w:spacing w:before="150" w:after="0"/>
        <w:rPr>
          <w:rFonts w:ascii="Times New Roman" w:hAnsi="Times New Roman"/>
          <w:sz w:val="20"/>
        </w:rPr>
      </w:pPr>
      <w:r>
        <w:rPr>
          <w:rFonts w:ascii="Times New Roman" w:hAnsi="Times New Roman"/>
          <w:sz w:val="20"/>
        </w:rPr>
        <w:t xml:space="preserve">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spacing w:before="150" w:after="0"/>
        <w:rPr>
          <w:rFonts w:ascii="Times New Roman" w:hAnsi="Times New Roman"/>
          <w:sz w:val="20"/>
        </w:rPr>
      </w:pPr>
      <w:r>
        <w:rPr>
          <w:rFonts w:ascii="Times New Roman" w:hAnsi="Times New Roman"/>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before="150" w:after="0"/>
        <w:rPr>
          <w:rFonts w:ascii="Times New Roman" w:hAnsi="Times New Roman"/>
          <w:sz w:val="20"/>
        </w:rPr>
      </w:pPr>
      <w:r>
        <w:rPr>
          <w:rFonts w:ascii="Times New Roman" w:hAnsi="Times New Roman"/>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before="150" w:after="0"/>
        <w:rPr>
          <w:rFonts w:ascii="Times New Roman" w:hAnsi="Times New Roman"/>
          <w:b/>
          <w:sz w:val="20"/>
        </w:rPr>
      </w:pPr>
      <w:r>
        <w:rPr>
          <w:rFonts w:ascii="Times New Roman" w:hAnsi="Times New Roman"/>
          <w:b/>
          <w:sz w:val="20"/>
        </w:rPr>
        <w:t xml:space="preserve">Depository Procedures </w:t>
      </w:r>
    </w:p>
    <w:p>
      <w:pPr>
        <w:pStyle w:val="TextBody"/>
        <w:spacing w:before="150" w:after="0"/>
        <w:rPr>
          <w:rFonts w:ascii="Times New Roman" w:hAnsi="Times New Roman"/>
          <w:sz w:val="20"/>
        </w:rPr>
      </w:pPr>
      <w:r>
        <w:rPr>
          <w:rFonts w:ascii="Times New Roman" w:hAnsi="Times New Roman"/>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 </w:t>
      </w:r>
    </w:p>
    <w:p>
      <w:pPr>
        <w:pStyle w:val="TextBody"/>
        <w:spacing w:before="150" w:after="0"/>
        <w:rPr>
          <w:rFonts w:ascii="Times New Roman" w:hAnsi="Times New Roman"/>
          <w:sz w:val="20"/>
        </w:rPr>
      </w:pPr>
      <w:r>
        <w:rPr>
          <w:rFonts w:ascii="Times New Roman" w:hAnsi="Times New Roman"/>
          <w:sz w:val="20"/>
        </w:rPr>
        <w:t xml:space="preserve">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ownership thereof will be effected only through, records maintained by DTC (with respect to the Participants) or by the Participants and the Indirect Participants (with respect to other owners of beneficial interests in the Global Notes). </w:t>
      </w:r>
    </w:p>
    <w:p>
      <w:pPr>
        <w:pStyle w:val="TextBody"/>
        <w:spacing w:before="150" w:after="0"/>
        <w:rPr>
          <w:rFonts w:ascii="Times New Roman" w:hAnsi="Times New Roman"/>
          <w:sz w:val="20"/>
        </w:rPr>
      </w:pPr>
      <w:r>
        <w:rPr>
          <w:rFonts w:ascii="Times New Roman" w:hAnsi="Times New Roman"/>
          <w:sz w:val="20"/>
        </w:rPr>
        <w:t xml:space="preserve">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spacing w:before="150" w:after="0"/>
        <w:rPr>
          <w:rFonts w:ascii="Times New Roman" w:hAnsi="Times New Roman"/>
          <w:sz w:val="20"/>
        </w:rPr>
      </w:pPr>
      <w:r>
        <w:rPr>
          <w:rFonts w:ascii="Times New Roman" w:hAnsi="Times New Roman"/>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 </w:t>
      </w:r>
    </w:p>
    <w:p>
      <w:pPr>
        <w:pStyle w:val="TextBody"/>
        <w:spacing w:before="150" w:after="0"/>
        <w:rPr>
          <w:rFonts w:ascii="Times New Roman" w:hAnsi="Times New Roman"/>
          <w:b/>
          <w:sz w:val="20"/>
        </w:rPr>
      </w:pPr>
      <w:r>
        <w:rPr>
          <w:rFonts w:ascii="Times New Roman" w:hAnsi="Times New Roman"/>
          <w:b/>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spacing w:before="150" w:after="0"/>
        <w:rPr>
          <w:rFonts w:ascii="Times New Roman" w:hAnsi="Times New Roman"/>
          <w:sz w:val="20"/>
        </w:rPr>
      </w:pPr>
      <w:r>
        <w:rPr>
          <w:rFonts w:ascii="Times New Roman" w:hAnsi="Times New Roman"/>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spacing w:before="150" w:after="0"/>
        <w:rPr>
          <w:rFonts w:ascii="Times New Roman" w:hAnsi="Times New Roman"/>
          <w:sz w:val="20"/>
        </w:rPr>
      </w:pPr>
      <w:r>
        <w:rPr>
          <w:rFonts w:ascii="Times New Roman" w:hAnsi="Times New Roman"/>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spacing w:before="150" w:after="0"/>
        <w:rPr>
          <w:rFonts w:ascii="Times New Roman" w:hAnsi="Times New Roman"/>
          <w:b/>
          <w:sz w:val="20"/>
        </w:rPr>
      </w:pPr>
      <w:r>
        <w:rPr>
          <w:rFonts w:ascii="Times New Roman" w:hAnsi="Times New Roman"/>
          <w:b/>
          <w:sz w:val="20"/>
        </w:rPr>
        <w:t xml:space="preserve">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 </w:t>
      </w:r>
    </w:p>
    <w:p>
      <w:pPr>
        <w:pStyle w:val="TextBody"/>
        <w:spacing w:before="150" w:after="0"/>
        <w:rPr>
          <w:rFonts w:ascii="Times New Roman" w:hAnsi="Times New Roman"/>
          <w:sz w:val="20"/>
        </w:rPr>
      </w:pPr>
      <w:r>
        <w:rPr>
          <w:rFonts w:ascii="Times New Roman" w:hAnsi="Times New Roman"/>
          <w:sz w:val="20"/>
        </w:rPr>
        <w:t xml:space="preserve">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spacing w:before="150" w:after="0"/>
        <w:rPr>
          <w:rFonts w:ascii="Times New Roman" w:hAnsi="Times New Roman"/>
          <w:sz w:val="20"/>
        </w:rPr>
      </w:pPr>
      <w:r>
        <w:rPr>
          <w:rFonts w:ascii="Times New Roman" w:hAnsi="Times New Roman"/>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150" w:after="0"/>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 </w:t>
      </w:r>
    </w:p>
    <w:p>
      <w:pPr>
        <w:pStyle w:val="TextBody"/>
        <w:spacing w:before="150" w:after="0"/>
        <w:rPr>
          <w:rFonts w:ascii="Times New Roman" w:hAnsi="Times New Roman"/>
          <w:sz w:val="20"/>
        </w:rPr>
      </w:pPr>
      <w:r>
        <w:rPr>
          <w:rFonts w:ascii="Times New Roman" w:hAnsi="Times New Roman"/>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spacing w:before="150" w:after="0"/>
        <w:rPr>
          <w:rFonts w:ascii="Times New Roman" w:hAnsi="Times New Roman"/>
          <w:b/>
          <w:sz w:val="20"/>
        </w:rPr>
      </w:pPr>
      <w:r>
        <w:rPr>
          <w:rFonts w:ascii="Times New Roman" w:hAnsi="Times New Roman"/>
          <w:b/>
          <w:sz w:val="20"/>
        </w:rPr>
        <w:t xml:space="preserve">Exchange of Book Entry Notes for Certificated Notes </w:t>
      </w:r>
    </w:p>
    <w:p>
      <w:pPr>
        <w:pStyle w:val="TextBody"/>
        <w:spacing w:before="150" w:after="0"/>
        <w:rPr>
          <w:rFonts w:ascii="Times New Roman" w:hAnsi="Times New Roman"/>
          <w:sz w:val="20"/>
        </w:rPr>
      </w:pPr>
      <w:r>
        <w:rPr>
          <w:rFonts w:ascii="Times New Roman" w:hAnsi="Times New Roman"/>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rom447729_10"/>
      <w:bookmarkEnd w:id="12"/>
      <w:r>
        <w:rPr>
          <w:rFonts w:ascii="Times New Roman" w:hAnsi="Times New Roman"/>
          <w:b/>
          <w:sz w:val="20"/>
        </w:rPr>
        <w:t xml:space="preserve">MATERIAL U.S. FEDERAL INCOME AND ESTATE TAX CONSEQUENCES </w:t>
      </w:r>
    </w:p>
    <w:p>
      <w:pPr>
        <w:pStyle w:val="TextBody"/>
        <w:spacing w:before="150" w:after="0"/>
        <w:rPr>
          <w:rFonts w:ascii="Times New Roman" w:hAnsi="Times New Roman"/>
          <w:sz w:val="20"/>
        </w:rPr>
      </w:pPr>
      <w:r>
        <w:rPr>
          <w:rFonts w:ascii="Times New Roman" w:hAnsi="Times New Roman"/>
          <w:sz w:val="20"/>
        </w:rPr>
        <w:t xml:space="preserve">The following discussion is a summary of the material U.S. federal income tax consequences, and in the case of a Non-U.S. Holder (as defined below), U.S. federal estate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 </w:t>
      </w:r>
    </w:p>
    <w:p>
      <w:pPr>
        <w:pStyle w:val="TextBody"/>
        <w:spacing w:before="150" w:after="0"/>
        <w:rPr>
          <w:rFonts w:ascii="Times New Roman" w:hAnsi="Times New Roman"/>
          <w:sz w:val="20"/>
        </w:rPr>
      </w:pPr>
      <w:r>
        <w:rPr>
          <w:rFonts w:ascii="Times New Roman" w:hAnsi="Times New Roman"/>
          <w:sz w:val="20"/>
        </w:rPr>
        <w:t xml:space="preserve">In this discussion, we do not purport to address all tax considerations that may be important to a particular holder in light of the holders special circumstances, or to certain categories of holders that may be subject to special rules, such 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dealers in securities or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2"/>
        <w:gridCol w:w="9491"/>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former citizens or long-term residents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tax-exempt organizations;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persons holding Notes as part of a straddle transaction, hedging transaction, conversion transaction or other synthetic security or integrated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partnerships and other pass-through entities and holders of interests therein. </w:t>
            </w:r>
          </w:p>
        </w:tc>
      </w:tr>
    </w:tbl>
    <w:p>
      <w:pPr>
        <w:pStyle w:val="TextBody"/>
        <w:spacing w:before="150" w:after="0"/>
        <w:rPr>
          <w:rFonts w:ascii="Times New Roman" w:hAnsi="Times New Roman"/>
          <w:sz w:val="20"/>
        </w:rPr>
      </w:pPr>
      <w:r>
        <w:rPr>
          <w:rFonts w:ascii="Times New Roman" w:hAnsi="Times New Roman"/>
          <w:sz w:val="20"/>
        </w:rPr>
        <w:t xml:space="preserve">In addition, the discussion does not consider the effect of U.S. federal estate tax laws (except in the case of a Non-U.S. Holder) or gift tax laws or of any applicable foreign, state, local or other tax laws or income tax treaties. </w:t>
      </w:r>
    </w:p>
    <w:p>
      <w:pPr>
        <w:pStyle w:val="TextBody"/>
        <w:spacing w:before="150" w:after="0"/>
        <w:rPr>
          <w:rFonts w:ascii="Times New Roman" w:hAnsi="Times New Roman"/>
          <w:sz w:val="20"/>
        </w:rPr>
      </w:pPr>
      <w:r>
        <w:rPr>
          <w:rFonts w:ascii="Times New Roman" w:hAnsi="Times New Roman"/>
          <w:sz w:val="20"/>
        </w:rPr>
        <w:t xml:space="preserve">If a partnership or other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should consult their tax advisors about the U.S. federal income tax consequences of acquiring, owning and disposing of the Notes. </w:t>
      </w:r>
    </w:p>
    <w:p>
      <w:pPr>
        <w:pStyle w:val="TextBody"/>
        <w:spacing w:before="150" w:after="0"/>
        <w:rPr>
          <w:rFonts w:ascii="Times New Roman" w:hAnsi="Times New Roman"/>
          <w:sz w:val="20"/>
        </w:rPr>
      </w:pPr>
      <w:r>
        <w:rPr>
          <w:rFonts w:ascii="Times New Roman" w:hAnsi="Times New Roman"/>
          <w:sz w:val="20"/>
        </w:rPr>
        <w:t xml:space="preserve">PROSPECTIVE INVESTORS ARE ADVISED TO CONSULT THEIR TAX ADVISORS WITH REGARD TO THE APPLICATION OF THE TAX CONSEQUENCES DISCUSSED BELOW TO THEIR PARTICULAR SITUATIONS, AS WELL AS THE APPLICATION OF U.S. FEDERAL ESTATE OR GIFT TAX LAWS OR OF ANY STATE, LOCAL, FOREIGN OR OTHER TAX LAWS OR INCOME TAX TREATIES.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Certain Additional Payments </w:t>
      </w:r>
    </w:p>
    <w:p>
      <w:pPr>
        <w:pStyle w:val="TextBody"/>
        <w:spacing w:before="150" w:after="0"/>
        <w:rPr>
          <w:rFonts w:ascii="Times New Roman" w:hAnsi="Times New Roman"/>
          <w:sz w:val="20"/>
        </w:rPr>
      </w:pPr>
      <w:r>
        <w:rPr>
          <w:rFonts w:ascii="Times New Roman" w:hAnsi="Times New Roman"/>
          <w:sz w:val="20"/>
        </w:rPr>
        <w:t xml:space="preserve">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 </w:t>
      </w:r>
    </w:p>
    <w:p>
      <w:pPr>
        <w:pStyle w:val="TextBody"/>
        <w:spacing w:before="150" w:after="0"/>
        <w:rPr>
          <w:rFonts w:ascii="Times New Roman" w:hAnsi="Times New Roman"/>
          <w:b/>
          <w:sz w:val="20"/>
        </w:rPr>
      </w:pPr>
      <w:r>
        <w:rPr>
          <w:rFonts w:ascii="Times New Roman" w:hAnsi="Times New Roman"/>
          <w:b/>
          <w:sz w:val="20"/>
        </w:rPr>
        <w:t xml:space="preserve">U.S. Federal Income Taxation of U.S. Holders </w:t>
      </w:r>
    </w:p>
    <w:p>
      <w:pPr>
        <w:pStyle w:val="TextBody"/>
        <w:spacing w:before="150" w:after="0"/>
        <w:rPr>
          <w:rFonts w:ascii="Times New Roman" w:hAnsi="Times New Roman"/>
          <w:sz w:val="20"/>
        </w:rPr>
      </w:pPr>
      <w:r>
        <w:rPr>
          <w:rFonts w:ascii="Times New Roman" w:hAnsi="Times New Roman"/>
          <w:sz w:val="20"/>
        </w:rPr>
        <w:t xml:space="preserve">As used herein, a U.S. Holder means a beneficial owner of a Note that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individual who is a citizen or resident alien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political subdivision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p>
        </w:tc>
      </w:tr>
    </w:tbl>
    <w:p>
      <w:pPr>
        <w:pStyle w:val="TextBody"/>
        <w:spacing w:before="150" w:after="0"/>
        <w:rPr>
          <w:rFonts w:ascii="Times New Roman" w:hAnsi="Times New Roman"/>
          <w:b/>
          <w:i/>
          <w:sz w:val="20"/>
        </w:rPr>
      </w:pPr>
      <w:r>
        <w:rPr>
          <w:rFonts w:ascii="Times New Roman" w:hAnsi="Times New Roman"/>
          <w:b/>
          <w:i/>
          <w:sz w:val="20"/>
        </w:rPr>
        <w:t xml:space="preserve">Payments of Interest </w:t>
      </w:r>
    </w:p>
    <w:p>
      <w:pPr>
        <w:pStyle w:val="TextBody"/>
        <w:spacing w:before="150" w:after="0"/>
        <w:rPr>
          <w:rFonts w:ascii="Times New Roman" w:hAnsi="Times New Roman"/>
          <w:sz w:val="20"/>
        </w:rPr>
      </w:pPr>
      <w:r>
        <w:rPr>
          <w:rFonts w:ascii="Times New Roman" w:hAnsi="Times New Roman"/>
          <w:sz w:val="20"/>
        </w:rPr>
        <w:t xml:space="preserve">Interest paid on a Note generally will be taxable to a U.S. Holder as ordinary income at the time it accrues or is received in accordance with the U.S. Holders regular method of accounting for U.S. federal income tax purposes. </w:t>
      </w:r>
    </w:p>
    <w:p>
      <w:pPr>
        <w:pStyle w:val="TextBody"/>
        <w:spacing w:before="150" w:after="0"/>
        <w:rPr>
          <w:rFonts w:ascii="Times New Roman" w:hAnsi="Times New Roman"/>
          <w:b/>
          <w:i/>
          <w:sz w:val="20"/>
        </w:rPr>
      </w:pPr>
      <w:r>
        <w:rPr>
          <w:rFonts w:ascii="Times New Roman" w:hAnsi="Times New Roman"/>
          <w:b/>
          <w:i/>
          <w:sz w:val="20"/>
        </w:rPr>
        <w:t xml:space="preserve">Disposition of Notes </w:t>
      </w:r>
    </w:p>
    <w:p>
      <w:pPr>
        <w:pStyle w:val="TextBody"/>
        <w:spacing w:before="150" w:after="0"/>
        <w:rPr>
          <w:rFonts w:ascii="Times New Roman" w:hAnsi="Times New Roman"/>
          <w:sz w:val="20"/>
        </w:rPr>
      </w:pPr>
      <w:r>
        <w:rPr>
          <w:rFonts w:ascii="Times New Roman" w:hAnsi="Times New Roman"/>
          <w:sz w:val="20"/>
        </w:rPr>
        <w:t xml:space="preserve">Upon the sale, exchange, retirement, redemption or other taxable disposition of a Note, a U.S. Holder will generally recognize capital gain or loss equal to the difference between the amount realized on the disposition (not including any amount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 </w:t>
      </w:r>
    </w:p>
    <w:p>
      <w:pPr>
        <w:pStyle w:val="TextBody"/>
        <w:spacing w:before="150" w:after="0"/>
        <w:rPr>
          <w:rFonts w:ascii="Times New Roman" w:hAnsi="Times New Roman"/>
          <w:sz w:val="20"/>
        </w:rPr>
      </w:pPr>
      <w:r>
        <w:rPr>
          <w:rFonts w:ascii="Times New Roman" w:hAnsi="Times New Roman"/>
          <w:sz w:val="20"/>
        </w:rPr>
        <w:t xml:space="preserve">In general,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 </w:t>
      </w:r>
    </w:p>
    <w:p>
      <w:pPr>
        <w:pStyle w:val="TextBody"/>
        <w:spacing w:before="15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50" w:after="0"/>
        <w:rPr>
          <w:rFonts w:ascii="Times New Roman" w:hAnsi="Times New Roman"/>
          <w:sz w:val="20"/>
        </w:rPr>
      </w:pPr>
      <w:r>
        <w:rPr>
          <w:rFonts w:ascii="Times New Roman" w:hAnsi="Times New Roman"/>
          <w:sz w:val="20"/>
        </w:rPr>
        <w:t xml:space="preserve">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 </w:t>
      </w:r>
    </w:p>
    <w:p>
      <w:pPr>
        <w:pStyle w:val="TextBody"/>
        <w:spacing w:before="150" w:after="0"/>
        <w:rPr>
          <w:rFonts w:ascii="Times New Roman" w:hAnsi="Times New Roman"/>
          <w:b/>
          <w:sz w:val="20"/>
        </w:rPr>
      </w:pPr>
      <w:r>
        <w:rPr>
          <w:rFonts w:ascii="Times New Roman" w:hAnsi="Times New Roman"/>
          <w:b/>
          <w:sz w:val="20"/>
        </w:rPr>
        <w:t xml:space="preserve">U.S. Federal Income Taxation of Non-U.S. Holders </w:t>
      </w:r>
    </w:p>
    <w:p>
      <w:pPr>
        <w:pStyle w:val="TextBody"/>
        <w:spacing w:before="150" w:after="0"/>
        <w:rPr>
          <w:rFonts w:ascii="Times New Roman" w:hAnsi="Times New Roman"/>
          <w:sz w:val="20"/>
        </w:rPr>
      </w:pPr>
      <w:r>
        <w:rPr>
          <w:rFonts w:ascii="Times New Roman" w:hAnsi="Times New Roman"/>
          <w:sz w:val="20"/>
        </w:rPr>
        <w:t xml:space="preserve">As used herein, a Non-U.S. Holder means a beneficial owner of a Note that is an individual, corporation, estate or trust that is not a U.S. Holder. </w:t>
      </w:r>
    </w:p>
    <w:p>
      <w:pPr>
        <w:pStyle w:val="TextBody"/>
        <w:spacing w:before="150" w:after="0"/>
        <w:rPr>
          <w:rFonts w:ascii="Times New Roman" w:hAnsi="Times New Roman"/>
          <w:b/>
          <w:i/>
          <w:sz w:val="20"/>
        </w:rPr>
      </w:pPr>
      <w:r>
        <w:rPr>
          <w:rFonts w:ascii="Times New Roman" w:hAnsi="Times New Roman"/>
          <w:b/>
          <w:i/>
          <w:sz w:val="20"/>
        </w:rPr>
        <w:t xml:space="preserve">Payments of Interest </w:t>
      </w:r>
    </w:p>
    <w:p>
      <w:pPr>
        <w:pStyle w:val="TextBody"/>
        <w:spacing w:before="150" w:after="0"/>
        <w:rPr>
          <w:rFonts w:ascii="Times New Roman" w:hAnsi="Times New Roman"/>
          <w:sz w:val="20"/>
        </w:rPr>
      </w:pPr>
      <w:r>
        <w:rPr>
          <w:rFonts w:ascii="Times New Roman" w:hAnsi="Times New Roman"/>
          <w:sz w:val="20"/>
        </w:rPr>
        <w:t xml:space="preserve">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actually or constructively own 10% or more of our capital or profits interests;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controlled foreign corporation for U.S. federal income tax purposes that is actually or constructively related to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bank whose receipt of interest on the Note is in connection with an extension of credit made pursuant to a loan agreement entered into in the ordinary course of business;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Non-U.S. Holder properly certifies as to his foreign status as described below. </w:t>
            </w:r>
          </w:p>
        </w:tc>
      </w:tr>
    </w:tbl>
    <w:p>
      <w:pPr>
        <w:pStyle w:val="TextBody"/>
        <w:spacing w:before="150" w:after="0"/>
        <w:rPr>
          <w:rFonts w:ascii="Times New Roman" w:hAnsi="Times New Roman"/>
          <w:sz w:val="20"/>
        </w:rPr>
      </w:pPr>
      <w:r>
        <w:rPr>
          <w:rFonts w:ascii="Times New Roman" w:hAnsi="Times New Roman"/>
          <w:sz w:val="20"/>
        </w:rPr>
        <w:t xml:space="preserve">The portfolio interest exemption and several of the special rules for Non-U.S. Holders described below generally apply only if a Non-U.S. Holder appropriately certifies as to his foreign status. A Non-U.S. Holder can generally meet this certification requirement by providing a properly executed IRS Form W-8BEN or appropriate substitute form to the applicable withholding agent. </w:t>
      </w:r>
    </w:p>
    <w:p>
      <w:pPr>
        <w:pStyle w:val="TextBody"/>
        <w:spacing w:before="150" w:after="0"/>
        <w:rPr>
          <w:rFonts w:ascii="Times New Roman" w:hAnsi="Times New Roman"/>
          <w:sz w:val="20"/>
        </w:rPr>
      </w:pPr>
      <w:r>
        <w:rPr>
          <w:rFonts w:ascii="Times New Roman" w:hAnsi="Times New Roman"/>
          <w:sz w:val="20"/>
        </w:rPr>
        <w:t xml:space="preserve">If a Non-U.S. Holder holds a Note through a financial institution or other agent acting on his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 </w:t>
      </w:r>
    </w:p>
    <w:p>
      <w:pPr>
        <w:pStyle w:val="TextBody"/>
        <w:spacing w:before="150" w:after="0"/>
        <w:rPr>
          <w:rFonts w:ascii="Times New Roman" w:hAnsi="Times New Roman"/>
          <w:sz w:val="20"/>
        </w:rPr>
      </w:pPr>
      <w:r>
        <w:rPr>
          <w:rFonts w:ascii="Times New Roman" w:hAnsi="Times New Roman"/>
          <w:sz w:val="20"/>
        </w:rPr>
        <w:t xml:space="preserve">If a Non-U.S. Holder cannot satisfy the requirements described in the preceding paragraphs, payments of interest made to the Non-U.S. Holder will be subject to a 30% U.S. federal withholding tax, unless the Non-U.S. Holder provides us with a properly executed (1) IRS Form W-8BEN (or successor form) claiming an exemption from or reduction of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(and if required by an applicable income tax treaty, is treated as attributable to a permanent establishment maintained by the Non-U.S. Holder in the United States). See Income or Gain Effectively Connected with a U.S. Trade or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Disposition of Notes </w:t>
      </w:r>
    </w:p>
    <w:p>
      <w:pPr>
        <w:pStyle w:val="TextBody"/>
        <w:spacing w:before="150" w:after="0"/>
        <w:rPr>
          <w:rFonts w:ascii="Times New Roman" w:hAnsi="Times New Roman"/>
          <w:sz w:val="20"/>
        </w:rPr>
      </w:pPr>
      <w:r>
        <w:rPr>
          <w:rFonts w:ascii="Times New Roman" w:hAnsi="Times New Roman"/>
          <w:sz w:val="20"/>
        </w:rPr>
        <w:t xml:space="preserve">Generally, a Non-U.S. Holder will not be subject to U.S. federal income tax with respect to gain realized on the sale, exchange, retirement, redemption or other disposition of a Note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in the United States (and if an applicable income tax treaty so requires, is attributable to a permanent establishment maintained by the Non-U.S. Holder in the United States);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Non-U.S. Holder who is a nonresident alien individual, such individual is present in the United States for 183 days or more in the taxable year of disposition and certain other conditions are met. </w:t>
            </w:r>
          </w:p>
        </w:tc>
      </w:tr>
    </w:tbl>
    <w:p>
      <w:pPr>
        <w:pStyle w:val="TextBody"/>
        <w:spacing w:before="150" w:after="0"/>
        <w:rPr>
          <w:rFonts w:ascii="Times New Roman" w:hAnsi="Times New Roman"/>
          <w:sz w:val="20"/>
        </w:rPr>
      </w:pPr>
      <w:r>
        <w:rPr>
          <w:rFonts w:ascii="Times New Roman" w:hAnsi="Times New Roman"/>
          <w:sz w:val="20"/>
        </w:rPr>
        <w:t xml:space="preserve">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applicable treaty rate) of U.S. federal income tax on the gain derived from the sale or other disposition, which may be offset by U.S. source capital losses. </w:t>
      </w:r>
    </w:p>
    <w:p>
      <w:pPr>
        <w:pStyle w:val="TextBody"/>
        <w:spacing w:before="150" w:after="0"/>
        <w:rPr>
          <w:rFonts w:ascii="Times New Roman" w:hAnsi="Times New Roman"/>
          <w:b/>
          <w:i/>
          <w:sz w:val="20"/>
        </w:rPr>
      </w:pPr>
      <w:r>
        <w:rPr>
          <w:rFonts w:ascii="Times New Roman" w:hAnsi="Times New Roman"/>
          <w:b/>
          <w:i/>
          <w:sz w:val="20"/>
        </w:rPr>
        <w:t xml:space="preserve">Income or Gain Effectively Connected with a U.S. Trade or Business </w:t>
      </w:r>
    </w:p>
    <w:p>
      <w:pPr>
        <w:pStyle w:val="TextBody"/>
        <w:spacing w:before="150" w:after="0"/>
        <w:rPr>
          <w:rFonts w:ascii="Times New Roman" w:hAnsi="Times New Roman"/>
          <w:sz w:val="20"/>
        </w:rPr>
      </w:pPr>
      <w:r>
        <w:rPr>
          <w:rFonts w:ascii="Times New Roman" w:hAnsi="Times New Roman"/>
          <w:sz w:val="20"/>
        </w:rPr>
        <w:t xml:space="preserve">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claiming exemption under an applicable income tax treaty) or appropriate substitute form to the applicable withholding agent. </w:t>
      </w:r>
    </w:p>
    <w:p>
      <w:pPr>
        <w:pStyle w:val="TextBody"/>
        <w:spacing w:before="150" w:after="0"/>
        <w:rPr>
          <w:rFonts w:ascii="Times New Roman" w:hAnsi="Times New Roman"/>
          <w:b/>
          <w:i/>
          <w:sz w:val="20"/>
        </w:rPr>
      </w:pPr>
      <w:r>
        <w:rPr>
          <w:rFonts w:ascii="Times New Roman" w:hAnsi="Times New Roman"/>
          <w:b/>
          <w:i/>
          <w:sz w:val="20"/>
        </w:rPr>
        <w:t xml:space="preserve">U.S. Federal Estate Tax </w:t>
      </w:r>
    </w:p>
    <w:p>
      <w:pPr>
        <w:pStyle w:val="TextBody"/>
        <w:spacing w:before="150" w:after="0"/>
        <w:rPr>
          <w:rFonts w:ascii="Times New Roman" w:hAnsi="Times New Roman"/>
          <w:sz w:val="20"/>
        </w:rPr>
      </w:pPr>
      <w:r>
        <w:rPr>
          <w:rFonts w:ascii="Times New Roman" w:hAnsi="Times New Roman"/>
          <w:sz w:val="20"/>
        </w:rPr>
        <w:t xml:space="preserve">If an individual is not a resident of the United States (as specially defined for U.S. federal estate tax purposes) at the time of the individuals death, the Notes will not be included in the individuals estate for U.S. federal estate tax purposes provided that at the time of death, interest on the Notes owned by the individual qualifies for the portfolio interest exemption under the rules described above under Payments of Interest (without regard to the certification requirement required to qualify for the portfolio interest exemption). </w:t>
      </w:r>
    </w:p>
    <w:p>
      <w:pPr>
        <w:pStyle w:val="TextBody"/>
        <w:spacing w:before="15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50" w:after="0"/>
        <w:rPr>
          <w:rFonts w:ascii="Times New Roman" w:hAnsi="Times New Roman"/>
          <w:sz w:val="20"/>
        </w:rPr>
      </w:pPr>
      <w:r>
        <w:rPr>
          <w:rFonts w:ascii="Times New Roman" w:hAnsi="Times New Roman"/>
          <w:sz w:val="20"/>
        </w:rPr>
        <w:t xml:space="preserve">Payments to a Non-U.S. Holder of interest on a Note, and amounts withheld from such payments, if any, generally will be required to be reported to the IRS and to the Non-U.S. Holder. </w:t>
      </w:r>
    </w:p>
    <w:p>
      <w:pPr>
        <w:pStyle w:val="TextBody"/>
        <w:spacing w:before="150" w:after="0"/>
        <w:rPr>
          <w:rFonts w:ascii="Times New Roman" w:hAnsi="Times New Roman"/>
          <w:sz w:val="20"/>
        </w:rPr>
      </w:pPr>
      <w:r>
        <w:rPr>
          <w:rFonts w:ascii="Times New Roman" w:hAnsi="Times New Roman"/>
          <w:sz w:val="20"/>
        </w:rPr>
        <w:t xml:space="preserve">United States backup withholding generally will not apply to payments of interest and principal on a Note to a Non-U.S. Holder if the statement described in Payments of Interest is duly provided by the holder or the holder otherwise establishes an exemption, provided that the applicable withholding agent does not have actual knowledge or reason to know that the holder is a United States person. </w:t>
      </w:r>
    </w:p>
    <w:p>
      <w:pPr>
        <w:pStyle w:val="TextBody"/>
        <w:spacing w:before="150" w:after="0"/>
        <w:rPr>
          <w:rFonts w:ascii="Times New Roman" w:hAnsi="Times New Roman"/>
          <w:sz w:val="20"/>
        </w:rPr>
      </w:pPr>
      <w:r>
        <w:rPr>
          <w:rFonts w:ascii="Times New Roman" w:hAnsi="Times New Roman"/>
          <w:sz w:val="20"/>
        </w:rPr>
        <w:t xml:space="preserve">Payment of the proceeds of a sale of a Note effected by the U.S. office of a U.S. or foreign broker will be subject to information reporting requirements and backup withholding unless the Non-U.S. Holder properly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certifies under penalties of perjury as to his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0"/>
        <w:gridCol w:w="9494"/>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person that derives 50% or more of its gross income for certain periods from the conduct of a trade or business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controlled foreign corporation for U.S. federal income tax purposes;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2"/>
        <w:gridCol w:w="9494"/>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partnership that, at any time during its taxable year, has more than 50% of its income or capital interests owned by United States persons or is engaged in the conduct of a U.S. trade or business. </w:t>
            </w:r>
          </w:p>
        </w:tc>
      </w:tr>
    </w:tbl>
    <w:p>
      <w:pPr>
        <w:pStyle w:val="TextBody"/>
        <w:spacing w:before="150" w:after="0"/>
        <w:rPr>
          <w:rFonts w:ascii="Times New Roman" w:hAnsi="Times New Roman"/>
          <w:sz w:val="20"/>
        </w:rPr>
      </w:pPr>
      <w:r>
        <w:rPr>
          <w:rFonts w:ascii="Times New Roman" w:hAnsi="Times New Roman"/>
          <w:sz w:val="20"/>
        </w:rPr>
        <w:t xml:space="preserve">Any amount withheld from payments to a Non-U.S. Holder under the backup withholding rules may be credited against such holders U.S. federal income tax liability, if any, and any excess may be refundable if the proper information is timely provided to the IRS. </w:t>
      </w:r>
    </w:p>
    <w:p>
      <w:pPr>
        <w:pStyle w:val="TextBody"/>
        <w:spacing w:before="150" w:after="0"/>
        <w:rPr>
          <w:rFonts w:ascii="Times New Roman" w:hAnsi="Times New Roman"/>
          <w:b/>
          <w:sz w:val="20"/>
        </w:rPr>
      </w:pPr>
      <w:r>
        <w:rPr>
          <w:rFonts w:ascii="Times New Roman" w:hAnsi="Times New Roman"/>
          <w:b/>
          <w:sz w:val="20"/>
        </w:rPr>
        <w:t xml:space="preserve">Legislation Involving Payments to Certain Foreign Entities </w:t>
      </w:r>
    </w:p>
    <w:p>
      <w:pPr>
        <w:pStyle w:val="TextBody"/>
        <w:spacing w:before="150" w:after="0"/>
        <w:rPr>
          <w:rFonts w:ascii="Times New Roman" w:hAnsi="Times New Roman"/>
          <w:sz w:val="20"/>
        </w:rPr>
      </w:pPr>
      <w:r>
        <w:rPr>
          <w:rFonts w:ascii="Times New Roman" w:hAnsi="Times New Roman"/>
          <w:sz w:val="20"/>
        </w:rPr>
        <w:t xml:space="preserve">Legislation enacted in March 2010 would impose a 30% withholding tax on any payments on our obligations made to a foreign financial institution or non-financial foreign entity (including, in some cases, when such foreign financial institution or entity is acting as an intermediary), and on the gross proceeds of the sale or other disposition of our obligations,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holder might be eligible for refunds or credits of such taxes. </w:t>
      </w:r>
    </w:p>
    <w:p>
      <w:pPr>
        <w:pStyle w:val="TextBody"/>
        <w:spacing w:before="150" w:after="0"/>
        <w:rPr>
          <w:rFonts w:ascii="Times New Roman" w:hAnsi="Times New Roman"/>
          <w:sz w:val="20"/>
        </w:rPr>
      </w:pPr>
      <w:r>
        <w:rPr>
          <w:rFonts w:ascii="Times New Roman" w:hAnsi="Times New Roman"/>
          <w:sz w:val="20"/>
        </w:rPr>
        <w:t xml:space="preserve">Although this legislation currently applies to payments made after December 31, 2012, the Treasury and the IRS have issued administrative guidance indicating that they plan to issue Treasury Regulations providing that withholding will only apply to payments of interest on debt obligations made on or after January 1, 2014 and to payments of gross proceeds from a sale or other disposition of debt securities made on or after January 1, 2017. Additionally, payments with respect to debt obligations that were outstanding on March 18, 2012 are not subject to these rules; however, proposed Treasury Regulations not yet in effect would, if adopted, extend this grandfathering date to debt securities issued before January 1, 2013 (and not materially modified after December 31, 2012). If these proposed Treasury Regulations are adopted, withholding under these rules would not be required on the notes. You are encouraged to consult with their own tax advisors regarding the possible implications of this legislation on an investment in the Notes. </w:t>
      </w:r>
    </w:p>
    <w:p>
      <w:pPr>
        <w:pStyle w:val="TextBody"/>
        <w:spacing w:before="150" w:after="0"/>
        <w:rPr>
          <w:rFonts w:ascii="Times New Roman" w:hAnsi="Times New Roman"/>
          <w:b/>
          <w:sz w:val="20"/>
        </w:rPr>
      </w:pPr>
      <w:r>
        <w:rPr>
          <w:rFonts w:ascii="Times New Roman" w:hAnsi="Times New Roman"/>
          <w:b/>
          <w:sz w:val="20"/>
        </w:rPr>
        <w:t xml:space="preserve">Additional Tax Relating to Net Investment Income </w:t>
      </w:r>
    </w:p>
    <w:p>
      <w:pPr>
        <w:pStyle w:val="TextBody"/>
        <w:spacing w:before="150" w:after="0"/>
        <w:rPr>
          <w:rFonts w:ascii="Times New Roman" w:hAnsi="Times New Roman"/>
          <w:sz w:val="20"/>
        </w:rPr>
      </w:pPr>
      <w:r>
        <w:rPr>
          <w:rFonts w:ascii="Times New Roman" w:hAnsi="Times New Roman"/>
          <w:sz w:val="20"/>
        </w:rPr>
        <w:t xml:space="preserve">For taxable years beginning after December 31, 2012, an additional 3.8% tax will be imposed on the net investment income of certain U.S. citizens and resident aliens, and on the undistributed net investment income of certain estates and trusts. Among other items, net investment income would generally include gross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from interest and net gain from the sale, exchange, retirement, redemption or other taxable disposition of a Note, less certain deductions. Prospective investors should consult their own tax advisors with respect to the imposition of this additional tax. </w:t>
      </w:r>
    </w:p>
    <w:p>
      <w:pPr>
        <w:pStyle w:val="TextBody"/>
        <w:spacing w:before="150" w:after="0"/>
        <w:rPr>
          <w:rFonts w:ascii="Times New Roman" w:hAnsi="Times New Roman"/>
          <w:sz w:val="20"/>
        </w:rPr>
      </w:pPr>
      <w:r>
        <w:rPr>
          <w:rFonts w:ascii="Times New Roman" w:hAnsi="Times New Roman"/>
          <w:sz w:val="20"/>
        </w:rPr>
        <w:t xml:space="preserve">THE PRECEDING DISCUSSION OF MATERIAL U.S. FEDERAL INCOME AND ESTATE TAX CONSEQUENCES IS FOR GENERAL INFORMATION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rom447729_11"/>
      <w:bookmarkEnd w:id="13"/>
      <w:r>
        <w:rPr>
          <w:rFonts w:ascii="Times New Roman" w:hAnsi="Times New Roman"/>
          <w:b/>
          <w:sz w:val="20"/>
        </w:rPr>
        <w:t xml:space="preserve">UNDERWRITING (CONFLICTS OF INTEREST) </w:t>
      </w:r>
    </w:p>
    <w:p>
      <w:pPr>
        <w:pStyle w:val="TextBody"/>
        <w:spacing w:before="150" w:after="0"/>
        <w:rPr>
          <w:rFonts w:ascii="Times New Roman" w:hAnsi="Times New Roman"/>
          <w:sz w:val="20"/>
        </w:rPr>
      </w:pPr>
      <w:r>
        <w:rPr>
          <w:rFonts w:ascii="Times New Roman" w:hAnsi="Times New Roman"/>
          <w:sz w:val="20"/>
        </w:rPr>
        <w:t xml:space="preserve">Subject to the terms and conditions set forth in an underwriting agreement, dated the date of this prospectus supplement, between us and the underwriters named below, we have agreed to sell to each of the underwriters, for whom Wells Fargo Securities, LLC, Barclays Capital Inc., Citigroup Global Markets Inc., SunTrust Robinson Humphrey, Inc. and UBS Securities LLC are acting as representatives, and the underwriters have agreed, severally and not jointly, to purchase the principal amount of the Notes of each series set forth opposite their respective names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42"/>
        <w:gridCol w:w="254"/>
        <w:gridCol w:w="186"/>
        <w:gridCol w:w="1720"/>
        <w:gridCol w:w="120"/>
        <w:gridCol w:w="254"/>
        <w:gridCol w:w="186"/>
        <w:gridCol w:w="1720"/>
        <w:gridCol w:w="123"/>
      </w:tblGrid>
      <w:tr>
        <w:trPr/>
        <w:tc>
          <w:tcPr>
            <w:tcW w:w="564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64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418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w:t>
            </w:r>
          </w:p>
        </w:tc>
        <w:tc>
          <w:tcPr>
            <w:tcW w:w="123" w:type="dxa"/>
            <w:tcBorders/>
            <w:shd w:fill="auto" w:val="clear"/>
            <w:vAlign w:val="bottom"/>
          </w:tcPr>
          <w:p>
            <w:pPr>
              <w:pStyle w:val="TableContents"/>
              <w:spacing w:before="0" w:after="283"/>
              <w:rPr/>
            </w:pPr>
            <w:r>
              <w:rPr/>
              <w:t> </w:t>
            </w:r>
          </w:p>
        </w:tc>
      </w:tr>
      <w:tr>
        <w:trPr/>
        <w:tc>
          <w:tcPr>
            <w:tcW w:w="5642"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Underwriter</w:t>
            </w:r>
          </w:p>
        </w:tc>
        <w:tc>
          <w:tcPr>
            <w:tcW w:w="254" w:type="dxa"/>
            <w:tcBorders/>
            <w:shd w:fill="auto" w:val="clear"/>
            <w:vAlign w:val="bottom"/>
          </w:tcPr>
          <w:p>
            <w:pPr>
              <w:pStyle w:val="TableContents"/>
              <w:spacing w:before="0" w:after="283"/>
              <w:rPr/>
            </w:pPr>
            <w:r>
              <w:rPr/>
              <w:t> </w:t>
            </w:r>
          </w:p>
        </w:tc>
        <w:tc>
          <w:tcPr>
            <w:tcW w:w="190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2023 Notes         </w:t>
            </w:r>
          </w:p>
        </w:tc>
        <w:tc>
          <w:tcPr>
            <w:tcW w:w="12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2043 Notes         </w:t>
            </w:r>
          </w:p>
        </w:tc>
        <w:tc>
          <w:tcPr>
            <w:tcW w:w="123"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2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r>
              <w:rPr>
                <w:rFonts w:ascii="Times New Roman" w:hAnsi="Times New Roman"/>
                <w:sz w:val="20"/>
              </w:rPr>
              <w:t>$</w:t>
            </w:r>
          </w:p>
        </w:tc>
        <w:tc>
          <w:tcPr>
            <w:tcW w:w="1720"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r>
              <w:rPr>
                <w:rFonts w:ascii="Times New Roman" w:hAnsi="Times New Roman"/>
                <w:sz w:val="20"/>
              </w:rPr>
              <w:t>$</w:t>
            </w:r>
          </w:p>
        </w:tc>
        <w:tc>
          <w:tcPr>
            <w:tcW w:w="1720" w:type="dxa"/>
            <w:tcBorders/>
            <w:shd w:fill="CCEEFF" w:val="clear"/>
            <w:vAlign w:val="bottom"/>
          </w:tcPr>
          <w:p>
            <w:pPr>
              <w:pStyle w:val="TableContents"/>
              <w:spacing w:before="0" w:after="283"/>
              <w:jc w:val="right"/>
              <w:rPr/>
            </w:pPr>
            <w:r>
              <w:rPr/>
              <w:t xml:space="preserve">                            </w:t>
            </w:r>
          </w:p>
        </w:tc>
        <w:tc>
          <w:tcPr>
            <w:tcW w:w="123"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Barclays Capital Inc.</w:t>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172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172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2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17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172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SunTrust Robinson Humphrey, Inc.</w:t>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172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172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2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17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172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642"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72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283"/>
              <w:rPr/>
            </w:pPr>
            <w:r>
              <w:rPr/>
              <w:t> </w:t>
            </w:r>
          </w:p>
        </w:tc>
        <w:tc>
          <w:tcPr>
            <w:tcW w:w="172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r>
              <w:rPr>
                <w:rFonts w:ascii="Times New Roman" w:hAnsi="Times New Roman"/>
                <w:sz w:val="20"/>
              </w:rPr>
              <w:t>$</w:t>
            </w:r>
          </w:p>
        </w:tc>
        <w:tc>
          <w:tcPr>
            <w:tcW w:w="1720" w:type="dxa"/>
            <w:tcBorders/>
            <w:shd w:fill="auto" w:val="clear"/>
            <w:vAlign w:val="bottom"/>
          </w:tcPr>
          <w:p>
            <w:pPr>
              <w:pStyle w:val="TableContents"/>
              <w:spacing w:before="0" w:after="283"/>
              <w:jc w:val="right"/>
              <w:rPr/>
            </w:pPr>
            <w:r>
              <w:rPr/>
              <w:t xml:space="preserve">                            </w:t>
            </w:r>
          </w:p>
        </w:tc>
        <w:tc>
          <w:tcPr>
            <w:tcW w:w="12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r>
              <w:rPr>
                <w:rFonts w:ascii="Times New Roman" w:hAnsi="Times New Roman"/>
                <w:sz w:val="20"/>
              </w:rPr>
              <w:t>$</w:t>
            </w:r>
          </w:p>
        </w:tc>
        <w:tc>
          <w:tcPr>
            <w:tcW w:w="1720"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double" w:sz="6" w:space="1" w:color="000000"/>
              </w:pBdr>
              <w:spacing w:before="0" w:after="283"/>
              <w:rPr/>
            </w:pPr>
            <w:r>
              <w:rPr/>
              <w:t> </w:t>
            </w:r>
          </w:p>
        </w:tc>
        <w:tc>
          <w:tcPr>
            <w:tcW w:w="172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double" w:sz="6" w:space="1" w:color="000000"/>
              </w:pBdr>
              <w:spacing w:before="0" w:after="283"/>
              <w:rPr/>
            </w:pPr>
            <w:r>
              <w:rPr/>
              <w:t> </w:t>
            </w:r>
          </w:p>
        </w:tc>
        <w:tc>
          <w:tcPr>
            <w:tcW w:w="172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50" w:after="0"/>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 </w:t>
      </w:r>
    </w:p>
    <w:p>
      <w:pPr>
        <w:pStyle w:val="TextBody"/>
        <w:spacing w:before="150" w:after="0"/>
        <w:rPr>
          <w:rFonts w:ascii="Times New Roman" w:hAnsi="Times New Roman"/>
          <w:b/>
          <w:sz w:val="20"/>
        </w:rPr>
      </w:pPr>
      <w:r>
        <w:rPr>
          <w:rFonts w:ascii="Times New Roman" w:hAnsi="Times New Roman"/>
          <w:b/>
          <w:sz w:val="20"/>
        </w:rPr>
        <w:t xml:space="preserve">Underwriting Discounts </w:t>
      </w:r>
    </w:p>
    <w:p>
      <w:pPr>
        <w:pStyle w:val="TextBody"/>
        <w:spacing w:before="150" w:after="0"/>
        <w:rPr>
          <w:rFonts w:ascii="Times New Roman" w:hAnsi="Times New Roman"/>
          <w:sz w:val="20"/>
        </w:rPr>
      </w:pPr>
      <w:r>
        <w:rPr>
          <w:rFonts w:ascii="Times New Roman" w:hAnsi="Times New Roman"/>
          <w:sz w:val="20"/>
        </w:rPr>
        <w:t xml:space="preserve">The underwriters propose initially to offer the Notes to the public at the public offering price set forth on the cover page of this prospectus supplement and may offer the 2023 Notes to certain dealers at such price less a concession not in excess of     % of the principal amount of the 2023 Notes and the 2043 Notes at such price less a concession not in excess of     % of the principal amount of the 2043 Notes. The underwriters may allow a discount with respect to the 2023 Notes not in excess of     % of the principal amount of the 2023 Notes and with respect to the 2043 Notes not in excess of     % of the principal amount of the 2043 Notes, in each case on sales to certain other brokers and dealers. After this initial public offering, the public offering price, concession and discount may be changed. </w:t>
      </w:r>
    </w:p>
    <w:p>
      <w:pPr>
        <w:pStyle w:val="TextBody"/>
        <w:spacing w:before="150" w:after="0"/>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689"/>
        <w:gridCol w:w="433"/>
        <w:gridCol w:w="125"/>
        <w:gridCol w:w="1386"/>
        <w:gridCol w:w="122"/>
      </w:tblGrid>
      <w:tr>
        <w:trPr/>
        <w:tc>
          <w:tcPr>
            <w:tcW w:w="568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689"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5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w:t>
              <w:br/>
              <w:t xml:space="preserve">      Discount       </w:t>
            </w:r>
          </w:p>
        </w:tc>
        <w:tc>
          <w:tcPr>
            <w:tcW w:w="122" w:type="dxa"/>
            <w:tcBorders/>
            <w:shd w:fill="auto" w:val="clear"/>
            <w:vAlign w:val="bottom"/>
          </w:tcPr>
          <w:p>
            <w:pPr>
              <w:pStyle w:val="TableContents"/>
              <w:spacing w:before="0" w:after="283"/>
              <w:rPr/>
            </w:pPr>
            <w:r>
              <w:rPr/>
              <w:t> </w:t>
            </w:r>
          </w:p>
        </w:tc>
      </w:tr>
      <w:tr>
        <w:trPr/>
        <w:tc>
          <w:tcPr>
            <w:tcW w:w="5689" w:type="dxa"/>
            <w:tcBorders/>
            <w:shd w:fill="CCEEFF" w:val="clear"/>
          </w:tcPr>
          <w:p>
            <w:pPr>
              <w:pStyle w:val="TableContents"/>
              <w:spacing w:before="0" w:after="283"/>
              <w:rPr>
                <w:rFonts w:ascii="Times New Roman" w:hAnsi="Times New Roman"/>
                <w:sz w:val="20"/>
              </w:rPr>
            </w:pPr>
            <w:r>
              <w:rPr>
                <w:rFonts w:ascii="Times New Roman" w:hAnsi="Times New Roman"/>
                <w:sz w:val="20"/>
              </w:rPr>
              <w:t>Per 2023 Note</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2" w:type="dxa"/>
            <w:tcBorders/>
            <w:shd w:fill="CCEEFF" w:val="clear"/>
            <w:vAlign w:val="bottom"/>
          </w:tcPr>
          <w:p>
            <w:pPr>
              <w:pStyle w:val="TableContents"/>
              <w:spacing w:before="0" w:after="283"/>
              <w:rPr/>
            </w:pPr>
            <w:r>
              <w:rPr/>
              <w:t>  </w:t>
            </w:r>
          </w:p>
        </w:tc>
      </w:tr>
      <w:tr>
        <w:trPr/>
        <w:tc>
          <w:tcPr>
            <w:tcW w:w="5689"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86" w:type="dxa"/>
            <w:tcBorders/>
            <w:shd w:fill="auto" w:val="clear"/>
            <w:vAlign w:val="bottom"/>
          </w:tcPr>
          <w:p>
            <w:pPr>
              <w:pStyle w:val="TableContents"/>
              <w:spacing w:before="0" w:after="283"/>
              <w:jc w:val="right"/>
              <w:rPr/>
            </w:pPr>
            <w:r>
              <w:rPr/>
              <w:t>                    </w:t>
            </w:r>
          </w:p>
        </w:tc>
        <w:tc>
          <w:tcPr>
            <w:tcW w:w="122" w:type="dxa"/>
            <w:tcBorders/>
            <w:shd w:fill="auto" w:val="clear"/>
            <w:vAlign w:val="bottom"/>
          </w:tcPr>
          <w:p>
            <w:pPr>
              <w:pStyle w:val="TableContents"/>
              <w:spacing w:before="0" w:after="283"/>
              <w:rPr/>
            </w:pPr>
            <w:r>
              <w:rPr/>
              <w:t>  </w:t>
            </w:r>
          </w:p>
        </w:tc>
      </w:tr>
      <w:tr>
        <w:trPr/>
        <w:tc>
          <w:tcPr>
            <w:tcW w:w="5689" w:type="dxa"/>
            <w:tcBorders/>
            <w:shd w:fill="CCEEFF" w:val="clear"/>
          </w:tcPr>
          <w:p>
            <w:pPr>
              <w:pStyle w:val="TableContents"/>
              <w:spacing w:before="0" w:after="283"/>
              <w:rPr>
                <w:rFonts w:ascii="Times New Roman" w:hAnsi="Times New Roman"/>
                <w:sz w:val="20"/>
              </w:rPr>
            </w:pPr>
            <w:r>
              <w:rPr>
                <w:rFonts w:ascii="Times New Roman" w:hAnsi="Times New Roman"/>
                <w:sz w:val="20"/>
              </w:rPr>
              <w:t>Per 2043 Note</w:t>
            </w:r>
          </w:p>
        </w:tc>
        <w:tc>
          <w:tcPr>
            <w:tcW w:w="4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2" w:type="dxa"/>
            <w:tcBorders/>
            <w:shd w:fill="CCEEFF" w:val="clear"/>
            <w:vAlign w:val="bottom"/>
          </w:tcPr>
          <w:p>
            <w:pPr>
              <w:pStyle w:val="TableContents"/>
              <w:spacing w:before="0" w:after="283"/>
              <w:rPr/>
            </w:pPr>
            <w:r>
              <w:rPr/>
              <w:t>  </w:t>
            </w:r>
          </w:p>
        </w:tc>
      </w:tr>
      <w:tr>
        <w:trPr/>
        <w:tc>
          <w:tcPr>
            <w:tcW w:w="5689"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4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86" w:type="dxa"/>
            <w:tcBorders/>
            <w:shd w:fill="auto" w:val="clear"/>
            <w:vAlign w:val="bottom"/>
          </w:tcPr>
          <w:p>
            <w:pPr>
              <w:pStyle w:val="TableContents"/>
              <w:spacing w:before="0" w:after="283"/>
              <w:jc w:val="right"/>
              <w:rPr/>
            </w:pPr>
            <w:r>
              <w:rPr/>
              <w:t>                    </w:t>
            </w:r>
          </w:p>
        </w:tc>
        <w:tc>
          <w:tcPr>
            <w:tcW w:w="122" w:type="dxa"/>
            <w:tcBorders/>
            <w:shd w:fill="auto" w:val="clear"/>
            <w:vAlign w:val="bottom"/>
          </w:tcPr>
          <w:p>
            <w:pPr>
              <w:pStyle w:val="TableContents"/>
              <w:spacing w:before="0" w:after="283"/>
              <w:rPr/>
            </w:pPr>
            <w:r>
              <w:rPr/>
              <w:t>  </w:t>
            </w:r>
          </w:p>
        </w:tc>
      </w:tr>
    </w:tbl>
    <w:p>
      <w:pPr>
        <w:pStyle w:val="TextBody"/>
        <w:spacing w:before="150" w:after="0"/>
        <w:rPr>
          <w:rFonts w:ascii="Times New Roman" w:hAnsi="Times New Roman"/>
          <w:sz w:val="20"/>
        </w:rPr>
      </w:pPr>
      <w:r>
        <w:rPr>
          <w:rFonts w:ascii="Times New Roman" w:hAnsi="Times New Roman"/>
          <w:sz w:val="20"/>
        </w:rPr>
        <w:t xml:space="preserve">We estimate that our share of the total expenses of the offering, excluding the underwriting discount, will be approximately $        . </w:t>
      </w:r>
    </w:p>
    <w:p>
      <w:pPr>
        <w:pStyle w:val="TextBody"/>
        <w:spacing w:before="150" w:after="0"/>
        <w:rPr>
          <w:rFonts w:ascii="Times New Roman" w:hAnsi="Times New Roman"/>
          <w:b/>
          <w:sz w:val="20"/>
        </w:rPr>
      </w:pPr>
      <w:r>
        <w:rPr>
          <w:rFonts w:ascii="Times New Roman" w:hAnsi="Times New Roman"/>
          <w:b/>
          <w:sz w:val="20"/>
        </w:rPr>
        <w:t xml:space="preserve">New Issues of Notes </w:t>
      </w:r>
    </w:p>
    <w:p>
      <w:pPr>
        <w:pStyle w:val="TextBody"/>
        <w:spacing w:before="150" w:after="0"/>
        <w:rPr>
          <w:rFonts w:ascii="Times New Roman" w:hAnsi="Times New Roman"/>
          <w:sz w:val="20"/>
        </w:rPr>
      </w:pPr>
      <w:r>
        <w:rPr>
          <w:rFonts w:ascii="Times New Roman" w:hAnsi="Times New Roman"/>
          <w:sz w:val="20"/>
        </w:rPr>
        <w:t xml:space="preserve">Each series of Notes is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Stabilization and Short Positions </w:t>
      </w:r>
    </w:p>
    <w:p>
      <w:pPr>
        <w:pStyle w:val="TextBody"/>
        <w:spacing w:before="150" w:after="0"/>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spacing w:before="150" w:after="0"/>
        <w:rPr>
          <w:rFonts w:ascii="Times New Roman" w:hAnsi="Times New Roman"/>
          <w:b/>
          <w:sz w:val="20"/>
        </w:rPr>
      </w:pPr>
      <w:r>
        <w:rPr>
          <w:rFonts w:ascii="Times New Roman" w:hAnsi="Times New Roman"/>
          <w:b/>
          <w:sz w:val="20"/>
        </w:rPr>
        <w:t xml:space="preserve">Settlement </w:t>
      </w:r>
    </w:p>
    <w:p>
      <w:pPr>
        <w:pStyle w:val="TextBody"/>
        <w:spacing w:before="150" w:after="0"/>
        <w:rPr>
          <w:rFonts w:ascii="Times New Roman" w:hAnsi="Times New Roman"/>
          <w:sz w:val="20"/>
        </w:rPr>
      </w:pPr>
      <w:r>
        <w:rPr>
          <w:rFonts w:ascii="Times New Roman" w:hAnsi="Times New Roman"/>
          <w:sz w:val="20"/>
        </w:rPr>
        <w:t xml:space="preserve">We expect delivery of the Notes will be made against payment therefor on or about December     , 2012, which is the              business day following the date of pricing of the Notes (such settlement being referred to as T+        ).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 </w:t>
      </w:r>
    </w:p>
    <w:p>
      <w:pPr>
        <w:pStyle w:val="TextBody"/>
        <w:spacing w:before="150" w:after="0"/>
        <w:rPr>
          <w:rFonts w:ascii="Times New Roman" w:hAnsi="Times New Roman"/>
          <w:b/>
          <w:sz w:val="20"/>
        </w:rPr>
      </w:pPr>
      <w:r>
        <w:rPr>
          <w:rFonts w:ascii="Times New Roman" w:hAnsi="Times New Roman"/>
          <w:b/>
          <w:sz w:val="20"/>
        </w:rPr>
        <w:t xml:space="preserve">Conflicts of Interest </w:t>
      </w:r>
    </w:p>
    <w:p>
      <w:pPr>
        <w:pStyle w:val="TextBody"/>
        <w:spacing w:before="150" w:after="0"/>
        <w:rPr>
          <w:rFonts w:ascii="Times New Roman" w:hAnsi="Times New Roman"/>
          <w:sz w:val="20"/>
        </w:rPr>
      </w:pPr>
      <w:r>
        <w:rPr>
          <w:rFonts w:ascii="Times New Roman" w:hAnsi="Times New Roman"/>
          <w:sz w:val="20"/>
        </w:rPr>
        <w:t xml:space="preserve">Affiliates of each of the underwriters are lenders under our credit facilities, and, accordingly, may receive a portion of the net proceeds from this offering pursuant to any repayment of borrowings under our credit facilities. </w:t>
      </w:r>
    </w:p>
    <w:p>
      <w:pPr>
        <w:pStyle w:val="TextBody"/>
        <w:spacing w:before="150" w:after="0"/>
        <w:rPr>
          <w:rFonts w:ascii="Times New Roman" w:hAnsi="Times New Roman"/>
          <w:b/>
          <w:sz w:val="20"/>
        </w:rPr>
      </w:pPr>
      <w:r>
        <w:rPr>
          <w:rFonts w:ascii="Times New Roman" w:hAnsi="Times New Roman"/>
          <w:b/>
          <w:sz w:val="20"/>
        </w:rPr>
        <w:t xml:space="preserve">Selling Restrictions </w:t>
      </w:r>
    </w:p>
    <w:p>
      <w:pPr>
        <w:pStyle w:val="TextBody"/>
        <w:spacing w:before="15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50" w:after="0"/>
        <w:rPr>
          <w:rFonts w:ascii="Times New Roman" w:hAnsi="Times New Roman"/>
          <w:sz w:val="20"/>
        </w:rPr>
      </w:pPr>
      <w:r>
        <w:rPr>
          <w:rFonts w:ascii="Times New Roman" w:hAnsi="Times New Roman"/>
          <w:sz w:val="20"/>
        </w:rPr>
        <w:t xml:space="preserve">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 </w:t>
      </w:r>
    </w:p>
    <w:p>
      <w:pPr>
        <w:pStyle w:val="TextBody"/>
        <w:spacing w:before="150" w:after="0"/>
        <w:rPr>
          <w:rFonts w:ascii="Times New Roman" w:hAnsi="Times New Roman"/>
          <w:sz w:val="20"/>
        </w:rPr>
      </w:pPr>
      <w:r>
        <w:rPr>
          <w:rFonts w:ascii="Times New Roman" w:hAnsi="Times New Roman"/>
          <w:sz w:val="20"/>
        </w:rPr>
        <w:t xml:space="preserve">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spacing w:before="15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5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5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5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5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 </w:t>
      </w:r>
    </w:p>
    <w:p>
      <w:pPr>
        <w:pStyle w:val="TextBody"/>
        <w:spacing w:before="150" w:after="0"/>
        <w:rPr>
          <w:rFonts w:ascii="Times New Roman" w:hAnsi="Times New Roman"/>
          <w:b/>
          <w:sz w:val="20"/>
        </w:rPr>
      </w:pPr>
      <w:r>
        <w:rPr>
          <w:rFonts w:ascii="Times New Roman" w:hAnsi="Times New Roman"/>
          <w:b/>
          <w:sz w:val="20"/>
        </w:rPr>
        <w:t xml:space="preserve">Other Relationships </w:t>
      </w:r>
    </w:p>
    <w:p>
      <w:pPr>
        <w:pStyle w:val="TextBody"/>
        <w:spacing w:before="150" w:after="0"/>
        <w:rPr>
          <w:rFonts w:ascii="Times New Roman" w:hAnsi="Times New Roman"/>
          <w:sz w:val="20"/>
        </w:rPr>
      </w:pPr>
      <w:r>
        <w:rPr>
          <w:rFonts w:ascii="Times New Roman" w:hAnsi="Times New Roman"/>
          <w:sz w:val="20"/>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w:t>
      </w:r>
    </w:p>
    <w:p>
      <w:pPr>
        <w:pStyle w:val="TextBody"/>
        <w:spacing w:before="150" w:after="0"/>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Indemnification </w:t>
      </w:r>
    </w:p>
    <w:p>
      <w:pPr>
        <w:pStyle w:val="TextBody"/>
        <w:spacing w:before="150" w:after="0"/>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upprom447729_12"/>
      <w:bookmarkEnd w:id="14"/>
      <w:r>
        <w:rPr>
          <w:rFonts w:ascii="Times New Roman" w:hAnsi="Times New Roman"/>
          <w:b/>
          <w:sz w:val="20"/>
        </w:rPr>
        <w:t xml:space="preserve">LEGAL MATTERS </w:t>
      </w:r>
    </w:p>
    <w:p>
      <w:pPr>
        <w:pStyle w:val="TextBody"/>
        <w:spacing w:before="150" w:after="0"/>
        <w:rPr>
          <w:rFonts w:ascii="Times New Roman" w:hAnsi="Times New Roman"/>
          <w:sz w:val="20"/>
        </w:rPr>
      </w:pPr>
      <w:r>
        <w:rPr>
          <w:rFonts w:ascii="Times New Roman" w:hAnsi="Times New Roman"/>
          <w:sz w:val="20"/>
        </w:rPr>
        <w:t xml:space="preserve">Certain legal matters in connection with the Notes being offered hereby will be passed upon for us by Vinson &amp; Elkins L.L.P., Houston, Texas and for the underwriters by Baker Botts L.L.P., Houston, Texas. </w:t>
      </w:r>
    </w:p>
    <w:p>
      <w:pPr>
        <w:pStyle w:val="TextBody"/>
        <w:spacing w:before="150" w:after="0"/>
        <w:jc w:val="center"/>
        <w:rPr>
          <w:rFonts w:ascii="Times New Roman" w:hAnsi="Times New Roman"/>
          <w:b/>
          <w:sz w:val="20"/>
        </w:rPr>
      </w:pPr>
      <w:bookmarkStart w:id="15" w:name="supprom447729_13"/>
      <w:bookmarkEnd w:id="15"/>
      <w:r>
        <w:rPr>
          <w:rFonts w:ascii="Times New Roman" w:hAnsi="Times New Roman"/>
          <w:b/>
          <w:sz w:val="20"/>
        </w:rPr>
        <w:t xml:space="preserve">EXPERTS </w:t>
      </w:r>
    </w:p>
    <w:p>
      <w:pPr>
        <w:pStyle w:val="TextBody"/>
        <w:spacing w:before="15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5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supplement from our Current Report on Form 8-K/A dated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150" w:after="0"/>
        <w:jc w:val="center"/>
        <w:rPr>
          <w:rFonts w:ascii="Times New Roman" w:hAnsi="Times New Roman"/>
          <w:b/>
          <w:sz w:val="20"/>
        </w:rPr>
      </w:pPr>
      <w:bookmarkStart w:id="16" w:name="supprom447729_14"/>
      <w:bookmarkEnd w:id="16"/>
      <w:r>
        <w:rPr>
          <w:rFonts w:ascii="Times New Roman" w:hAnsi="Times New Roman"/>
          <w:b/>
          <w:sz w:val="20"/>
        </w:rPr>
        <w:t xml:space="preserve">WHERE YOU CAN FIND MORE INFORMATION </w:t>
      </w:r>
    </w:p>
    <w:p>
      <w:pPr>
        <w:pStyle w:val="TextBody"/>
        <w:spacing w:before="15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March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September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0"/>
        <w:gridCol w:w="9495"/>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 2012 (amendment of Limited Partnership Agreement of Plains All American Pipeline, L.P.);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November 8, 2012 (announcement regarding filing of prospectus supplement relating to equity distribution agreement). </w:t>
            </w:r>
          </w:p>
        </w:tc>
      </w:tr>
    </w:tbl>
    <w:p>
      <w:pPr>
        <w:pStyle w:val="TextBody"/>
        <w:spacing w:before="15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15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5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15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9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pPr>
      <w:r>
        <w:rPr>
          <w:rFonts w:ascii="Times New Roman" w:hAnsi="Times New Roman"/>
          <w:b/>
          <w:sz w:val="20"/>
        </w:rPr>
        <w:t>Investing in our common units and the debt securities involves risks. Limited partnerships are inherently different from corporations. You should carefully consider the risk factors described under </w:t>
      </w:r>
      <w:hyperlink w:anchor="rom447729_5">
        <w:r>
          <w:rPr>
            <w:rStyle w:val="InternetLink"/>
            <w:rFonts w:ascii="Times New Roman" w:hAnsi="Times New Roman"/>
            <w:b/>
            <w:sz w:val="20"/>
          </w:rPr>
          <w:t>Risk Factors</w:t>
        </w:r>
      </w:hyperlink>
      <w:r>
        <w:rPr>
          <w:rFonts w:ascii="Times New Roman" w:hAnsi="Times New Roman"/>
          <w:b/>
          <w:sz w:val="20"/>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The date of this prospectus is September 27,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447729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47729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18" w:name="rom447729_1"/>
      <w:bookmarkEnd w:id="18"/>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447729_2"/>
      <w:bookmarkEnd w:id="19"/>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333 Clay Street, Suite 1600 Houston, Texas 77002 Attention: Corporate Secretary 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447729_3"/>
      <w:bookmarkEnd w:id="20"/>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447729_4"/>
      <w:bookmarkEnd w:id="21"/>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447729_5"/>
      <w:bookmarkEnd w:id="22"/>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447729_6"/>
      <w:bookmarkEnd w:id="23"/>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447729_7"/>
      <w:bookmarkEnd w:id="24"/>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w:t>
              <w:br/>
              <w:t>Months</w:t>
            </w:r>
            <w:r>
              <w:rPr/>
              <w:br/>
            </w:r>
            <w:r>
              <w:rPr>
                <w:rFonts w:ascii="Times New Roman" w:hAnsi="Times New Roman"/>
                <w:b/>
                <w:sz w:val="14"/>
              </w:rPr>
              <w:t>Ended</w:t>
            </w:r>
            <w:r>
              <w:rPr/>
              <w:br/>
            </w:r>
            <w:r>
              <w:rPr>
                <w:rFonts w:ascii="Times New Roman" w:hAnsi="Times New Roman"/>
                <w:b/>
                <w:sz w:val="14"/>
              </w:rP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447729_8"/>
      <w:bookmarkEnd w:id="25"/>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either: </w:t>
      </w:r>
    </w:p>
    <w:p>
      <w:pPr>
        <w:pStyle w:val="TextBody"/>
        <w:spacing w:before="18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8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447729_9"/>
      <w:bookmarkEnd w:id="26"/>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447729_10"/>
      <w:bookmarkEnd w:id="27"/>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447729_11"/>
      <w:bookmarkEnd w:id="28"/>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447729_12"/>
      <w:bookmarkEnd w:id="29"/>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18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18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27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27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18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27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18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18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180" w:after="0"/>
        <w:rPr>
          <w:rFonts w:ascii="Times New Roman" w:hAnsi="Times New Roman"/>
          <w:sz w:val="20"/>
        </w:rPr>
      </w:pPr>
      <w:r>
        <w:rPr>
          <w:rFonts w:ascii="Times New Roman" w:hAnsi="Times New Roman"/>
          <w:sz w:val="20"/>
        </w:rPr>
        <w:t xml:space="preserve">(a) a non-U.S. person; </w:t>
      </w:r>
    </w:p>
    <w:p>
      <w:pPr>
        <w:pStyle w:val="TextBody"/>
        <w:spacing w:before="18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 a tax-exempt entity; </w:t>
      </w:r>
    </w:p>
    <w:p>
      <w:pPr>
        <w:pStyle w:val="TextBody"/>
        <w:spacing w:before="18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18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447729_13"/>
      <w:bookmarkEnd w:id="30"/>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447729_14"/>
      <w:bookmarkEnd w:id="31"/>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32" w:name="rom447729_15"/>
      <w:bookmarkEnd w:id="32"/>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p>
      <w:pPr>
        <w:pStyle w:val="TextBody"/>
        <w:spacing w:before="1500" w:after="0"/>
        <w:jc w:val="center"/>
        <w:rPr/>
      </w:pPr>
      <w:r>
        <w:rPr/>
        <w:drawing>
          <wp:inline distT="0" distB="0" distL="0" distR="0">
            <wp:extent cx="18859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210" w:after="0"/>
        <w:jc w:val="center"/>
        <w:rPr>
          <w:rFonts w:ascii="Times New Roman" w:hAnsi="Times New Roman"/>
          <w:b/>
          <w:sz w:val="28"/>
        </w:rPr>
      </w:pPr>
      <w:r>
        <w:rPr>
          <w:rFonts w:ascii="Times New Roman" w:hAnsi="Times New Roman"/>
          <w:b/>
          <w:sz w:val="28"/>
        </w:rPr>
        <w:t xml:space="preserve">$             % Senior Notes due 2023 </w:t>
      </w:r>
    </w:p>
    <w:p>
      <w:pPr>
        <w:pStyle w:val="TextBody"/>
        <w:spacing w:before="30" w:after="0"/>
        <w:jc w:val="center"/>
        <w:rPr>
          <w:rFonts w:ascii="Times New Roman" w:hAnsi="Times New Roman"/>
          <w:b/>
          <w:sz w:val="28"/>
        </w:rPr>
      </w:pPr>
      <w:r>
        <w:rPr>
          <w:rFonts w:ascii="Times New Roman" w:hAnsi="Times New Roman"/>
          <w:b/>
          <w:sz w:val="28"/>
        </w:rPr>
        <w:t xml:space="preserve">$             % Senior Notes due 2043 </w:t>
      </w:r>
    </w:p>
    <w:p>
      <w:pPr>
        <w:pStyle w:val="TextBody"/>
        <w:spacing w:before="0" w:after="0"/>
        <w:rPr/>
      </w:pPr>
      <w:r>
        <w:rPr/>
        <w:t> </w:t>
      </w:r>
    </w:p>
    <w:p>
      <w:pPr>
        <w:pStyle w:val="TextBody"/>
        <w:pBdr>
          <w:bottom w:val="single" w:sz="3" w:space="1" w:color="000000"/>
        </w:pBdr>
        <w:spacing w:lineRule="atLeast" w:line="141" w:before="0" w:after="30"/>
        <w:jc w:val="center"/>
        <w:rPr/>
      </w:pPr>
      <w:r>
        <w:rPr/>
        <w:t> </w:t>
      </w:r>
    </w:p>
    <w:p>
      <w:pPr>
        <w:pStyle w:val="TextBody"/>
        <w:spacing w:before="15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180" w:after="0"/>
        <w:jc w:val="center"/>
        <w:rPr>
          <w:rFonts w:ascii="Times New Roman" w:hAnsi="Times New Roman"/>
          <w:b/>
          <w:sz w:val="20"/>
        </w:rPr>
      </w:pPr>
      <w:r>
        <w:rPr>
          <w:rFonts w:ascii="Times New Roman" w:hAnsi="Times New Roman"/>
          <w:b/>
          <w:sz w:val="20"/>
        </w:rPr>
        <w:t xml:space="preserve">December     , 2012 </w:t>
      </w:r>
    </w:p>
    <w:p>
      <w:pPr>
        <w:pStyle w:val="TextBody"/>
        <w:spacing w:before="0" w:after="0"/>
        <w:rPr/>
      </w:pPr>
      <w:r>
        <w:rPr/>
        <w:t> </w:t>
      </w:r>
    </w:p>
    <w:p>
      <w:pPr>
        <w:pStyle w:val="TextBody"/>
        <w:pBdr>
          <w:bottom w:val="single" w:sz="3" w:space="1" w:color="000000"/>
        </w:pBdr>
        <w:spacing w:lineRule="atLeast" w:line="141" w:before="0" w:after="30"/>
        <w:jc w:val="center"/>
        <w:rPr/>
      </w:pPr>
      <w:r>
        <w:rPr/>
        <w:t> </w:t>
      </w:r>
    </w:p>
    <w:p>
      <w:pPr>
        <w:pStyle w:val="TextBody"/>
        <w:spacing w:before="30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150" w:after="0"/>
        <w:jc w:val="center"/>
        <w:rPr>
          <w:rFonts w:ascii="Times New Roman" w:hAnsi="Times New Roman"/>
          <w:b/>
          <w:sz w:val="28"/>
        </w:rPr>
      </w:pPr>
      <w:r>
        <w:rPr>
          <w:rFonts w:ascii="Times New Roman" w:hAnsi="Times New Roman"/>
          <w:b/>
          <w:sz w:val="28"/>
        </w:rPr>
        <w:t xml:space="preserve">Wells Fargo Securities </w:t>
      </w:r>
    </w:p>
    <w:p>
      <w:pPr>
        <w:pStyle w:val="TextBody"/>
        <w:spacing w:before="0" w:after="0"/>
        <w:jc w:val="center"/>
        <w:rPr>
          <w:rFonts w:ascii="Times New Roman" w:hAnsi="Times New Roman"/>
          <w:b/>
          <w:sz w:val="28"/>
        </w:rPr>
      </w:pPr>
      <w:r>
        <w:rPr>
          <w:rFonts w:ascii="Times New Roman" w:hAnsi="Times New Roman"/>
          <w:b/>
          <w:sz w:val="28"/>
        </w:rPr>
        <w:t xml:space="preserve">Barclays </w:t>
      </w:r>
    </w:p>
    <w:p>
      <w:pPr>
        <w:pStyle w:val="TextBody"/>
        <w:spacing w:before="0" w:after="0"/>
        <w:jc w:val="center"/>
        <w:rPr>
          <w:rFonts w:ascii="Times New Roman" w:hAnsi="Times New Roman"/>
          <w:b/>
          <w:sz w:val="28"/>
        </w:rPr>
      </w:pPr>
      <w:r>
        <w:rPr>
          <w:rFonts w:ascii="Times New Roman" w:hAnsi="Times New Roman"/>
          <w:b/>
          <w:sz w:val="28"/>
        </w:rPr>
        <w:t xml:space="preserve">Citigroup </w:t>
      </w:r>
    </w:p>
    <w:p>
      <w:pPr>
        <w:pStyle w:val="TextBody"/>
        <w:spacing w:before="0" w:after="0"/>
        <w:jc w:val="center"/>
        <w:rPr>
          <w:rFonts w:ascii="Times New Roman" w:hAnsi="Times New Roman"/>
          <w:b/>
          <w:sz w:val="28"/>
        </w:rPr>
      </w:pPr>
      <w:r>
        <w:rPr>
          <w:rFonts w:ascii="Times New Roman" w:hAnsi="Times New Roman"/>
          <w:b/>
          <w:sz w:val="28"/>
        </w:rPr>
        <w:t xml:space="preserve">SunTrust Robinson Humphrey </w:t>
      </w:r>
    </w:p>
    <w:p>
      <w:pPr>
        <w:pStyle w:val="TextBody"/>
        <w:spacing w:before="0" w:after="0"/>
        <w:jc w:val="center"/>
        <w:rPr>
          <w:rFonts w:ascii="Times New Roman" w:hAnsi="Times New Roman"/>
          <w:b/>
          <w:sz w:val="28"/>
        </w:rPr>
      </w:pPr>
      <w:r>
        <w:rPr>
          <w:rFonts w:ascii="Times New Roman" w:hAnsi="Times New Roman"/>
          <w:b/>
          <w:sz w:val="28"/>
        </w:rPr>
        <w:t xml:space="preserve">UBS Investment Bank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87</Pages>
  <Words>43961</Words>
  <CharactersWithSpaces>270940</CharactersWithSpaces>
  <Paragraphs>3175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PRELIMINARY PROSPECTUS SUPPLEMENT</dc:title>
</cp:coreProperties>
</file>