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February 7, 2025</w:t>
      </w:r>
    </w:p>
    <w:p>
      <w:pPr>
        <w:spacing w:after="0" w:line="2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320" w:top="1415" w:right="359" w:bottom="1440" w:gutter="0" w:footer="0" w:header="0"/>
        </w:sectPr>
      </w:pPr>
    </w:p>
    <w:p>
      <w:pPr>
        <w:spacing w:after="0" w:line="26"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2" w:lineRule="exact"/>
        <w:rPr>
          <w:sz w:val="24"/>
          <w:szCs w:val="24"/>
          <w:color w:val="auto"/>
        </w:rPr>
      </w:pPr>
    </w:p>
    <w:p>
      <w:pPr>
        <w:sectPr>
          <w:pgSz w:w="11900" w:h="16838" w:orient="portrait"/>
          <w:cols w:equalWidth="0" w:num="3">
            <w:col w:w="3900" w:space="720"/>
            <w:col w:w="2520" w:space="720"/>
            <w:col w:w="3360"/>
          </w:cols>
          <w:pgMar w:left="320" w:top="1415" w:right="359" w:bottom="1440" w:gutter="0" w:footer="0" w:header="0"/>
          <w:type w:val="continuous"/>
        </w:sectPr>
      </w:pPr>
    </w:p>
    <w:p>
      <w:pPr>
        <w:ind w:left="1620"/>
        <w:spacing w:after="0" w:line="229" w:lineRule="auto"/>
        <w:rPr>
          <w:sz w:val="20"/>
          <w:szCs w:val="20"/>
          <w:color w:val="auto"/>
        </w:rPr>
      </w:pPr>
      <w:r>
        <w:rPr>
          <w:rFonts w:ascii="Times New Roman" w:cs="Times New Roman" w:eastAsia="Times New Roman" w:hAnsi="Times New Roman"/>
          <w:sz w:val="18"/>
          <w:szCs w:val="18"/>
          <w:color w:val="auto"/>
        </w:rPr>
        <w:t>incorporation)</w:t>
      </w:r>
    </w:p>
    <w:p>
      <w:pPr>
        <w:spacing w:after="0" w:line="31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20"/>
          </w:cols>
          <w:pgMar w:left="320" w:top="1415" w:right="359" w:bottom="1440" w:gutter="0" w:footer="0" w:header="0"/>
          <w:type w:val="continuous"/>
        </w:sectPr>
      </w:pP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52"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40" w:firstLine="8"/>
        <w:spacing w:after="0" w:line="553"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0" w:type="dxa"/>
        <w:tblCellMar>
          <w:top w:w="0" w:type="dxa"/>
          <w:left w:w="0" w:type="dxa"/>
          <w:bottom w:w="0" w:type="dxa"/>
          <w:right w:w="0" w:type="dxa"/>
        </w:tblCellMar>
      </w:tblPr>
      <w:tr>
        <w:trPr>
          <w:trHeight w:val="238"/>
        </w:trPr>
        <w:tc>
          <w:tcPr>
            <w:tcW w:w="3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Units</w:t>
            </w:r>
          </w:p>
        </w:tc>
        <w:tc>
          <w:tcPr>
            <w:tcW w:w="12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PAA</w:t>
            </w:r>
          </w:p>
        </w:tc>
        <w:tc>
          <w:tcPr>
            <w:tcW w:w="120" w:type="dxa"/>
            <w:vAlign w:val="bottom"/>
          </w:tcPr>
          <w:p>
            <w:pPr>
              <w:spacing w:after="0"/>
              <w:rPr>
                <w:sz w:val="19"/>
                <w:szCs w:val="19"/>
                <w:color w:val="auto"/>
              </w:rPr>
            </w:pPr>
          </w:p>
        </w:tc>
        <w:tc>
          <w:tcPr>
            <w:tcW w:w="4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314"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7" w:lineRule="exact"/>
        <w:rPr>
          <w:sz w:val="24"/>
          <w:szCs w:val="24"/>
          <w:color w:val="auto"/>
        </w:rPr>
      </w:pPr>
    </w:p>
    <w:p>
      <w:pPr>
        <w:ind w:right="220"/>
        <w:spacing w:after="0" w:line="231"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835660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59690</wp:posOffset>
            </wp:positionV>
            <wp:extent cx="70891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0</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and Item 7.01. Results of Operations and Financial Condition; Regulation FD Disclosure.</w:t>
      </w:r>
    </w:p>
    <w:p>
      <w:pPr>
        <w:spacing w:after="0" w:line="256" w:lineRule="exact"/>
        <w:rPr>
          <w:sz w:val="20"/>
          <w:szCs w:val="20"/>
          <w:color w:val="auto"/>
        </w:rPr>
      </w:pPr>
    </w:p>
    <w:p>
      <w:pPr>
        <w:ind w:firstLine="180"/>
        <w:spacing w:after="0" w:line="258" w:lineRule="auto"/>
        <w:rPr>
          <w:sz w:val="20"/>
          <w:szCs w:val="20"/>
          <w:color w:val="auto"/>
        </w:rPr>
      </w:pPr>
      <w:r>
        <w:rPr>
          <w:rFonts w:ascii="Times New Roman" w:cs="Times New Roman" w:eastAsia="Times New Roman" w:hAnsi="Times New Roman"/>
          <w:sz w:val="18"/>
          <w:szCs w:val="18"/>
          <w:color w:val="auto"/>
        </w:rPr>
        <w:t>On February 7, 2025, the Registrant issued a press release reporting its fourth-quarter 2024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 Exhibits.</w:t>
      </w:r>
    </w:p>
    <w:p>
      <w:pPr>
        <w:spacing w:after="0" w:line="32"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720" w:type="dxa"/>
            <w:vAlign w:val="bottom"/>
            <w:vMerge w:val="restart"/>
          </w:tcPr>
          <w:p>
            <w:pPr>
              <w:ind w:left="6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14"/>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08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700" w:type="dxa"/>
            <w:vAlign w:val="bottom"/>
            <w:tcBorders>
              <w:top w:val="single" w:sz="8" w:color="auto"/>
              <w:bottom w:val="single" w:sz="8" w:color="0000FF"/>
            </w:tcBorders>
          </w:tcPr>
          <w:p>
            <w:pPr>
              <w:spacing w:after="0" w:line="184" w:lineRule="exact"/>
              <w:rPr>
                <w:sz w:val="20"/>
                <w:szCs w:val="20"/>
                <w:color w:val="auto"/>
              </w:rPr>
            </w:pPr>
            <w:r>
              <w:rPr>
                <w:rFonts w:ascii="Times New Roman" w:cs="Times New Roman" w:eastAsia="Times New Roman" w:hAnsi="Times New Roman"/>
                <w:sz w:val="18"/>
                <w:szCs w:val="18"/>
                <w:color w:val="0000FF"/>
                <w:w w:val="99"/>
              </w:rPr>
              <w:t>Press Release dated February 7, 2025</w:t>
            </w:r>
          </w:p>
        </w:tc>
        <w:tc>
          <w:tcPr>
            <w:tcW w:w="47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860" w:hanging="792"/>
        <w:spacing w:after="0"/>
        <w:tabs>
          <w:tab w:leader="none" w:pos="1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0"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87" w:right="4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4" w:lineRule="exact"/>
        <w:rPr>
          <w:sz w:val="20"/>
          <w:szCs w:val="20"/>
          <w:color w:val="auto"/>
        </w:rPr>
      </w:pPr>
    </w:p>
    <w:p>
      <w:pPr>
        <w:ind w:right="700" w:firstLine="180"/>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8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PLAINS ALL AMERICAN PIPELINE, L.P.</w:t>
            </w:r>
          </w:p>
        </w:tc>
      </w:tr>
      <w:tr>
        <w:trPr>
          <w:trHeight w:val="499"/>
        </w:trPr>
        <w:tc>
          <w:tcPr>
            <w:tcW w:w="3100" w:type="dxa"/>
            <w:vAlign w:val="bottom"/>
          </w:tcPr>
          <w:p>
            <w:pPr>
              <w:spacing w:after="0"/>
              <w:rPr>
                <w:sz w:val="24"/>
                <w:szCs w:val="24"/>
                <w:color w:val="auto"/>
              </w:rPr>
            </w:pPr>
          </w:p>
        </w:tc>
        <w:tc>
          <w:tcPr>
            <w:tcW w:w="8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By:  PAA GP LLC, its general partner</w:t>
            </w:r>
          </w:p>
        </w:tc>
      </w:tr>
      <w:tr>
        <w:trPr>
          <w:trHeight w:val="500"/>
        </w:trPr>
        <w:tc>
          <w:tcPr>
            <w:tcW w:w="3100" w:type="dxa"/>
            <w:vAlign w:val="bottom"/>
          </w:tcPr>
          <w:p>
            <w:pPr>
              <w:spacing w:after="0"/>
              <w:rPr>
                <w:sz w:val="24"/>
                <w:szCs w:val="24"/>
                <w:color w:val="auto"/>
              </w:rPr>
            </w:pPr>
          </w:p>
        </w:tc>
        <w:tc>
          <w:tcPr>
            <w:tcW w:w="8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By:  Plains AAP, L.P., its sole member</w:t>
            </w:r>
          </w:p>
        </w:tc>
      </w:tr>
      <w:tr>
        <w:trPr>
          <w:trHeight w:val="499"/>
        </w:trPr>
        <w:tc>
          <w:tcPr>
            <w:tcW w:w="3100" w:type="dxa"/>
            <w:vAlign w:val="bottom"/>
          </w:tcPr>
          <w:p>
            <w:pPr>
              <w:spacing w:after="0"/>
              <w:rPr>
                <w:sz w:val="24"/>
                <w:szCs w:val="24"/>
                <w:color w:val="auto"/>
              </w:rPr>
            </w:pPr>
          </w:p>
        </w:tc>
        <w:tc>
          <w:tcPr>
            <w:tcW w:w="8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tc>
      </w:tr>
      <w:tr>
        <w:trPr>
          <w:trHeight w:val="499"/>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7, 2025</w:t>
            </w:r>
          </w:p>
        </w:tc>
        <w:tc>
          <w:tcPr>
            <w:tcW w:w="8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By:  /s/ Sharon Spurlin</w:t>
            </w:r>
          </w:p>
        </w:tc>
      </w:tr>
      <w:tr>
        <w:trPr>
          <w:trHeight w:val="216"/>
        </w:trPr>
        <w:tc>
          <w:tcPr>
            <w:tcW w:w="3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5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Sharon Spurlin</w:t>
            </w:r>
          </w:p>
        </w:tc>
      </w:tr>
      <w:tr>
        <w:trPr>
          <w:trHeight w:val="236"/>
        </w:trPr>
        <w:tc>
          <w:tcPr>
            <w:tcW w:w="3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Senior 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981"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294005</wp:posOffset>
            </wp:positionV>
            <wp:extent cx="2468880" cy="951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68880"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Plains All American Reports Fourth-Quarter and Full-Year 2024 Results;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Provides Update on Efficient Growth Initiatives and Announces 2025 Guidance</w:t>
      </w:r>
    </w:p>
    <w:p>
      <w:pPr>
        <w:spacing w:after="0" w:line="23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Houston, TX – February 7, 2025 – Plains All American Pipeline, L.P. (Nasdaq: PAA) and Plains GP Holdings (Nasdaq: PAGP) today reported fourth-quarter and full-year 2024 results, announced 2025 guidance and provided the following highlights: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Results</w:t>
      </w:r>
    </w:p>
    <w:p>
      <w:pPr>
        <w:spacing w:after="0" w:line="81" w:lineRule="exact"/>
        <w:rPr>
          <w:sz w:val="20"/>
          <w:szCs w:val="20"/>
          <w:color w:val="auto"/>
        </w:rPr>
      </w:pPr>
    </w:p>
    <w:p>
      <w:pPr>
        <w:ind w:left="660" w:right="220" w:hanging="328"/>
        <w:spacing w:after="0" w:line="282" w:lineRule="auto"/>
        <w:tabs>
          <w:tab w:leader="none" w:pos="6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Fourth-quarter and full-year 2024 Net income attributable to PAA of $36 million and $772 million, respectively, and 2024 Net cash provided by operating activities of $726 million and $2.49 billion, respectively</w:t>
      </w:r>
    </w:p>
    <w:p>
      <w:pPr>
        <w:spacing w:after="0" w:line="26" w:lineRule="exact"/>
        <w:rPr>
          <w:rFonts w:ascii="Times New Roman" w:cs="Times New Roman" w:eastAsia="Times New Roman" w:hAnsi="Times New Roman"/>
          <w:sz w:val="18"/>
          <w:szCs w:val="18"/>
          <w:b w:val="1"/>
          <w:bCs w:val="1"/>
          <w:color w:val="auto"/>
        </w:rPr>
      </w:pPr>
    </w:p>
    <w:p>
      <w:pPr>
        <w:ind w:left="660" w:right="2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strong fourth-quarter and full-year 2024 Adjusted EBITDA attributable to PAA above the top-end of guidance with $729 million and $2.78 billion, respectively</w:t>
      </w:r>
    </w:p>
    <w:p>
      <w:pPr>
        <w:spacing w:after="0" w:line="1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full-year 2024 Adjusted Free Cash Flow (excluding changes in Assets &amp; Liabilities; including impact from legal settlements) of $1.17 billion and exited the year with leverage at 3.0x</w:t>
      </w:r>
    </w:p>
    <w:p>
      <w:pPr>
        <w:spacing w:after="0" w:line="13"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the quarter includes the impact of a $225 million charge resulting from the write-off of a receivable for Line 901 insurance proceeds and $140 million of non-cash charges related to the write-down of two U.S. NGL terminals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Efficient Growth Initiatives</w:t>
      </w:r>
    </w:p>
    <w:p>
      <w:pPr>
        <w:spacing w:after="0" w:line="81" w:lineRule="exact"/>
        <w:rPr>
          <w:sz w:val="20"/>
          <w:szCs w:val="20"/>
          <w:color w:val="auto"/>
        </w:rPr>
      </w:pPr>
    </w:p>
    <w:p>
      <w:pPr>
        <w:ind w:left="660" w:right="400" w:hanging="328"/>
        <w:spacing w:after="0" w:line="282" w:lineRule="auto"/>
        <w:tabs>
          <w:tab w:leader="none" w:pos="65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Closed all three previously announced bolt-on acquisitions for approximately $670 million net to PAA, including the acquisition of Ironwood Midstream Energy</w:t>
      </w:r>
    </w:p>
    <w:p>
      <w:pPr>
        <w:spacing w:after="0" w:line="26" w:lineRule="exact"/>
        <w:rPr>
          <w:rFonts w:ascii="Times New Roman" w:cs="Times New Roman" w:eastAsia="Times New Roman" w:hAnsi="Times New Roman"/>
          <w:sz w:val="18"/>
          <w:szCs w:val="18"/>
          <w:b w:val="1"/>
          <w:bCs w:val="1"/>
          <w:color w:val="auto"/>
        </w:rPr>
      </w:pPr>
    </w:p>
    <w:p>
      <w:pPr>
        <w:ind w:left="660" w:right="4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Closed on previously announced purchase of approximately 12.7 million units, or 18%, of its Series A Preferred Units for a purchase price of approximately $330 million</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pursuing a long runway of synergistic and strong return bolt-on opportunities across the asset footprint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Outlook</w:t>
      </w:r>
    </w:p>
    <w:p>
      <w:pPr>
        <w:spacing w:after="0" w:line="81"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Expect full-year 2025 Adjusted EBITDA attributable to PAA of $2.80 - $2.95 billion</w:t>
      </w:r>
    </w:p>
    <w:p>
      <w:pPr>
        <w:spacing w:after="0" w:line="90" w:lineRule="exact"/>
        <w:rPr>
          <w:rFonts w:ascii="Times New Roman" w:cs="Times New Roman" w:eastAsia="Times New Roman" w:hAnsi="Times New Roman"/>
          <w:sz w:val="18"/>
          <w:szCs w:val="18"/>
          <w:b w:val="1"/>
          <w:bCs w:val="1"/>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distribution increase of $0.25 per unit payable February 14, 2025, representing a 20% aggregate increase in the annualized distribution versus 2024 levels (new annual distribution of $1.52 per unit)</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successfully raised $1 billion in aggregate senior unsecured notes at 5.95% due 2035</w:t>
      </w:r>
    </w:p>
    <w:p>
      <w:pPr>
        <w:spacing w:after="0" w:line="76"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leverage ratio to be at or below the low-end of leverage target range of 3.25x to 3.75x, continuing to provide significant balance sheet optionality and flexibility</w:t>
      </w:r>
    </w:p>
    <w:p>
      <w:pPr>
        <w:spacing w:after="0" w:line="26"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 to generate approximately $1.15 billion of Adjusted Free Cash Flow (excluding changes in Assets &amp; Liabilities), which is reduced by approximately $580 million for previously announced bolt-on transactions closed in the first quarter</w:t>
      </w:r>
    </w:p>
    <w:p>
      <w:pPr>
        <w:spacing w:after="0" w:line="13"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 focused on disciplined capital investments, anticipating full-year 2025 Growth Capital of +/- $400 million and Maintenance Capital of +/-$240 million net to PAA</w:t>
      </w:r>
    </w:p>
    <w:p>
      <w:pPr>
        <w:spacing w:after="0" w:line="18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“We continue delivering strong financial and operating results and increasing return of capital to unitholders. As evidenced by our recently announced acquisitions, we have the ability to leverage our integrated asset base and financial strength to drive accretive transactions and deliver value to our customers and unitholders,” said Plains Chairman and CEO Willie Chiang. “We remain confident entering 2025, with strong operational momentum and focus on executing our efficient growth strategy. Our strong performance and positive outlook combined with the contribution from recent bolt-on acquisitions continues driving meaningful cash flow and underpins increasing returns to unitholders all while maintaining capital discipline and financial flexibility.”</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Financial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gridSpan w:val="7"/>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4"/>
        </w:trPr>
        <w:tc>
          <w:tcPr>
            <w:tcW w:w="3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7"/>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GAAP Results</w:t>
            </w: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50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5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Diluted net income/(loss) per common unit</w:t>
            </w:r>
          </w:p>
        </w:tc>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5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units outstanding</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5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2,727</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5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per common unit declared for the period</w:t>
            </w: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0.3175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743"/>
        </w:trPr>
        <w:tc>
          <w:tcPr>
            <w:tcW w:w="3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7"/>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7"/>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gridSpan w:val="4"/>
          </w:tcPr>
          <w:p>
            <w:pPr>
              <w:ind w:left="20"/>
              <w:spacing w:after="0" w:line="202" w:lineRule="exact"/>
              <w:rPr>
                <w:sz w:val="20"/>
                <w:szCs w:val="20"/>
                <w:color w:val="auto"/>
              </w:rPr>
            </w:pPr>
            <w:r>
              <w:rPr>
                <w:rFonts w:ascii="Times New Roman" w:cs="Times New Roman" w:eastAsia="Times New Roman" w:hAnsi="Times New Roman"/>
                <w:sz w:val="14"/>
                <w:szCs w:val="14"/>
                <w:b w:val="1"/>
                <w:bCs w:val="1"/>
                <w:i w:val="1"/>
                <w:iCs w:val="1"/>
                <w:color w:val="auto"/>
              </w:rPr>
              <w:t xml:space="preserve">Non-GAAP Results </w:t>
            </w:r>
            <w:r>
              <w:rPr>
                <w:rFonts w:ascii="Times New Roman" w:cs="Times New Roman" w:eastAsia="Times New Roman" w:hAnsi="Times New Roman"/>
                <w:sz w:val="18"/>
                <w:szCs w:val="18"/>
                <w:b w:val="1"/>
                <w:bCs w:val="1"/>
                <w:i w:val="1"/>
                <w:iCs w:val="1"/>
                <w:color w:val="auto"/>
                <w:vertAlign w:val="superscript"/>
              </w:rPr>
              <w:t>(1)</w:t>
            </w: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506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PAA</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9"/>
        </w:trPr>
        <w:tc>
          <w:tcPr>
            <w:tcW w:w="5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Diluted adjusted net income per common unit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9"/>
        </w:trPr>
        <w:tc>
          <w:tcPr>
            <w:tcW w:w="5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0"/>
        </w:trPr>
        <w:tc>
          <w:tcPr>
            <w:tcW w:w="514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EBITDA attributable to PAA </w:t>
            </w:r>
            <w:r>
              <w:rPr>
                <w:rFonts w:ascii="Times New Roman" w:cs="Times New Roman" w:eastAsia="Times New Roman" w:hAnsi="Times New Roman"/>
                <w:sz w:val="23"/>
                <w:szCs w:val="23"/>
                <w:color w:val="auto"/>
                <w:vertAlign w:val="superscript"/>
              </w:rPr>
              <w:t>(2)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9"/>
        </w:trPr>
        <w:tc>
          <w:tcPr>
            <w:tcW w:w="5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Implied DCF per common unit and common unit equivalent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9"/>
        </w:trPr>
        <w:tc>
          <w:tcPr>
            <w:tcW w:w="5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5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Free Cash Flow after Distributions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75"/>
        </w:trPr>
        <w:tc>
          <w:tcPr>
            <w:tcW w:w="514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Adjusted Free Cash Flow (Excluding Changes in Assets &amp;</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40" w:type="dxa"/>
            <w:vAlign w:val="bottom"/>
            <w:gridSpan w:val="4"/>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Liabilities) </w:t>
            </w:r>
            <w:r>
              <w:rPr>
                <w:rFonts w:ascii="Times New Roman" w:cs="Times New Roman" w:eastAsia="Times New Roman" w:hAnsi="Times New Roman"/>
                <w:sz w:val="23"/>
                <w:szCs w:val="23"/>
                <w:color w:val="auto"/>
                <w:vertAlign w:val="superscript"/>
              </w:rPr>
              <w:t>(3)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75"/>
        </w:trPr>
        <w:tc>
          <w:tcPr>
            <w:tcW w:w="5140" w:type="dxa"/>
            <w:vAlign w:val="bottom"/>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Adjusted Free Cash Flow after Distributions (Excluding Changes in</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40" w:type="dxa"/>
            <w:vAlign w:val="bottom"/>
            <w:gridSpan w:val="4"/>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Assets &amp; Liabilities) </w:t>
            </w:r>
            <w:r>
              <w:rPr>
                <w:rFonts w:ascii="Times New Roman" w:cs="Times New Roman" w:eastAsia="Times New Roman" w:hAnsi="Times New Roman"/>
                <w:sz w:val="23"/>
                <w:szCs w:val="23"/>
                <w:color w:val="auto"/>
                <w:vertAlign w:val="superscript"/>
              </w:rPr>
              <w:t>(3)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21"/>
                <w:szCs w:val="21"/>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162"/>
        </w:trPr>
        <w:tc>
          <w:tcPr>
            <w:tcW w:w="3880" w:type="dxa"/>
            <w:vAlign w:val="bottom"/>
            <w:tcBorders>
              <w:bottom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that variance as a percentage is not meaningful.</w:t>
      </w:r>
    </w:p>
    <w:p>
      <w:pPr>
        <w:spacing w:after="0" w:line="63" w:lineRule="exact"/>
        <w:rPr>
          <w:sz w:val="20"/>
          <w:szCs w:val="20"/>
          <w:color w:val="auto"/>
        </w:rPr>
      </w:pPr>
    </w:p>
    <w:p>
      <w:pPr>
        <w:jc w:val="both"/>
        <w:ind w:left="340" w:right="260" w:hanging="332"/>
        <w:spacing w:after="0" w:line="251" w:lineRule="auto"/>
        <w:tabs>
          <w:tab w:leader="none" w:pos="328"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82" w:lineRule="exact"/>
        <w:rPr>
          <w:rFonts w:ascii="Times New Roman" w:cs="Times New Roman" w:eastAsia="Times New Roman" w:hAnsi="Times New Roman"/>
          <w:sz w:val="22"/>
          <w:szCs w:val="22"/>
          <w:color w:val="auto"/>
          <w:vertAlign w:val="superscript"/>
        </w:rPr>
      </w:pPr>
    </w:p>
    <w:p>
      <w:pPr>
        <w:ind w:left="340" w:right="160" w:hanging="332"/>
        <w:spacing w:after="0" w:line="229" w:lineRule="auto"/>
        <w:tabs>
          <w:tab w:leader="none" w:pos="32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amounts attributable to noncontrolling interests in the Plains Oryx Permian Basin LLC joint venture, Cactus II Pipeline LLC and Red River Pipeline LLC.</w:t>
      </w:r>
    </w:p>
    <w:p>
      <w:pPr>
        <w:spacing w:after="0" w:line="90" w:lineRule="exact"/>
        <w:rPr>
          <w:rFonts w:ascii="Times New Roman" w:cs="Times New Roman" w:eastAsia="Times New Roman" w:hAnsi="Times New Roman"/>
          <w:sz w:val="23"/>
          <w:szCs w:val="23"/>
          <w:color w:val="auto"/>
          <w:vertAlign w:val="superscript"/>
        </w:rPr>
      </w:pPr>
    </w:p>
    <w:p>
      <w:pPr>
        <w:ind w:left="340" w:right="560" w:hanging="332"/>
        <w:spacing w:after="0" w:line="209" w:lineRule="auto"/>
        <w:tabs>
          <w:tab w:leader="none" w:pos="32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Fourth-quarter and full-year 2024 Adjusted Free Cash Flow (Excluding Changes in Assets &amp; Liabilities) includes the negative impact of a $225 million charge resulting from the write-off of a receivable for Line 901 insurance proceeds.</w:t>
      </w:r>
    </w:p>
    <w:p>
      <w:pPr>
        <w:ind w:left="5440" w:hanging="106"/>
        <w:spacing w:after="0"/>
        <w:tabs>
          <w:tab w:leader="none" w:pos="54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auto"/>
        </w:rPr>
        <w:t>Page 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Selected Financial Data by Segment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4"/>
          </w:tcPr>
          <w:p>
            <w:pPr>
              <w:jc w:val="right"/>
              <w:ind w:right="772"/>
              <w:spacing w:after="0"/>
              <w:rPr>
                <w:sz w:val="20"/>
                <w:szCs w:val="20"/>
                <w:color w:val="auto"/>
              </w:rPr>
            </w:pPr>
            <w:r>
              <w:rPr>
                <w:rFonts w:ascii="Times New Roman" w:cs="Times New Roman" w:eastAsia="Times New Roman" w:hAnsi="Times New Roman"/>
                <w:sz w:val="16"/>
                <w:szCs w:val="16"/>
                <w:b w:val="1"/>
                <w:bCs w:val="1"/>
                <w:color w:val="auto"/>
              </w:rPr>
              <w:t>Segment Adjusted EBITDA</w:t>
            </w:r>
          </w:p>
        </w:tc>
      </w:tr>
      <w:tr>
        <w:trPr>
          <w:trHeight w:val="211"/>
        </w:trPr>
        <w:tc>
          <w:tcPr>
            <w:tcW w:w="7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Crude Oil</w:t>
            </w:r>
          </w:p>
        </w:tc>
        <w:tc>
          <w:tcPr>
            <w:tcW w:w="420" w:type="dxa"/>
            <w:vAlign w:val="bottom"/>
          </w:tcPr>
          <w:p>
            <w:pPr>
              <w:spacing w:after="0"/>
              <w:rPr>
                <w:sz w:val="18"/>
                <w:szCs w:val="18"/>
                <w:color w:val="auto"/>
              </w:rPr>
            </w:pPr>
          </w:p>
        </w:tc>
        <w:tc>
          <w:tcPr>
            <w:tcW w:w="1340" w:type="dxa"/>
            <w:vAlign w:val="bottom"/>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NGL</w:t>
            </w:r>
          </w:p>
        </w:tc>
      </w:tr>
      <w:tr>
        <w:trPr>
          <w:trHeight w:val="250"/>
        </w:trPr>
        <w:tc>
          <w:tcPr>
            <w:tcW w:w="7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December 31, 2024</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6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Three Months Ended December 31, 2023</w:t>
            </w: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134"/>
              <w:spacing w:after="0" w:line="203" w:lineRule="exact"/>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132"/>
              <w:spacing w:after="0" w:line="203" w:lineRule="exact"/>
              <w:rPr>
                <w:sz w:val="20"/>
                <w:szCs w:val="20"/>
                <w:color w:val="auto"/>
              </w:rPr>
            </w:pPr>
            <w:r>
              <w:rPr>
                <w:rFonts w:ascii="Times New Roman" w:cs="Times New Roman" w:eastAsia="Times New Roman" w:hAnsi="Times New Roman"/>
                <w:sz w:val="18"/>
                <w:szCs w:val="18"/>
                <w:color w:val="auto"/>
              </w:rPr>
              <w:t>169</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2"/>
        </w:trPr>
        <w:tc>
          <w:tcPr>
            <w:tcW w:w="76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Percentage change in Segment Adjusted EBITDA versus 2023 period</w:t>
            </w:r>
          </w:p>
        </w:tc>
        <w:tc>
          <w:tcPr>
            <w:tcW w:w="3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1 %</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(9)%</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30"/>
        </w:trPr>
        <w:tc>
          <w:tcPr>
            <w:tcW w:w="76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4"/>
          </w:tcPr>
          <w:p>
            <w:pPr>
              <w:jc w:val="right"/>
              <w:ind w:right="772"/>
              <w:spacing w:after="0"/>
              <w:rPr>
                <w:sz w:val="20"/>
                <w:szCs w:val="20"/>
                <w:color w:val="auto"/>
              </w:rPr>
            </w:pPr>
            <w:r>
              <w:rPr>
                <w:rFonts w:ascii="Times New Roman" w:cs="Times New Roman" w:eastAsia="Times New Roman" w:hAnsi="Times New Roman"/>
                <w:sz w:val="16"/>
                <w:szCs w:val="16"/>
                <w:b w:val="1"/>
                <w:bCs w:val="1"/>
                <w:color w:val="auto"/>
              </w:rPr>
              <w:t>Segment Adjusted EBITDA</w:t>
            </w:r>
          </w:p>
        </w:tc>
      </w:tr>
      <w:tr>
        <w:trPr>
          <w:trHeight w:val="211"/>
        </w:trPr>
        <w:tc>
          <w:tcPr>
            <w:tcW w:w="7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Crude Oil</w:t>
            </w:r>
          </w:p>
        </w:tc>
        <w:tc>
          <w:tcPr>
            <w:tcW w:w="420" w:type="dxa"/>
            <w:vAlign w:val="bottom"/>
          </w:tcPr>
          <w:p>
            <w:pPr>
              <w:spacing w:after="0"/>
              <w:rPr>
                <w:sz w:val="18"/>
                <w:szCs w:val="18"/>
                <w:color w:val="auto"/>
              </w:rPr>
            </w:pPr>
          </w:p>
        </w:tc>
        <w:tc>
          <w:tcPr>
            <w:tcW w:w="1340" w:type="dxa"/>
            <w:vAlign w:val="bottom"/>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NGL</w:t>
            </w:r>
          </w:p>
        </w:tc>
      </w:tr>
      <w:tr>
        <w:trPr>
          <w:trHeight w:val="250"/>
        </w:trPr>
        <w:tc>
          <w:tcPr>
            <w:tcW w:w="7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Twelve Months Ended December 31, 2024</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2,276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480</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6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Twelve Months Ended December 31, 2023</w:t>
            </w: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134"/>
              <w:spacing w:after="0" w:line="203" w:lineRule="exact"/>
              <w:rPr>
                <w:sz w:val="20"/>
                <w:szCs w:val="20"/>
                <w:color w:val="auto"/>
              </w:rPr>
            </w:pPr>
            <w:r>
              <w:rPr>
                <w:rFonts w:ascii="Times New Roman" w:cs="Times New Roman" w:eastAsia="Times New Roman" w:hAnsi="Times New Roman"/>
                <w:sz w:val="18"/>
                <w:szCs w:val="18"/>
                <w:color w:val="auto"/>
              </w:rPr>
              <w:t>2,163</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132"/>
              <w:spacing w:after="0" w:line="203" w:lineRule="exact"/>
              <w:rPr>
                <w:sz w:val="20"/>
                <w:szCs w:val="20"/>
                <w:color w:val="auto"/>
              </w:rPr>
            </w:pPr>
            <w:r>
              <w:rPr>
                <w:rFonts w:ascii="Times New Roman" w:cs="Times New Roman" w:eastAsia="Times New Roman" w:hAnsi="Times New Roman"/>
                <w:sz w:val="18"/>
                <w:szCs w:val="18"/>
                <w:color w:val="auto"/>
              </w:rPr>
              <w:t>522</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Percentage change in Segment Adjusted EBITDA versus 2023 period</w:t>
            </w:r>
          </w:p>
        </w:tc>
        <w:tc>
          <w:tcPr>
            <w:tcW w:w="3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(8)%</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Fourth-quarter 2024 Crude Oil Segment Adjusted EBITDA increased 1% versus comparable 2023 results primarily due to higher tariff volumes on our pipelines, tariff escalations and contributions from acquisitions. These items were partially offset by fewer market-based opportunities, as well as an increase in estimated costs for long-term environmental remediation obligations.</w:t>
      </w:r>
    </w:p>
    <w:p>
      <w:pPr>
        <w:spacing w:after="0" w:line="20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Fourth-quarter 2024 NGL Segment Adjusted EBITDA decreased 9% versus comparable 2023 results primarily due to lower weighted average frac spreads in the fourth quarter of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w:t>
      </w:r>
    </w:p>
    <w:p>
      <w:pPr>
        <w:spacing w:after="0" w:line="256"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attached hereto.</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Conference Call and Webcast Instructions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PAA and PAGP will hold a joint conference call at 9:00 a.m. CT on Friday, February 7, 2025 to discuss fourth-quarter performance and related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access the internet webcast, please go to https://edge.media-server.com/mmc/p/xp2zqt6q/.</w:t>
      </w:r>
    </w:p>
    <w:p>
      <w:pPr>
        <w:spacing w:after="0" w:line="25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Alternatively, the webcast can be accessed on our website at https://ir.plains.com/news-events/events-presentations. Following the live webcast, an audio replay will be available on our website and will be accessible for a period of 365 days. Slides will be posted prior to the call at the above referenced website.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 and Selected Items Impacting Comparability</w:t>
      </w:r>
    </w:p>
    <w:p>
      <w:pPr>
        <w:spacing w:after="0" w:line="17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Adjusted Free Cash Flow and Adjusted Free Cash Flow after Distributions.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auto"/>
        </w:rPr>
        <w:t>Page 4</w:t>
      </w:r>
    </w:p>
    <w:p>
      <w:pPr>
        <w:spacing w:after="0" w:line="200" w:lineRule="exact"/>
        <w:rPr>
          <w:sz w:val="20"/>
          <w:szCs w:val="20"/>
          <w:color w:val="auto"/>
        </w:rPr>
      </w:pPr>
    </w:p>
    <w:p>
      <w:pPr>
        <w:spacing w:after="0" w:line="241"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17"/>
          <w:szCs w:val="17"/>
          <w:color w:val="auto"/>
        </w:rPr>
        <w:t>Our definition and calculation of certain non-GAAP financial measures may not be comparable to similarly-titled measures of other companies. Adjusted EBITDA, Adjusted EBITDA attributable to PAA, Implied DCF and certain other non-GAAP financial performance measures are reconciled to Net Income, and Adjusted Free Cash Flow, Adjusted Free Cash Flow after Distributions and certain other non-GAAP financial liquidity measures are reconciled to Net Cash Provided by Operating Activities (the most directly comparable measures as reported in accordance with GAAP) for the historical periods presented in the tables attached to this release, and should be viewed in addition to, and not in lieu of, our Consolidated Financial Statements and accompanying notes. In addition, we encourage you to visit our website at www.plains.com (in particular the section under “Financial Information” entitled “Non-GAAP Reconciliations” within the Investor Relations tab), which presents a reconciliation of our commonly used non-GAAP and supplemental financial measures. We do not reconcile non-GAAP financial measures on a forward-looking basis as it is impractical to do so without unreasonable effort.</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Non-GAAP Financial Performance Measures</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Adjusted EBITDA is defined as earnings before (i) interest expense, (ii) income tax (expense)/benefit, (iii) depreciation and amortization (including our proportionate share of depreciation and amortization, including write-downs related to cancelled projects and impairments, of unconsolidated entities), (iv) gains and losses on asset sales, asset impairments and other, net, (v) gains and losses on investments in unconsolidated entities and (vi) interest income on promissory notes by and among PAA and certain Plains entities, and (vii) adjusted for certain selected items impacting comparability. Adjusted EBITDA attributable to PAA excludes the portion of Adjusted EBITDA that is attributable to noncontrolling interests.</w:t>
      </w:r>
    </w:p>
    <w:p>
      <w:pPr>
        <w:spacing w:after="0" w:line="210"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be further adjusted to include amounts related to deficiencies associated with minimum volume commitments whereby we have billed the counterparties for their deficiency obligation and such amounts are recognized as deferred revenue in “Other current liabilities” in our Consolidated Financial Statements. We also adjust for amounts billed by our equity method investees related to deficiencies under minimum volume commitments.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auto"/>
        </w:rPr>
        <w:t>Page 5</w:t>
      </w:r>
    </w:p>
    <w:p>
      <w:pPr>
        <w:spacing w:after="0" w:line="200" w:lineRule="exact"/>
        <w:rPr>
          <w:sz w:val="20"/>
          <w:szCs w:val="20"/>
          <w:color w:val="auto"/>
        </w:rPr>
      </w:pPr>
    </w:p>
    <w:p>
      <w:pPr>
        <w:spacing w:after="0" w:line="24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Annual Report on Form 10-K.</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Non-GAAP Financial Liquidity Measures</w:t>
      </w:r>
    </w:p>
    <w:p>
      <w:pPr>
        <w:spacing w:after="0" w:line="25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is defined as Net Cash Provided by Operating Activities, less Net Cash Provided by/(Used in) Investing Activities, which primarily includes acquisition, investment and maintenance capital expenditures, investments in unconsolidated entities and the impact from the purchase and sale of linefill, net of proceeds from the sales of assets and further impacted by distributions to and contributions from noncontrolling interests and proceeds from the issuance of related party notes. Adjusted Free Cash Flow is further reduced by cash distributions paid to our preferred and common unitholders to arrive at Adjusted Free Cash Flow after Distributions.</w:t>
      </w:r>
    </w:p>
    <w:p>
      <w:pPr>
        <w:spacing w:after="0" w:line="21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also present these measures and additional non-GAAP financial liquidity measures as they are measures that investors have indicated are useful. We present the Adjusted Free Cash Flow (Excluding Changes in Assets &amp; Liabilities) for use in assessing our underlying business liquidity and cash flow generating capacity excluding fluctuations caused by timing of when amounts earned or incurred were collected, received or paid from period to period. Adjusted Free Cash Flow (Excluding Changes in Assets &amp; Liabilities) is defined as Adjusted Free Cash Flow excluding the impact of “Changes in assets and liabilities, net of acquisitions” on our Condensed Consolidated Statements of Cash Flows. Adjusted Free Cash Flow (Excluding Changes in Assets &amp; Liabilities) is further reduced by cash distributions paid to our preferred and common unitholders to arrive at Adjusted Free Cash Flow after Distributions (Excluding Changes in Assets &amp; Liabilities).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auto"/>
        </w:rPr>
        <w:t>Page 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18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96"/>
        </w:trPr>
        <w:tc>
          <w:tcPr>
            <w:tcW w:w="38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3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48,712</w:t>
            </w:r>
          </w:p>
        </w:tc>
      </w:tr>
      <w:tr>
        <w:trPr>
          <w:trHeight w:val="216"/>
        </w:trPr>
        <w:tc>
          <w:tcPr>
            <w:tcW w:w="38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9"/>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45,560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44,531</w:t>
            </w:r>
          </w:p>
        </w:tc>
      </w:tr>
      <w:tr>
        <w:trPr>
          <w:trHeight w:val="229"/>
        </w:trPr>
        <w:tc>
          <w:tcPr>
            <w:tcW w:w="62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Field operating costs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r>
      <w:tr>
        <w:trPr>
          <w:trHeight w:val="230"/>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9"/>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r>
      <w:tr>
        <w:trPr>
          <w:trHeight w:val="229"/>
        </w:trPr>
        <w:tc>
          <w:tcPr>
            <w:tcW w:w="6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(Gains)/losses on asset sales, asset impairments and other, net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23"/>
        </w:trPr>
        <w:tc>
          <w:tcPr>
            <w:tcW w:w="6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47,202</w:t>
            </w:r>
          </w:p>
        </w:tc>
      </w:tr>
      <w:tr>
        <w:trPr>
          <w:trHeight w:val="216"/>
        </w:trPr>
        <w:tc>
          <w:tcPr>
            <w:tcW w:w="38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9"/>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r>
      <w:tr>
        <w:trPr>
          <w:trHeight w:val="216"/>
        </w:trPr>
        <w:tc>
          <w:tcPr>
            <w:tcW w:w="38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9"/>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30"/>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investments in unconsolidated entities,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62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net </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30"/>
        </w:trPr>
        <w:tc>
          <w:tcPr>
            <w:tcW w:w="62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income, net </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196"/>
        </w:trPr>
        <w:tc>
          <w:tcPr>
            <w:tcW w:w="38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0"/>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r>
      <w:tr>
        <w:trPr>
          <w:trHeight w:val="230"/>
        </w:trPr>
        <w:tc>
          <w:tcPr>
            <w:tcW w:w="62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Current income tax expense </w:t>
            </w:r>
            <w:r>
              <w:rPr>
                <w:rFonts w:ascii="Times New Roman" w:cs="Times New Roman" w:eastAsia="Times New Roman" w:hAnsi="Times New Roman"/>
                <w:sz w:val="23"/>
                <w:szCs w:val="23"/>
                <w:color w:val="auto"/>
                <w:vertAlign w:val="superscript"/>
              </w:rPr>
              <w:t>(3)</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30"/>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196"/>
        </w:trPr>
        <w:tc>
          <w:tcPr>
            <w:tcW w:w="38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0"/>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r>
      <w:tr>
        <w:trPr>
          <w:trHeight w:val="230"/>
        </w:trPr>
        <w:tc>
          <w:tcPr>
            <w:tcW w:w="62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48"/>
        </w:trPr>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PAA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8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30"/>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INCOME/(LOSS) PER COMMON UNIT: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income/(loss) allocated to common unitholders — Basic and Diluted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r>
      <w:tr>
        <w:trPr>
          <w:trHeight w:val="230"/>
        </w:trPr>
        <w:tc>
          <w:tcPr>
            <w:tcW w:w="6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and diluted weighted average common units outstanding</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30"/>
        </w:trPr>
        <w:tc>
          <w:tcPr>
            <w:tcW w:w="6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 and diluted net income/(loss) per common unit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0"/>
        </w:trPr>
        <w:tc>
          <w:tcPr>
            <w:tcW w:w="38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9"/>
        </w:trPr>
        <w:tc>
          <w:tcPr>
            <w:tcW w:w="3880" w:type="dxa"/>
            <w:vAlign w:val="bottom"/>
            <w:tcBorders>
              <w:bottom w:val="single" w:sz="8" w:color="auto"/>
            </w:tcBorders>
          </w:tcPr>
          <w:p>
            <w:pPr>
              <w:spacing w:after="0"/>
              <w:rPr>
                <w:sz w:val="11"/>
                <w:szCs w:val="11"/>
                <w:color w:val="auto"/>
              </w:rPr>
            </w:pPr>
          </w:p>
        </w:tc>
        <w:tc>
          <w:tcPr>
            <w:tcW w:w="2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r>
    </w:tbl>
    <w:p>
      <w:pPr>
        <w:spacing w:after="0" w:line="130" w:lineRule="exact"/>
        <w:rPr>
          <w:sz w:val="20"/>
          <w:szCs w:val="20"/>
          <w:color w:val="auto"/>
        </w:rPr>
      </w:pPr>
    </w:p>
    <w:p>
      <w:pPr>
        <w:ind w:left="340" w:right="160" w:hanging="332"/>
        <w:spacing w:after="0" w:line="235" w:lineRule="auto"/>
        <w:tabs>
          <w:tab w:leader="none" w:pos="32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Field operating costs include $225 million and $345 million for the three and twelve months ended December 31, 2024, respectively, resulting from adjustments related to the Line 901 incident that occurred in May 2015, including the write-off of a receivable for Line 901 insurance proceeds in the fourth quarter of 2024 and settlements in the third quarter of 2024.</w:t>
      </w:r>
    </w:p>
    <w:p>
      <w:pPr>
        <w:spacing w:after="0" w:line="37" w:lineRule="exact"/>
        <w:rPr>
          <w:rFonts w:ascii="Times New Roman" w:cs="Times New Roman" w:eastAsia="Times New Roman" w:hAnsi="Times New Roman"/>
          <w:sz w:val="23"/>
          <w:szCs w:val="23"/>
          <w:color w:val="auto"/>
          <w:vertAlign w:val="superscript"/>
        </w:rPr>
      </w:pPr>
    </w:p>
    <w:p>
      <w:pPr>
        <w:ind w:left="340" w:right="200" w:hanging="332"/>
        <w:spacing w:after="0" w:line="239" w:lineRule="auto"/>
        <w:tabs>
          <w:tab w:leader="none" w:pos="32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PAA and certain Plains entities have issued promissory notes by and among such entities to facilitate financing. “Interest expense, net” and “Other income, net” each include $17 million and $48 million for the three and twelve months ended December 31, 2024, respectively, related to interest on such notes. These amounts offset and do not impact Net Income or Non-GAAP metrics such as Adjusted EBITDA, Implied DCF and Adjusted Free Cash Flow.</w:t>
      </w:r>
    </w:p>
    <w:p>
      <w:pPr>
        <w:spacing w:after="0" w:line="36" w:lineRule="exact"/>
        <w:rPr>
          <w:rFonts w:ascii="Times New Roman" w:cs="Times New Roman" w:eastAsia="Times New Roman" w:hAnsi="Times New Roman"/>
          <w:sz w:val="23"/>
          <w:szCs w:val="23"/>
          <w:color w:val="auto"/>
          <w:vertAlign w:val="superscript"/>
        </w:rPr>
      </w:pPr>
    </w:p>
    <w:p>
      <w:pPr>
        <w:ind w:left="340" w:right="740" w:hanging="332"/>
        <w:spacing w:after="0" w:line="229" w:lineRule="auto"/>
        <w:tabs>
          <w:tab w:leader="none" w:pos="32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increase in current income tax expense for the 2024 periods was largely associated with Canadian withholding tax on dividends from our Canadian entities to other Plains entities driven by timing of dividend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auto"/>
        </w:rPr>
        <w:t>Page 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BALANCE SHEET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2800" w:type="dxa"/>
            <w:vAlign w:val="bottom"/>
            <w:tcBorders>
              <w:bottom w:val="single" w:sz="8" w:color="CCEEFF"/>
            </w:tcBorders>
          </w:tcPr>
          <w:p>
            <w:pPr>
              <w:spacing w:after="0"/>
              <w:rPr>
                <w:sz w:val="17"/>
                <w:szCs w:val="17"/>
                <w:color w:val="auto"/>
              </w:rPr>
            </w:pPr>
          </w:p>
        </w:tc>
        <w:tc>
          <w:tcPr>
            <w:tcW w:w="1900" w:type="dxa"/>
            <w:vAlign w:val="bottom"/>
            <w:tcBorders>
              <w:bottom w:val="single" w:sz="8" w:color="CCEEFF"/>
            </w:tcBorders>
          </w:tcPr>
          <w:p>
            <w:pPr>
              <w:spacing w:after="0"/>
              <w:rPr>
                <w:sz w:val="17"/>
                <w:szCs w:val="17"/>
                <w:color w:val="auto"/>
              </w:rPr>
            </w:pPr>
          </w:p>
        </w:tc>
        <w:tc>
          <w:tcPr>
            <w:tcW w:w="232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 (including Cash and cash equivalents of $348 and $450, respectively)</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4,802</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15,424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Linefill</w:t>
            </w:r>
          </w:p>
        </w:tc>
        <w:tc>
          <w:tcPr>
            <w:tcW w:w="2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right-of-use assets, net</w:t>
            </w:r>
          </w:p>
        </w:tc>
        <w:tc>
          <w:tcPr>
            <w:tcW w:w="2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inventory</w:t>
            </w:r>
          </w:p>
        </w:tc>
        <w:tc>
          <w:tcPr>
            <w:tcW w:w="2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 net</w:t>
            </w:r>
          </w:p>
        </w:tc>
        <w:tc>
          <w:tcPr>
            <w:tcW w:w="2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268</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2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26,562</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PARTNERS’ CAPITAL</w:t>
            </w:r>
          </w:p>
        </w:tc>
        <w:tc>
          <w:tcPr>
            <w:tcW w:w="2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32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4,950</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notes, net</w:t>
            </w:r>
          </w:p>
        </w:tc>
        <w:tc>
          <w:tcPr>
            <w:tcW w:w="2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7,141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debt, net</w:t>
            </w:r>
          </w:p>
        </w:tc>
        <w:tc>
          <w:tcPr>
            <w:tcW w:w="2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 and deferred credits</w:t>
            </w:r>
          </w:p>
        </w:tc>
        <w:tc>
          <w:tcPr>
            <w:tcW w:w="2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990</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2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13,466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Partners’ capital excluding noncontrolling interests</w:t>
            </w:r>
          </w:p>
        </w:tc>
        <w:tc>
          <w:tcPr>
            <w:tcW w:w="2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9,813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3,283</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Total partners’ capital</w:t>
            </w:r>
          </w:p>
        </w:tc>
        <w:tc>
          <w:tcPr>
            <w:tcW w:w="23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13,096</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2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26,562</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27,355</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DEBT CAPITALIZATION RATIOS</w:t>
            </w:r>
          </w:p>
        </w:tc>
        <w:tc>
          <w:tcPr>
            <w:tcW w:w="2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720" w:type="dxa"/>
            <w:vAlign w:val="bottom"/>
            <w:gridSpan w:val="3"/>
            <w:vMerge w:val="continue"/>
          </w:tcPr>
          <w:p>
            <w:pPr>
              <w:spacing w:after="0"/>
              <w:rPr>
                <w:sz w:val="24"/>
                <w:szCs w:val="24"/>
                <w:color w:val="auto"/>
              </w:rPr>
            </w:pPr>
          </w:p>
        </w:tc>
        <w:tc>
          <w:tcPr>
            <w:tcW w:w="2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9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90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2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3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7,213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7,305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debt</w:t>
            </w:r>
          </w:p>
        </w:tc>
        <w:tc>
          <w:tcPr>
            <w:tcW w:w="2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7,621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7,751</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gridSpan w:val="2"/>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7,213</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7,305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Partners’ capital excluding noncontrolling interests</w:t>
            </w:r>
          </w:p>
        </w:tc>
        <w:tc>
          <w:tcPr>
            <w:tcW w:w="23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9,813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10,422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02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book capitalization excluding noncontrolling interests (“Total book capitalization”)</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17,026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17,727</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gridSpan w:val="2"/>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gridSpan w:val="2"/>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book capitalization, including short-term debt</w:t>
            </w:r>
          </w:p>
        </w:tc>
        <w:tc>
          <w:tcPr>
            <w:tcW w:w="2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52"/>
              <w:spacing w:after="0" w:line="203" w:lineRule="exact"/>
              <w:rPr>
                <w:sz w:val="20"/>
                <w:szCs w:val="20"/>
                <w:color w:val="auto"/>
              </w:rPr>
            </w:pPr>
            <w:r>
              <w:rPr>
                <w:rFonts w:ascii="Times New Roman" w:cs="Times New Roman" w:eastAsia="Times New Roman" w:hAnsi="Times New Roman"/>
                <w:sz w:val="18"/>
                <w:szCs w:val="18"/>
                <w:color w:val="auto"/>
              </w:rPr>
              <w:t>17,434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12"/>
              <w:spacing w:after="0" w:line="203" w:lineRule="exact"/>
              <w:rPr>
                <w:sz w:val="20"/>
                <w:szCs w:val="20"/>
                <w:color w:val="auto"/>
              </w:rPr>
            </w:pPr>
            <w:r>
              <w:rPr>
                <w:rFonts w:ascii="Times New Roman" w:cs="Times New Roman" w:eastAsia="Times New Roman" w:hAnsi="Times New Roman"/>
                <w:sz w:val="18"/>
                <w:szCs w:val="18"/>
                <w:color w:val="auto"/>
              </w:rPr>
              <w:t>18,173</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debt-to-total book capitalization</w:t>
            </w:r>
          </w:p>
        </w:tc>
        <w:tc>
          <w:tcPr>
            <w:tcW w:w="2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debt-to-total book capitalization, including short-term debt</w:t>
            </w:r>
          </w:p>
        </w:tc>
        <w:tc>
          <w:tcPr>
            <w:tcW w:w="2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3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 more -</w:t>
            </w: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tcBorders>
              <w:bottom w:val="single" w:sz="8" w:color="auto"/>
            </w:tcBorders>
            <w:gridSpan w:val="2"/>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2700" w:type="dxa"/>
            <w:vAlign w:val="bottom"/>
            <w:tcBorders>
              <w:bottom w:val="single" w:sz="8" w:color="auto"/>
            </w:tcBorders>
            <w:gridSpan w:val="5"/>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700" w:type="dxa"/>
            <w:vAlign w:val="bottom"/>
            <w:gridSpan w:val="2"/>
          </w:tcPr>
          <w:p>
            <w:pPr>
              <w:ind w:left="164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tc>
        <w:tc>
          <w:tcPr>
            <w:tcW w:w="232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Houston, Texas 77002</w:t>
            </w:r>
          </w:p>
        </w:tc>
        <w:tc>
          <w:tcPr>
            <w:tcW w:w="27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713-646-4100 / 866-809-1291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auto"/>
        </w:rPr>
        <w:t>Page 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COMPUTATION OF BASIC AND DILUTED NET INCOME/(LOSS) PER COMMON UNIT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b w:val="1"/>
          <w:bCs w:val="1"/>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18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96"/>
        </w:trPr>
        <w:tc>
          <w:tcPr>
            <w:tcW w:w="38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3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Net Income/(Loss) per Common Unit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r>
      <w:tr>
        <w:trPr>
          <w:trHeight w:val="230"/>
        </w:trPr>
        <w:tc>
          <w:tcPr>
            <w:tcW w:w="6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to Series A preferred unitholders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29"/>
        </w:trPr>
        <w:tc>
          <w:tcPr>
            <w:tcW w:w="6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Distributions to Series B preferred unitholders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6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allocated to participating securities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62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8"/>
        </w:trPr>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income/(loss) allocated to common unitholders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8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29"/>
        </w:trPr>
        <w:tc>
          <w:tcPr>
            <w:tcW w:w="62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Basic and diluted weighted average common units outstanding </w:t>
            </w:r>
            <w:r>
              <w:rPr>
                <w:rFonts w:ascii="Times New Roman" w:cs="Times New Roman" w:eastAsia="Times New Roman" w:hAnsi="Times New Roman"/>
                <w:sz w:val="23"/>
                <w:szCs w:val="23"/>
                <w:color w:val="auto"/>
                <w:vertAlign w:val="superscript"/>
              </w:rPr>
              <w:t>(2) (3)</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16"/>
        </w:trPr>
        <w:tc>
          <w:tcPr>
            <w:tcW w:w="38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54"/>
        </w:trPr>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income/(loss) per common unit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3880" w:type="dxa"/>
            <w:vAlign w:val="bottom"/>
            <w:tcBorders>
              <w:bottom w:val="single" w:sz="8" w:color="auto"/>
            </w:tcBorders>
          </w:tcPr>
          <w:p>
            <w:pPr>
              <w:spacing w:after="0"/>
              <w:rPr>
                <w:sz w:val="9"/>
                <w:szCs w:val="9"/>
                <w:color w:val="auto"/>
              </w:rPr>
            </w:pPr>
          </w:p>
        </w:tc>
        <w:tc>
          <w:tcPr>
            <w:tcW w:w="2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r>
    </w:tbl>
    <w:p>
      <w:pPr>
        <w:spacing w:after="0" w:line="130" w:lineRule="exact"/>
        <w:rPr>
          <w:sz w:val="20"/>
          <w:szCs w:val="20"/>
          <w:color w:val="auto"/>
        </w:rPr>
      </w:pPr>
    </w:p>
    <w:p>
      <w:pPr>
        <w:ind w:left="340" w:right="200" w:hanging="332"/>
        <w:spacing w:after="0" w:line="239" w:lineRule="auto"/>
        <w:tabs>
          <w:tab w:leader="none" w:pos="32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calculate net income/(loss) allocated to common unitholders based on the distributions pertaining to the current period’s net income.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36" w:lineRule="exact"/>
        <w:rPr>
          <w:rFonts w:ascii="Times New Roman" w:cs="Times New Roman" w:eastAsia="Times New Roman" w:hAnsi="Times New Roman"/>
          <w:sz w:val="23"/>
          <w:szCs w:val="23"/>
          <w:color w:val="auto"/>
          <w:vertAlign w:val="superscript"/>
        </w:rPr>
      </w:pPr>
    </w:p>
    <w:p>
      <w:pPr>
        <w:ind w:left="340" w:right="20" w:hanging="332"/>
        <w:spacing w:after="0" w:line="229" w:lineRule="auto"/>
        <w:tabs>
          <w:tab w:leader="none" w:pos="32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possible conversion of our Series A preferred units was excluded from the calculation of diluted net income/(loss) per common unit for each of the three and twelve months ended December 31, 2024 and 2023 as the effect was antidilutive.</w:t>
      </w:r>
    </w:p>
    <w:p>
      <w:pPr>
        <w:spacing w:after="0" w:line="36" w:lineRule="exact"/>
        <w:rPr>
          <w:rFonts w:ascii="Times New Roman" w:cs="Times New Roman" w:eastAsia="Times New Roman" w:hAnsi="Times New Roman"/>
          <w:sz w:val="23"/>
          <w:szCs w:val="23"/>
          <w:color w:val="auto"/>
          <w:vertAlign w:val="superscript"/>
        </w:rPr>
      </w:pPr>
    </w:p>
    <w:p>
      <w:pPr>
        <w:ind w:left="340" w:right="180" w:hanging="332"/>
        <w:spacing w:after="0" w:line="239" w:lineRule="auto"/>
        <w:tabs>
          <w:tab w:leader="none" w:pos="32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184" w:lineRule="exact"/>
        <w:rPr>
          <w:rFonts w:ascii="Times New Roman" w:cs="Times New Roman" w:eastAsia="Times New Roman" w:hAnsi="Times New Roman"/>
          <w:sz w:val="23"/>
          <w:szCs w:val="23"/>
          <w:color w:val="auto"/>
          <w:vertAlign w:val="superscript"/>
        </w:rPr>
      </w:pPr>
    </w:p>
    <w:p>
      <w:pPr>
        <w:ind w:left="5440" w:hanging="106"/>
        <w:spacing w:after="0"/>
        <w:tabs>
          <w:tab w:leader="none" w:pos="54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auto"/>
        </w:rPr>
        <w:t>Page 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CASH FLOW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4"/>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r>
      <w:tr>
        <w:trPr>
          <w:trHeight w:val="23"/>
        </w:trPr>
        <w:tc>
          <w:tcPr>
            <w:tcW w:w="388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3880" w:type="dxa"/>
            <w:vAlign w:val="bottom"/>
            <w:tcBorders>
              <w:bottom w:val="single" w:sz="8" w:color="CCEEFF"/>
            </w:tcBorders>
          </w:tcPr>
          <w:p>
            <w:pPr>
              <w:spacing w:after="0"/>
              <w:rPr>
                <w:sz w:val="16"/>
                <w:szCs w:val="16"/>
                <w:color w:val="auto"/>
              </w:rPr>
            </w:pPr>
          </w:p>
        </w:tc>
        <w:tc>
          <w:tcPr>
            <w:tcW w:w="48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r>
      <w:tr>
        <w:trPr>
          <w:trHeight w:val="230"/>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net income to net cash provided by operating activities: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r>
      <w:tr>
        <w:trPr>
          <w:trHeight w:val="229"/>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(Gains)/losses on asset sales, asset impairments and other, net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30"/>
        </w:trPr>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Preferred Distribution Rate Reset Option</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29"/>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Distributions on earnings from unconsolidated entities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29"/>
        </w:trPr>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Gain on investments in unconsolidated entities, net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9"/>
        </w:trPr>
        <w:tc>
          <w:tcPr>
            <w:tcW w:w="87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 net of acquisitions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3"/>
        </w:trPr>
        <w:tc>
          <w:tcPr>
            <w:tcW w:w="8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w:t>
            </w:r>
          </w:p>
        </w:tc>
      </w:tr>
      <w:tr>
        <w:trPr>
          <w:trHeight w:val="108"/>
        </w:trPr>
        <w:tc>
          <w:tcPr>
            <w:tcW w:w="3880" w:type="dxa"/>
            <w:vAlign w:val="bottom"/>
          </w:tcPr>
          <w:p>
            <w:pPr>
              <w:spacing w:after="0"/>
              <w:rPr>
                <w:sz w:val="9"/>
                <w:szCs w:val="9"/>
                <w:color w:val="auto"/>
              </w:rPr>
            </w:pPr>
          </w:p>
        </w:tc>
        <w:tc>
          <w:tcPr>
            <w:tcW w:w="4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30"/>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70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Net cash used in investing activities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108"/>
        </w:trPr>
        <w:tc>
          <w:tcPr>
            <w:tcW w:w="3880" w:type="dxa"/>
            <w:vAlign w:val="bottom"/>
            <w:shd w:val="clear" w:color="auto" w:fill="CCEEFF"/>
          </w:tcPr>
          <w:p>
            <w:pPr>
              <w:spacing w:after="0"/>
              <w:rPr>
                <w:sz w:val="9"/>
                <w:szCs w:val="9"/>
                <w:color w:val="auto"/>
              </w:rPr>
            </w:pPr>
          </w:p>
        </w:tc>
        <w:tc>
          <w:tcPr>
            <w:tcW w:w="4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r>
      <w:tr>
        <w:trPr>
          <w:trHeight w:val="229"/>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70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Net cash used in financing activities </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r>
      <w:tr>
        <w:trPr>
          <w:trHeight w:val="108"/>
        </w:trPr>
        <w:tc>
          <w:tcPr>
            <w:tcW w:w="3880" w:type="dxa"/>
            <w:vAlign w:val="bottom"/>
          </w:tcPr>
          <w:p>
            <w:pPr>
              <w:spacing w:after="0"/>
              <w:rPr>
                <w:sz w:val="9"/>
                <w:szCs w:val="9"/>
                <w:color w:val="auto"/>
              </w:rPr>
            </w:pPr>
          </w:p>
        </w:tc>
        <w:tc>
          <w:tcPr>
            <w:tcW w:w="4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30"/>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translation adjustment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08"/>
        </w:trPr>
        <w:tc>
          <w:tcPr>
            <w:tcW w:w="3880" w:type="dxa"/>
            <w:vAlign w:val="bottom"/>
          </w:tcPr>
          <w:p>
            <w:pPr>
              <w:spacing w:after="0"/>
              <w:rPr>
                <w:sz w:val="9"/>
                <w:szCs w:val="9"/>
                <w:color w:val="auto"/>
              </w:rPr>
            </w:pPr>
          </w:p>
        </w:tc>
        <w:tc>
          <w:tcPr>
            <w:tcW w:w="4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30"/>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increase/(decrease) in cash and cash equivalents and restricted cash</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108"/>
        </w:trPr>
        <w:tc>
          <w:tcPr>
            <w:tcW w:w="3880" w:type="dxa"/>
            <w:vAlign w:val="bottom"/>
          </w:tcPr>
          <w:p>
            <w:pPr>
              <w:spacing w:after="0"/>
              <w:rPr>
                <w:sz w:val="9"/>
                <w:szCs w:val="9"/>
                <w:color w:val="auto"/>
              </w:rPr>
            </w:pPr>
          </w:p>
        </w:tc>
        <w:tc>
          <w:tcPr>
            <w:tcW w:w="4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30"/>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period</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23"/>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0"/>
        </w:trPr>
        <w:tc>
          <w:tcPr>
            <w:tcW w:w="38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55"/>
        </w:trPr>
        <w:tc>
          <w:tcPr>
            <w:tcW w:w="3880" w:type="dxa"/>
            <w:vAlign w:val="bottom"/>
            <w:tcBorders>
              <w:bottom w:val="single" w:sz="8" w:color="auto"/>
            </w:tcBorders>
          </w:tcPr>
          <w:p>
            <w:pPr>
              <w:spacing w:after="0"/>
              <w:rPr>
                <w:sz w:val="13"/>
                <w:szCs w:val="13"/>
                <w:color w:val="auto"/>
              </w:rPr>
            </w:pPr>
          </w:p>
        </w:tc>
        <w:tc>
          <w:tcPr>
            <w:tcW w:w="4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bl>
    <w:p>
      <w:pPr>
        <w:spacing w:after="0" w:line="126" w:lineRule="exact"/>
        <w:rPr>
          <w:sz w:val="20"/>
          <w:szCs w:val="20"/>
          <w:color w:val="auto"/>
        </w:rPr>
      </w:pPr>
    </w:p>
    <w:p>
      <w:pPr>
        <w:ind w:left="340" w:hanging="332"/>
        <w:spacing w:after="0" w:line="239" w:lineRule="auto"/>
        <w:tabs>
          <w:tab w:leader="none" w:pos="327"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PAA and certain Plains entities have issued promissory notes by and among such entities to facilitate financing. For the twelve months ended December 31, 2024, “Net cash used in investing activities” includes a cash outflow of $629 million associated with our investment in related party notes. An equal and offsetting cash inflow associated with our issuance of related party notes is included in “Net cash used in financing activities.”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CAPITAL EXPENDITURES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 xml:space="preserve">Net to PAA </w:t>
            </w:r>
            <w:r>
              <w:rPr>
                <w:rFonts w:ascii="Times New Roman" w:cs="Times New Roman" w:eastAsia="Times New Roman" w:hAnsi="Times New Roman"/>
                <w:sz w:val="9"/>
                <w:szCs w:val="9"/>
                <w:b w:val="1"/>
                <w:bCs w:val="1"/>
                <w:color w:val="auto"/>
              </w:rPr>
              <w:t>(1)</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3"/>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5"/>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gridSpan w:val="5"/>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gridSpan w:val="5"/>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gridSpan w:val="4"/>
          </w:tcPr>
          <w:p>
            <w:pPr>
              <w:spacing w:after="0"/>
              <w:rPr>
                <w:sz w:val="2"/>
                <w:szCs w:val="2"/>
                <w:color w:val="auto"/>
              </w:rPr>
            </w:pPr>
          </w:p>
        </w:tc>
      </w:tr>
      <w:tr>
        <w:trPr>
          <w:trHeight w:val="131"/>
        </w:trPr>
        <w:tc>
          <w:tcPr>
            <w:tcW w:w="35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740" w:type="dxa"/>
            <w:vAlign w:val="bottom"/>
            <w:tcBorders>
              <w:top w:val="single" w:sz="8" w:color="auto"/>
            </w:tcBorders>
            <w:gridSpan w:val="6"/>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gridSpan w:val="4"/>
          </w:tcPr>
          <w:p>
            <w:pPr>
              <w:jc w:val="center"/>
              <w:ind w:right="73"/>
              <w:spacing w:after="0" w:line="131" w:lineRule="exact"/>
              <w:rPr>
                <w:sz w:val="20"/>
                <w:szCs w:val="20"/>
                <w:color w:val="auto"/>
              </w:rPr>
            </w:pPr>
            <w:r>
              <w:rPr>
                <w:rFonts w:ascii="Times New Roman" w:cs="Times New Roman" w:eastAsia="Times New Roman" w:hAnsi="Times New Roman"/>
                <w:sz w:val="14"/>
                <w:szCs w:val="14"/>
                <w:b w:val="1"/>
                <w:bCs w:val="1"/>
                <w:color w:val="auto"/>
              </w:rPr>
              <w:t>Twelve Months Ended</w:t>
            </w: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740" w:type="dxa"/>
            <w:vAlign w:val="bottom"/>
            <w:tcBorders>
              <w:top w:val="single" w:sz="8" w:color="auto"/>
            </w:tcBorders>
            <w:gridSpan w:val="5"/>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gridSpan w:val="4"/>
          </w:tcPr>
          <w:p>
            <w:pPr>
              <w:jc w:val="right"/>
              <w:ind w:right="133"/>
              <w:spacing w:after="0" w:line="131" w:lineRule="exact"/>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95"/>
        </w:trPr>
        <w:tc>
          <w:tcPr>
            <w:tcW w:w="3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6"/>
                <w:szCs w:val="16"/>
                <w:color w:val="auto"/>
              </w:rPr>
            </w:pPr>
          </w:p>
        </w:tc>
        <w:tc>
          <w:tcPr>
            <w:tcW w:w="190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17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6"/>
                <w:szCs w:val="16"/>
                <w:color w:val="auto"/>
              </w:rPr>
            </w:pPr>
          </w:p>
        </w:tc>
        <w:tc>
          <w:tcPr>
            <w:tcW w:w="1660" w:type="dxa"/>
            <w:vAlign w:val="bottom"/>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35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capital expenditures: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30"/>
        </w:trPr>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Crude Oil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3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NGL</w:t>
            </w: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 capital expenditures</w:t>
            </w:r>
          </w:p>
        </w:tc>
        <w:tc>
          <w:tcPr>
            <w:tcW w:w="1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2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23"/>
        </w:trPr>
        <w:tc>
          <w:tcPr>
            <w:tcW w:w="35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0"/>
        </w:trPr>
        <w:tc>
          <w:tcPr>
            <w:tcW w:w="3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69"/>
        </w:trPr>
        <w:tc>
          <w:tcPr>
            <w:tcW w:w="3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pacing w:after="0" w:line="67"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Excludes expenditures attributable to noncontrolling interests.</w:t>
      </w: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auto"/>
        </w:rPr>
        <w:t>Page 10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RECONCILIATIONS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 millions, except per unit and ratio data)</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Computation of Basic and Diluted Adjusted Net Income Per Common Unit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020" w:type="dxa"/>
            <w:vAlign w:val="bottom"/>
            <w:gridSpan w:val="4"/>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8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880" w:type="dxa"/>
            <w:vAlign w:val="bottom"/>
            <w:tcBorders>
              <w:bottom w:val="single" w:sz="8" w:color="CCEEFF"/>
            </w:tcBorders>
          </w:tcPr>
          <w:p>
            <w:pPr>
              <w:spacing w:after="0"/>
              <w:rPr>
                <w:sz w:val="16"/>
                <w:szCs w:val="16"/>
                <w:color w:val="auto"/>
              </w:rPr>
            </w:pPr>
          </w:p>
        </w:tc>
        <w:tc>
          <w:tcPr>
            <w:tcW w:w="236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Adjusted Net Income per Common Unit</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74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760" w:type="dxa"/>
            <w:vAlign w:val="bottom"/>
          </w:tcPr>
          <w:p>
            <w:pPr>
              <w:jc w:val="right"/>
              <w:ind w:right="5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175"/>
        </w:trPr>
        <w:tc>
          <w:tcPr>
            <w:tcW w:w="624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Selected items impacting comparability - Adjusted net income attributable to PAA</w:t>
            </w:r>
          </w:p>
        </w:tc>
        <w:tc>
          <w:tcPr>
            <w:tcW w:w="74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76"/>
        </w:trPr>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(2)</w:t>
            </w:r>
          </w:p>
        </w:tc>
        <w:tc>
          <w:tcPr>
            <w:tcW w:w="236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PAA</w:t>
            </w:r>
          </w:p>
        </w:tc>
        <w:tc>
          <w:tcPr>
            <w:tcW w:w="74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9"/>
                <w:szCs w:val="19"/>
                <w:color w:val="auto"/>
              </w:rPr>
            </w:pPr>
          </w:p>
        </w:tc>
        <w:tc>
          <w:tcPr>
            <w:tcW w:w="760" w:type="dxa"/>
            <w:vAlign w:val="bottom"/>
          </w:tcPr>
          <w:p>
            <w:pPr>
              <w:jc w:val="right"/>
              <w:ind w:right="5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to Series A preferred unitholders</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29"/>
        </w:trPr>
        <w:tc>
          <w:tcPr>
            <w:tcW w:w="6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Distributions to Series B preferred unitholders</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allocated to participating securities</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allocated to common unitholders</w:t>
            </w:r>
          </w:p>
        </w:tc>
        <w:tc>
          <w:tcPr>
            <w:tcW w:w="74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Basic and diluted weighted average common units outstanding </w:t>
            </w:r>
            <w:r>
              <w:rPr>
                <w:rFonts w:ascii="Times New Roman" w:cs="Times New Roman" w:eastAsia="Times New Roman" w:hAnsi="Times New Roman"/>
                <w:sz w:val="23"/>
                <w:szCs w:val="23"/>
                <w:color w:val="auto"/>
                <w:vertAlign w:val="superscript"/>
              </w:rPr>
              <w:t>(3) (4)</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57"/>
        </w:trPr>
        <w:tc>
          <w:tcPr>
            <w:tcW w:w="38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adjusted net income per common unit</w:t>
            </w:r>
          </w:p>
        </w:tc>
        <w:tc>
          <w:tcPr>
            <w:tcW w:w="74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880" w:type="dxa"/>
            <w:vAlign w:val="bottom"/>
            <w:tcBorders>
              <w:bottom w:val="single" w:sz="8" w:color="auto"/>
            </w:tcBorders>
          </w:tcPr>
          <w:p>
            <w:pPr>
              <w:spacing w:after="0"/>
              <w:rPr>
                <w:sz w:val="10"/>
                <w:szCs w:val="10"/>
                <w:color w:val="auto"/>
              </w:rPr>
            </w:pPr>
          </w:p>
        </w:tc>
        <w:tc>
          <w:tcPr>
            <w:tcW w:w="2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40" w:right="120" w:hanging="332"/>
        <w:spacing w:after="0" w:line="239" w:lineRule="auto"/>
        <w:tabs>
          <w:tab w:leader="none" w:pos="32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6"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“Selected Items Impacting Comparability” table for additional information.</w:t>
      </w:r>
    </w:p>
    <w:p>
      <w:pPr>
        <w:spacing w:after="0" w:line="55" w:lineRule="exact"/>
        <w:rPr>
          <w:rFonts w:ascii="Times New Roman" w:cs="Times New Roman" w:eastAsia="Times New Roman" w:hAnsi="Times New Roman"/>
          <w:sz w:val="23"/>
          <w:szCs w:val="23"/>
          <w:color w:val="auto"/>
          <w:vertAlign w:val="superscript"/>
        </w:rPr>
      </w:pPr>
    </w:p>
    <w:p>
      <w:pPr>
        <w:ind w:left="340" w:right="100" w:hanging="332"/>
        <w:spacing w:after="0" w:line="219" w:lineRule="auto"/>
        <w:tabs>
          <w:tab w:leader="none" w:pos="32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possible conversion of our Series A preferred units was excluded from the calculation of diluted adjusted net income per common unit for each of the three and twelve months ended December 31, 2024 and 2023 as the effect was antidilutive.</w:t>
      </w:r>
    </w:p>
    <w:p>
      <w:pPr>
        <w:spacing w:after="0" w:line="35" w:lineRule="exact"/>
        <w:rPr>
          <w:rFonts w:ascii="Times New Roman" w:cs="Times New Roman" w:eastAsia="Times New Roman" w:hAnsi="Times New Roman"/>
          <w:sz w:val="23"/>
          <w:szCs w:val="23"/>
          <w:color w:val="auto"/>
          <w:vertAlign w:val="superscript"/>
        </w:rPr>
      </w:pPr>
    </w:p>
    <w:p>
      <w:pPr>
        <w:ind w:left="340" w:right="180" w:hanging="332"/>
        <w:spacing w:after="0" w:line="239" w:lineRule="auto"/>
        <w:tabs>
          <w:tab w:leader="none" w:pos="32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Income/(Loss) Per Common Unit to Adjusted Net Income Per Common Unit Reconciliation: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8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96"/>
        </w:trPr>
        <w:tc>
          <w:tcPr>
            <w:tcW w:w="38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3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income/(loss) per common unit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30"/>
        </w:trPr>
        <w:tc>
          <w:tcPr>
            <w:tcW w:w="622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Selected items impacting comparability per common unit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48"/>
        </w:trPr>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adjusted net income per common unit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3880" w:type="dxa"/>
            <w:vAlign w:val="bottom"/>
            <w:tcBorders>
              <w:bottom w:val="single" w:sz="8" w:color="auto"/>
            </w:tcBorders>
          </w:tcPr>
          <w:p>
            <w:pPr>
              <w:spacing w:after="0"/>
              <w:rPr>
                <w:sz w:val="9"/>
                <w:szCs w:val="9"/>
                <w:color w:val="auto"/>
              </w:rPr>
            </w:pPr>
          </w:p>
        </w:tc>
        <w:tc>
          <w:tcPr>
            <w:tcW w:w="2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r>
    </w:tbl>
    <w:p>
      <w:pPr>
        <w:spacing w:after="0" w:line="130" w:lineRule="exact"/>
        <w:rPr>
          <w:sz w:val="20"/>
          <w:szCs w:val="20"/>
          <w:color w:val="auto"/>
        </w:rPr>
      </w:pPr>
    </w:p>
    <w:p>
      <w:pPr>
        <w:ind w:left="340" w:right="120" w:hanging="332"/>
        <w:spacing w:after="0" w:line="209" w:lineRule="auto"/>
        <w:tabs>
          <w:tab w:leader="none" w:pos="328"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“Selected Items Impacting Comparability” and the “Computation of Basic and Diluted Adjusted Net Income/(Loss) Per Common Unit” tables for additional information.</w:t>
      </w:r>
    </w:p>
    <w:p>
      <w:pPr>
        <w:ind w:left="5440" w:hanging="106"/>
        <w:spacing w:after="0"/>
        <w:tabs>
          <w:tab w:leader="none" w:pos="54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auto"/>
        </w:rPr>
        <w:t>Page 11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to Adjusted EBITDA attributable to PAA and Implied DCF Reconciliation: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18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96"/>
        </w:trPr>
        <w:tc>
          <w:tcPr>
            <w:tcW w:w="6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0" w:type="dxa"/>
            <w:vAlign w:val="bottom"/>
          </w:tcPr>
          <w:p>
            <w:pPr>
              <w:spacing w:after="0"/>
              <w:rPr>
                <w:sz w:val="1"/>
                <w:szCs w:val="1"/>
                <w:color w:val="auto"/>
              </w:rPr>
            </w:pPr>
          </w:p>
        </w:tc>
      </w:tr>
      <w:tr>
        <w:trPr>
          <w:trHeight w:val="230"/>
        </w:trPr>
        <w:tc>
          <w:tcPr>
            <w:tcW w:w="6220" w:type="dxa"/>
            <w:vAlign w:val="bottom"/>
          </w:tcPr>
          <w:p>
            <w:pPr>
              <w:ind w:left="180"/>
              <w:spacing w:after="0" w:line="229" w:lineRule="exact"/>
              <w:rPr>
                <w:sz w:val="20"/>
                <w:szCs w:val="20"/>
                <w:color w:val="auto"/>
              </w:rPr>
            </w:pPr>
            <w:r>
              <w:rPr>
                <w:rFonts w:ascii="Times New Roman" w:cs="Times New Roman" w:eastAsia="Times New Roman" w:hAnsi="Times New Roman"/>
                <w:sz w:val="17"/>
                <w:szCs w:val="17"/>
                <w:color w:val="auto"/>
              </w:rPr>
              <w:t xml:space="preserve">Interest expense, net of certain items </w:t>
            </w:r>
            <w:r>
              <w:rPr>
                <w:rFonts w:ascii="Times New Roman" w:cs="Times New Roman" w:eastAsia="Times New Roman" w:hAnsi="Times New Roman"/>
                <w:sz w:val="22"/>
                <w:szCs w:val="22"/>
                <w:color w:val="auto"/>
                <w:vertAlign w:val="superscript"/>
              </w:rPr>
              <w:t>(1)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Income tax expense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9"/>
        </w:trPr>
        <w:tc>
          <w:tcPr>
            <w:tcW w:w="6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(Gains)/losses on asset sales, asset impairments and other,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9"/>
        </w:trPr>
        <w:tc>
          <w:tcPr>
            <w:tcW w:w="6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Gain on investments in unconsolidated entities, net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180"/>
              <w:spacing w:after="0" w:line="229" w:lineRule="exact"/>
              <w:rPr>
                <w:sz w:val="20"/>
                <w:szCs w:val="20"/>
                <w:color w:val="auto"/>
              </w:rPr>
            </w:pPr>
            <w:r>
              <w:rPr>
                <w:rFonts w:ascii="Times New Roman" w:cs="Times New Roman" w:eastAsia="Times New Roman" w:hAnsi="Times New Roman"/>
                <w:sz w:val="17"/>
                <w:szCs w:val="17"/>
                <w:color w:val="auto"/>
              </w:rPr>
              <w:t xml:space="preserve">Depreciation and amortization of unconsolidated entities </w:t>
            </w:r>
            <w:r>
              <w:rPr>
                <w:rFonts w:ascii="Times New Roman" w:cs="Times New Roman" w:eastAsia="Times New Roman" w:hAnsi="Times New Roman"/>
                <w:sz w:val="22"/>
                <w:szCs w:val="22"/>
                <w:color w:val="auto"/>
                <w:vertAlign w:val="superscript"/>
              </w:rPr>
              <w:t>(2)</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0"/>
        </w:trPr>
        <w:tc>
          <w:tcPr>
            <w:tcW w:w="6220" w:type="dxa"/>
            <w:vAlign w:val="bottom"/>
            <w:tcBorders>
              <w:bottom w:val="single" w:sz="8" w:color="CCEEFF"/>
            </w:tcBorders>
          </w:tcPr>
          <w:p>
            <w:pPr>
              <w:ind w:left="180"/>
              <w:spacing w:after="0" w:line="229" w:lineRule="exact"/>
              <w:rPr>
                <w:sz w:val="20"/>
                <w:szCs w:val="20"/>
                <w:color w:val="auto"/>
              </w:rPr>
            </w:pPr>
            <w:r>
              <w:rPr>
                <w:rFonts w:ascii="Times New Roman" w:cs="Times New Roman" w:eastAsia="Times New Roman" w:hAnsi="Times New Roman"/>
                <w:sz w:val="17"/>
                <w:szCs w:val="17"/>
                <w:color w:val="auto"/>
              </w:rPr>
              <w:t xml:space="preserve">Selected items impacting comparability - Adjusted EBITDA </w:t>
            </w:r>
            <w:r>
              <w:rPr>
                <w:rFonts w:ascii="Times New Roman" w:cs="Times New Roman" w:eastAsia="Times New Roman" w:hAnsi="Times New Roman"/>
                <w:sz w:val="22"/>
                <w:szCs w:val="22"/>
                <w:color w:val="auto"/>
                <w:vertAlign w:val="superscript"/>
              </w:rPr>
              <w:t>(3)</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23"/>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0" w:type="dxa"/>
            <w:vAlign w:val="bottom"/>
          </w:tcPr>
          <w:p>
            <w:pPr>
              <w:spacing w:after="0"/>
              <w:rPr>
                <w:sz w:val="1"/>
                <w:szCs w:val="1"/>
                <w:color w:val="auto"/>
              </w:rPr>
            </w:pPr>
          </w:p>
        </w:tc>
      </w:tr>
      <w:tr>
        <w:trPr>
          <w:trHeight w:val="230"/>
        </w:trPr>
        <w:tc>
          <w:tcPr>
            <w:tcW w:w="6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Adjusted EBITDA attributable to noncontrolling interests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48"/>
        </w:trPr>
        <w:tc>
          <w:tcPr>
            <w:tcW w:w="6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Adjusted EBITDA attributable to PAA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6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0" w:type="dxa"/>
            <w:vAlign w:val="bottom"/>
          </w:tcPr>
          <w:p>
            <w:pPr>
              <w:spacing w:after="0"/>
              <w:rPr>
                <w:sz w:val="1"/>
                <w:szCs w:val="1"/>
                <w:color w:val="auto"/>
              </w:rPr>
            </w:pPr>
          </w:p>
        </w:tc>
      </w:tr>
      <w:tr>
        <w:trPr>
          <w:trHeight w:val="229"/>
        </w:trPr>
        <w:tc>
          <w:tcPr>
            <w:tcW w:w="6220" w:type="dxa"/>
            <w:vAlign w:val="bottom"/>
          </w:tcPr>
          <w:p>
            <w:pPr>
              <w:ind w:left="180"/>
              <w:spacing w:after="0" w:line="229" w:lineRule="exact"/>
              <w:rPr>
                <w:sz w:val="20"/>
                <w:szCs w:val="20"/>
                <w:color w:val="auto"/>
              </w:rPr>
            </w:pPr>
            <w:r>
              <w:rPr>
                <w:rFonts w:ascii="Times New Roman" w:cs="Times New Roman" w:eastAsia="Times New Roman" w:hAnsi="Times New Roman"/>
                <w:sz w:val="17"/>
                <w:szCs w:val="17"/>
                <w:color w:val="auto"/>
              </w:rPr>
              <w:t xml:space="preserve">Interest expense, net of certain non-cash items </w:t>
            </w:r>
            <w:r>
              <w:rPr>
                <w:rFonts w:ascii="Times New Roman" w:cs="Times New Roman" w:eastAsia="Times New Roman" w:hAnsi="Times New Roman"/>
                <w:sz w:val="22"/>
                <w:szCs w:val="22"/>
                <w:color w:val="auto"/>
                <w:vertAlign w:val="superscript"/>
              </w:rPr>
              <w:t>(4)</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Maintenance capital</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30"/>
        </w:trPr>
        <w:tc>
          <w:tcPr>
            <w:tcW w:w="6220" w:type="dxa"/>
            <w:vAlign w:val="bottom"/>
          </w:tcPr>
          <w:p>
            <w:pPr>
              <w:ind w:left="180"/>
              <w:spacing w:after="0" w:line="229" w:lineRule="exact"/>
              <w:rPr>
                <w:sz w:val="20"/>
                <w:szCs w:val="20"/>
                <w:color w:val="auto"/>
              </w:rPr>
            </w:pPr>
            <w:r>
              <w:rPr>
                <w:rFonts w:ascii="Times New Roman" w:cs="Times New Roman" w:eastAsia="Times New Roman" w:hAnsi="Times New Roman"/>
                <w:sz w:val="17"/>
                <w:szCs w:val="17"/>
                <w:color w:val="auto"/>
              </w:rPr>
              <w:t xml:space="preserve">Investment capital of noncontrolling interests </w:t>
            </w:r>
            <w:r>
              <w:rPr>
                <w:rFonts w:ascii="Times New Roman" w:cs="Times New Roman" w:eastAsia="Times New Roman" w:hAnsi="Times New Roman"/>
                <w:sz w:val="22"/>
                <w:szCs w:val="22"/>
                <w:color w:val="auto"/>
                <w:vertAlign w:val="superscript"/>
              </w:rPr>
              <w:t>(5)</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Current income tax expense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162"/>
        </w:trPr>
        <w:tc>
          <w:tcPr>
            <w:tcW w:w="6220" w:type="dxa"/>
            <w:vAlign w:val="bottom"/>
          </w:tcPr>
          <w:p>
            <w:pPr>
              <w:ind w:left="180"/>
              <w:spacing w:after="0" w:line="162" w:lineRule="exact"/>
              <w:rPr>
                <w:sz w:val="20"/>
                <w:szCs w:val="20"/>
                <w:color w:val="auto"/>
              </w:rPr>
            </w:pPr>
            <w:r>
              <w:rPr>
                <w:rFonts w:ascii="Times New Roman" w:cs="Times New Roman" w:eastAsia="Times New Roman" w:hAnsi="Times New Roman"/>
                <w:sz w:val="17"/>
                <w:szCs w:val="17"/>
                <w:color w:val="auto"/>
              </w:rPr>
              <w:t>Distributions from unconsolidated entities in excess of/(less than) adjusted equity</w:t>
            </w:r>
          </w:p>
        </w:tc>
        <w:tc>
          <w:tcPr>
            <w:tcW w:w="28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6220" w:type="dxa"/>
            <w:vAlign w:val="bottom"/>
          </w:tcPr>
          <w:p>
            <w:pPr>
              <w:ind w:left="360"/>
              <w:spacing w:after="0" w:line="229" w:lineRule="exact"/>
              <w:rPr>
                <w:sz w:val="20"/>
                <w:szCs w:val="20"/>
                <w:color w:val="auto"/>
              </w:rPr>
            </w:pPr>
            <w:r>
              <w:rPr>
                <w:rFonts w:ascii="Times New Roman" w:cs="Times New Roman" w:eastAsia="Times New Roman" w:hAnsi="Times New Roman"/>
                <w:sz w:val="17"/>
                <w:szCs w:val="17"/>
                <w:color w:val="auto"/>
              </w:rPr>
              <w:t xml:space="preserve">earnings </w:t>
            </w:r>
            <w:r>
              <w:rPr>
                <w:rFonts w:ascii="Times New Roman" w:cs="Times New Roman" w:eastAsia="Times New Roman" w:hAnsi="Times New Roman"/>
                <w:sz w:val="22"/>
                <w:szCs w:val="22"/>
                <w:color w:val="auto"/>
                <w:vertAlign w:val="superscript"/>
              </w:rPr>
              <w:t>(6)</w:t>
            </w:r>
          </w:p>
        </w:tc>
        <w:tc>
          <w:tcPr>
            <w:tcW w:w="28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180"/>
              <w:spacing w:after="0" w:line="229" w:lineRule="exact"/>
              <w:rPr>
                <w:sz w:val="20"/>
                <w:szCs w:val="20"/>
                <w:color w:val="auto"/>
              </w:rPr>
            </w:pPr>
            <w:r>
              <w:rPr>
                <w:rFonts w:ascii="Times New Roman" w:cs="Times New Roman" w:eastAsia="Times New Roman" w:hAnsi="Times New Roman"/>
                <w:sz w:val="17"/>
                <w:szCs w:val="17"/>
                <w:color w:val="auto"/>
              </w:rPr>
              <w:t xml:space="preserve">Distributions to noncontrolling interests </w:t>
            </w:r>
            <w:r>
              <w:rPr>
                <w:rFonts w:ascii="Times New Roman" w:cs="Times New Roman" w:eastAsia="Times New Roman" w:hAnsi="Times New Roman"/>
                <w:sz w:val="22"/>
                <w:szCs w:val="22"/>
                <w:color w:val="auto"/>
                <w:vertAlign w:val="superscript"/>
              </w:rPr>
              <w:t>(7)</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Implied DCF</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180"/>
              <w:spacing w:after="0" w:line="229" w:lineRule="exact"/>
              <w:rPr>
                <w:sz w:val="20"/>
                <w:szCs w:val="20"/>
                <w:color w:val="auto"/>
              </w:rPr>
            </w:pPr>
            <w:r>
              <w:rPr>
                <w:rFonts w:ascii="Times New Roman" w:cs="Times New Roman" w:eastAsia="Times New Roman" w:hAnsi="Times New Roman"/>
                <w:sz w:val="17"/>
                <w:szCs w:val="17"/>
                <w:color w:val="auto"/>
              </w:rPr>
              <w:t xml:space="preserve">Preferred unit cash distributions paid </w:t>
            </w:r>
            <w:r>
              <w:rPr>
                <w:rFonts w:ascii="Times New Roman" w:cs="Times New Roman" w:eastAsia="Times New Roman" w:hAnsi="Times New Roman"/>
                <w:sz w:val="22"/>
                <w:szCs w:val="22"/>
                <w:color w:val="auto"/>
                <w:vertAlign w:val="superscript"/>
              </w:rPr>
              <w:t>(7)</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Implied DCF Available to Common Unitholders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62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Units Outstanding</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Common Units and Common Unit Equivalents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0" w:type="dxa"/>
            <w:vAlign w:val="bottom"/>
          </w:tcPr>
          <w:p>
            <w:pPr>
              <w:spacing w:after="0"/>
              <w:rPr>
                <w:sz w:val="1"/>
                <w:szCs w:val="1"/>
                <w:color w:val="auto"/>
              </w:rPr>
            </w:pPr>
          </w:p>
        </w:tc>
      </w:tr>
      <w:tr>
        <w:trPr>
          <w:trHeight w:val="108"/>
        </w:trPr>
        <w:tc>
          <w:tcPr>
            <w:tcW w:w="6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Implied DCF per Common Unit </w:t>
            </w:r>
            <w:r>
              <w:rPr>
                <w:rFonts w:ascii="Times New Roman" w:cs="Times New Roman" w:eastAsia="Times New Roman" w:hAnsi="Times New Roman"/>
                <w:sz w:val="22"/>
                <w:szCs w:val="22"/>
                <w:color w:val="auto"/>
                <w:vertAlign w:val="superscript"/>
              </w:rPr>
              <w:t>(8)</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Implied DCF per Common Unit and Common Unit Equivalent </w:t>
            </w:r>
            <w:r>
              <w:rPr>
                <w:rFonts w:ascii="Times New Roman" w:cs="Times New Roman" w:eastAsia="Times New Roman" w:hAnsi="Times New Roman"/>
                <w:sz w:val="22"/>
                <w:szCs w:val="22"/>
                <w:color w:val="auto"/>
                <w:vertAlign w:val="superscript"/>
              </w:rPr>
              <w:t>(9)</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108"/>
        </w:trPr>
        <w:tc>
          <w:tcPr>
            <w:tcW w:w="62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Distribution Paid per Common Unit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0.3175</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0.2675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1.0700</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Common Unit Cash Distributions </w:t>
            </w:r>
            <w:r>
              <w:rPr>
                <w:rFonts w:ascii="Times New Roman" w:cs="Times New Roman" w:eastAsia="Times New Roman" w:hAnsi="Times New Roman"/>
                <w:sz w:val="22"/>
                <w:szCs w:val="22"/>
                <w:color w:val="auto"/>
                <w:vertAlign w:val="superscript"/>
              </w:rPr>
              <w:t>(7)</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Common Unit Distribution Coverage Ratio</w:t>
            </w:r>
          </w:p>
        </w:tc>
        <w:tc>
          <w:tcPr>
            <w:tcW w:w="280" w:type="dxa"/>
            <w:vAlign w:val="bottom"/>
          </w:tcPr>
          <w:p>
            <w:pPr>
              <w:spacing w:after="0"/>
              <w:rPr>
                <w:sz w:val="19"/>
                <w:szCs w:val="19"/>
                <w:color w:val="auto"/>
              </w:rPr>
            </w:pP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2.01x</w:t>
            </w:r>
          </w:p>
        </w:tc>
        <w:tc>
          <w:tcPr>
            <w:tcW w:w="400" w:type="dxa"/>
            <w:vAlign w:val="bottom"/>
          </w:tcPr>
          <w:p>
            <w:pPr>
              <w:spacing w:after="0"/>
              <w:rPr>
                <w:sz w:val="19"/>
                <w:szCs w:val="19"/>
                <w:color w:val="auto"/>
              </w:rPr>
            </w:pP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2.55x</w:t>
            </w:r>
          </w:p>
        </w:tc>
        <w:tc>
          <w:tcPr>
            <w:tcW w:w="280" w:type="dxa"/>
            <w:vAlign w:val="bottom"/>
          </w:tcPr>
          <w:p>
            <w:pPr>
              <w:spacing w:after="0"/>
              <w:rPr>
                <w:sz w:val="19"/>
                <w:szCs w:val="19"/>
                <w:color w:val="auto"/>
              </w:rPr>
            </w:pP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1.97x</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2.31x</w:t>
            </w:r>
          </w:p>
        </w:tc>
        <w:tc>
          <w:tcPr>
            <w:tcW w:w="0" w:type="dxa"/>
            <w:vAlign w:val="bottom"/>
          </w:tcPr>
          <w:p>
            <w:pPr>
              <w:spacing w:after="0"/>
              <w:rPr>
                <w:sz w:val="1"/>
                <w:szCs w:val="1"/>
                <w:color w:val="auto"/>
              </w:rPr>
            </w:pPr>
          </w:p>
        </w:tc>
      </w:tr>
      <w:tr>
        <w:trPr>
          <w:trHeight w:val="108"/>
        </w:trPr>
        <w:tc>
          <w:tcPr>
            <w:tcW w:w="62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Implied DCF Excess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24599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86" w:lineRule="exact"/>
        <w:rPr>
          <w:sz w:val="20"/>
          <w:szCs w:val="20"/>
          <w:color w:val="auto"/>
        </w:rPr>
      </w:pPr>
    </w:p>
    <w:p>
      <w:pPr>
        <w:ind w:left="340" w:right="120" w:hanging="332"/>
        <w:spacing w:after="0" w:line="226" w:lineRule="auto"/>
        <w:tabs>
          <w:tab w:leader="none" w:pos="334"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Represents “Interest expense, net” as reported on our Condensed Consolidated Statements of Operations, net of interest income associated with promissory notes by and among PAA and certain Plains entities.</w:t>
      </w:r>
    </w:p>
    <w:p>
      <w:pPr>
        <w:spacing w:after="0" w:line="9" w:lineRule="exact"/>
        <w:rPr>
          <w:rFonts w:ascii="Times New Roman" w:cs="Times New Roman" w:eastAsia="Times New Roman" w:hAnsi="Times New Roman"/>
          <w:sz w:val="18"/>
          <w:szCs w:val="18"/>
          <w:color w:val="auto"/>
          <w:vertAlign w:val="superscript"/>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Adjustment to exclude our proportionate share of depreciation and amortization expense (including write-downs related to cancelled projects and impairments) of unconsolidated entities.</w:t>
      </w:r>
    </w:p>
    <w:p>
      <w:pPr>
        <w:spacing w:after="0" w:line="49" w:lineRule="exact"/>
        <w:rPr>
          <w:rFonts w:ascii="Times New Roman" w:cs="Times New Roman" w:eastAsia="Times New Roman" w:hAnsi="Times New Roman"/>
          <w:sz w:val="18"/>
          <w:szCs w:val="18"/>
          <w:color w:val="auto"/>
          <w:vertAlign w:val="superscript"/>
        </w:rPr>
      </w:pPr>
    </w:p>
    <w:p>
      <w:pPr>
        <w:ind w:left="320" w:hanging="312"/>
        <w:spacing w:after="0" w:line="193" w:lineRule="auto"/>
        <w:tabs>
          <w:tab w:leader="none" w:pos="32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See the “Selected Items Impacting Comparability” table for additional information.</w:t>
      </w:r>
    </w:p>
    <w:p>
      <w:pPr>
        <w:spacing w:after="0" w:line="49" w:lineRule="exact"/>
        <w:rPr>
          <w:rFonts w:ascii="Times New Roman" w:cs="Times New Roman" w:eastAsia="Times New Roman" w:hAnsi="Times New Roman"/>
          <w:sz w:val="18"/>
          <w:szCs w:val="18"/>
          <w:color w:val="auto"/>
          <w:vertAlign w:val="superscript"/>
        </w:rPr>
      </w:pPr>
    </w:p>
    <w:p>
      <w:pPr>
        <w:ind w:left="320" w:hanging="312"/>
        <w:spacing w:after="0" w:line="193" w:lineRule="auto"/>
        <w:tabs>
          <w:tab w:leader="none" w:pos="32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Amount excludes certain non-cash items impacting interest expense such as amortization of debt issuance costs and terminated interest rate swaps.</w:t>
      </w:r>
    </w:p>
    <w:p>
      <w:pPr>
        <w:spacing w:after="0" w:line="49" w:lineRule="exact"/>
        <w:rPr>
          <w:rFonts w:ascii="Times New Roman" w:cs="Times New Roman" w:eastAsia="Times New Roman" w:hAnsi="Times New Roman"/>
          <w:sz w:val="18"/>
          <w:szCs w:val="18"/>
          <w:color w:val="auto"/>
          <w:vertAlign w:val="superscript"/>
        </w:rPr>
      </w:pPr>
    </w:p>
    <w:p>
      <w:pPr>
        <w:ind w:left="320" w:hanging="312"/>
        <w:spacing w:after="0" w:line="193" w:lineRule="auto"/>
        <w:tabs>
          <w:tab w:leader="none" w:pos="32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Investment capital expenditures attributable to noncontrolling interests that reduce Implied DCF available to PAA common unitholders.</w:t>
      </w:r>
    </w:p>
    <w:p>
      <w:pPr>
        <w:spacing w:after="0" w:line="49" w:lineRule="exact"/>
        <w:rPr>
          <w:rFonts w:ascii="Times New Roman" w:cs="Times New Roman" w:eastAsia="Times New Roman" w:hAnsi="Times New Roman"/>
          <w:sz w:val="18"/>
          <w:szCs w:val="18"/>
          <w:color w:val="auto"/>
          <w:vertAlign w:val="superscript"/>
        </w:rPr>
      </w:pPr>
    </w:p>
    <w:p>
      <w:pPr>
        <w:ind w:left="340" w:right="240" w:hanging="332"/>
        <w:spacing w:after="0" w:line="221" w:lineRule="auto"/>
        <w:tabs>
          <w:tab w:leader="none" w:pos="334"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Comprised of cash distributions received from unconsolidated entities less equity earnings in unconsolidated entities (adjusted for our proportionate share of depreciation and amortization, including write-downs related to cancelled projects and impairments, and selected items impacting comparability of unconsolidated entities).</w:t>
      </w:r>
    </w:p>
    <w:p>
      <w:pPr>
        <w:spacing w:after="0" w:line="9" w:lineRule="exact"/>
        <w:rPr>
          <w:rFonts w:ascii="Times New Roman" w:cs="Times New Roman" w:eastAsia="Times New Roman" w:hAnsi="Times New Roman"/>
          <w:sz w:val="18"/>
          <w:szCs w:val="18"/>
          <w:color w:val="auto"/>
          <w:vertAlign w:val="superscript"/>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Cash distributions paid during the period presented.</w:t>
      </w:r>
    </w:p>
    <w:p>
      <w:pPr>
        <w:spacing w:after="0" w:line="49" w:lineRule="exact"/>
        <w:rPr>
          <w:rFonts w:ascii="Times New Roman" w:cs="Times New Roman" w:eastAsia="Times New Roman" w:hAnsi="Times New Roman"/>
          <w:sz w:val="18"/>
          <w:szCs w:val="18"/>
          <w:color w:val="auto"/>
          <w:vertAlign w:val="superscript"/>
        </w:rPr>
      </w:pPr>
    </w:p>
    <w:p>
      <w:pPr>
        <w:ind w:left="320" w:hanging="312"/>
        <w:spacing w:after="0" w:line="193" w:lineRule="auto"/>
        <w:tabs>
          <w:tab w:leader="none" w:pos="32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Implied DCF Available to Common Unitholders for the period divided by the weighted average common units outstanding for the period.</w:t>
      </w:r>
    </w:p>
    <w:p>
      <w:pPr>
        <w:spacing w:after="0" w:line="49" w:lineRule="exact"/>
        <w:rPr>
          <w:rFonts w:ascii="Times New Roman" w:cs="Times New Roman" w:eastAsia="Times New Roman" w:hAnsi="Times New Roman"/>
          <w:sz w:val="18"/>
          <w:szCs w:val="18"/>
          <w:color w:val="auto"/>
          <w:vertAlign w:val="superscript"/>
        </w:rPr>
      </w:pPr>
    </w:p>
    <w:p>
      <w:pPr>
        <w:ind w:left="340" w:right="60" w:hanging="332"/>
        <w:spacing w:after="0" w:line="214" w:lineRule="auto"/>
        <w:tabs>
          <w:tab w:leader="none" w:pos="334"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Implied DCF Available to Common Unitholders for the period, adjusted for Series A preferred unit cash distributions paid, divided by the weighted average common units and common unit equivalents outstanding for the period. Our Series A preferred units are convertible into common units, generally on a one-for-one basis and subject to customary anti-dilution adjustments, in whole or in part, subject to certain minimum conversion amounts.</w:t>
      </w:r>
    </w:p>
    <w:p>
      <w:pPr>
        <w:spacing w:after="0" w:line="1" w:lineRule="exact"/>
        <w:rPr>
          <w:rFonts w:ascii="Times New Roman" w:cs="Times New Roman" w:eastAsia="Times New Roman" w:hAnsi="Times New Roman"/>
          <w:sz w:val="18"/>
          <w:szCs w:val="18"/>
          <w:color w:val="auto"/>
          <w:vertAlign w:val="superscript"/>
        </w:rPr>
      </w:pPr>
    </w:p>
    <w:p>
      <w:pPr>
        <w:ind w:left="5440" w:hanging="106"/>
        <w:spacing w:after="0"/>
        <w:tabs>
          <w:tab w:leader="none" w:pos="54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auto"/>
        </w:rPr>
        <w:t>Page 12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Per Common Unit to Implied DCF Per Common Unit and Common Unit Equivalent Reconciliation: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1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96"/>
        </w:trPr>
        <w:tc>
          <w:tcPr>
            <w:tcW w:w="38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income/(loss) per common unit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ind w:left="316"/>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0.73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9"/>
        </w:trPr>
        <w:tc>
          <w:tcPr>
            <w:tcW w:w="612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Reconciling items per common unit </w:t>
            </w:r>
            <w:r>
              <w:rPr>
                <w:rFonts w:ascii="Times New Roman" w:cs="Times New Roman" w:eastAsia="Times New Roman" w:hAnsi="Times New Roman"/>
                <w:sz w:val="23"/>
                <w:szCs w:val="23"/>
                <w:color w:val="auto"/>
                <w:vertAlign w:val="superscript"/>
              </w:rPr>
              <w:t>(1) (2)</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356"/>
              <w:spacing w:after="0"/>
              <w:rPr>
                <w:sz w:val="20"/>
                <w:szCs w:val="20"/>
                <w:color w:val="auto"/>
              </w:rPr>
            </w:pPr>
            <w:r>
              <w:rPr>
                <w:rFonts w:ascii="Times New Roman" w:cs="Times New Roman" w:eastAsia="Times New Roman" w:hAnsi="Times New Roman"/>
                <w:sz w:val="18"/>
                <w:szCs w:val="18"/>
                <w:color w:val="auto"/>
              </w:rPr>
              <w:t>0.68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48"/>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Implied DCF per common unit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center"/>
              <w:ind w:left="356"/>
              <w:spacing w:after="0"/>
              <w:rPr>
                <w:sz w:val="20"/>
                <w:szCs w:val="20"/>
                <w:color w:val="auto"/>
              </w:rPr>
            </w:pPr>
            <w:r>
              <w:rPr>
                <w:rFonts w:ascii="Times New Roman" w:cs="Times New Roman" w:eastAsia="Times New Roman" w:hAnsi="Times New Roman"/>
                <w:sz w:val="18"/>
                <w:szCs w:val="18"/>
                <w:color w:val="auto"/>
              </w:rPr>
              <w:t>0.64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income/(loss) per common unit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ind w:left="316"/>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0.73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9"/>
        </w:trPr>
        <w:tc>
          <w:tcPr>
            <w:tcW w:w="612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Reconciling items per common unit and common unit equivalent </w:t>
            </w:r>
            <w:r>
              <w:rPr>
                <w:rFonts w:ascii="Times New Roman" w:cs="Times New Roman" w:eastAsia="Times New Roman" w:hAnsi="Times New Roman"/>
                <w:sz w:val="23"/>
                <w:szCs w:val="23"/>
                <w:color w:val="auto"/>
                <w:vertAlign w:val="superscript"/>
              </w:rPr>
              <w:t>(1) (3)</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356"/>
              <w:spacing w:after="0"/>
              <w:rPr>
                <w:sz w:val="20"/>
                <w:szCs w:val="20"/>
                <w:color w:val="auto"/>
              </w:rPr>
            </w:pPr>
            <w:r>
              <w:rPr>
                <w:rFonts w:ascii="Times New Roman" w:cs="Times New Roman" w:eastAsia="Times New Roman" w:hAnsi="Times New Roman"/>
                <w:sz w:val="18"/>
                <w:szCs w:val="18"/>
                <w:color w:val="auto"/>
              </w:rPr>
              <w:t>0.68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48"/>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Implied DCF per common unit and common unit equivalent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center"/>
              <w:ind w:left="356"/>
              <w:spacing w:after="0"/>
              <w:rPr>
                <w:sz w:val="20"/>
                <w:szCs w:val="20"/>
                <w:color w:val="auto"/>
              </w:rPr>
            </w:pPr>
            <w:r>
              <w:rPr>
                <w:rFonts w:ascii="Times New Roman" w:cs="Times New Roman" w:eastAsia="Times New Roman" w:hAnsi="Times New Roman"/>
                <w:sz w:val="18"/>
                <w:szCs w:val="18"/>
                <w:color w:val="auto"/>
              </w:rPr>
              <w:t>0.64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3880" w:type="dxa"/>
            <w:vAlign w:val="bottom"/>
            <w:tcBorders>
              <w:bottom w:val="single" w:sz="8" w:color="auto"/>
            </w:tcBorders>
          </w:tcPr>
          <w:p>
            <w:pPr>
              <w:spacing w:after="0"/>
              <w:rPr>
                <w:sz w:val="16"/>
                <w:szCs w:val="16"/>
                <w:color w:val="auto"/>
              </w:rPr>
            </w:pPr>
          </w:p>
        </w:tc>
        <w:tc>
          <w:tcPr>
            <w:tcW w:w="2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r>
    </w:tbl>
    <w:p>
      <w:pPr>
        <w:spacing w:after="0" w:line="130" w:lineRule="exact"/>
        <w:rPr>
          <w:sz w:val="20"/>
          <w:szCs w:val="20"/>
          <w:color w:val="auto"/>
        </w:rPr>
      </w:pPr>
    </w:p>
    <w:p>
      <w:pPr>
        <w:ind w:left="340" w:right="440" w:hanging="332"/>
        <w:spacing w:after="0" w:line="229" w:lineRule="auto"/>
        <w:tabs>
          <w:tab w:leader="none" w:pos="32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adjustments to Net Income to calculate Implied DCF Available to Common Unitholders. See the “Net Income to Adjusted EBITDA attributable to PAA and Implied DCF Reconciliation” table for additional information.</w:t>
      </w:r>
    </w:p>
    <w:p>
      <w:pPr>
        <w:spacing w:after="0" w:line="6"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weighted average common units outstanding for the period of 704 million, 701 million, 702 million and 699 million, respectively.</w:t>
      </w:r>
    </w:p>
    <w:p>
      <w:pPr>
        <w:spacing w:after="0" w:line="55" w:lineRule="exact"/>
        <w:rPr>
          <w:rFonts w:ascii="Times New Roman" w:cs="Times New Roman" w:eastAsia="Times New Roman" w:hAnsi="Times New Roman"/>
          <w:sz w:val="23"/>
          <w:szCs w:val="23"/>
          <w:color w:val="auto"/>
          <w:vertAlign w:val="superscript"/>
        </w:rPr>
      </w:pPr>
    </w:p>
    <w:p>
      <w:pPr>
        <w:ind w:left="340" w:right="80" w:hanging="332"/>
        <w:spacing w:after="0" w:line="199" w:lineRule="auto"/>
        <w:tabs>
          <w:tab w:leader="none" w:pos="32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weighted average common units outstanding for the period, as well as weighted average Series A preferred units outstanding of 71 million for each of the periods presented.</w:t>
      </w:r>
    </w:p>
    <w:p>
      <w:pPr>
        <w:ind w:left="5440" w:hanging="106"/>
        <w:spacing w:after="0"/>
        <w:tabs>
          <w:tab w:leader="none" w:pos="54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080"/>
          </w:cols>
          <w:pgMar w:left="320" w:top="364"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auto"/>
        </w:rPr>
        <w:t>Page 13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 to Non-GAAP Financial Liquidity Measures Reconciliation: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54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180" w:type="dxa"/>
            <w:vAlign w:val="bottom"/>
            <w:gridSpan w:val="4"/>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36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720" w:type="dxa"/>
            <w:vAlign w:val="bottom"/>
            <w:shd w:val="clear" w:color="auto" w:fill="CCEEFF"/>
          </w:tcPr>
          <w:p>
            <w:pPr>
              <w:jc w:val="right"/>
              <w:ind w:right="53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0" w:type="dxa"/>
            <w:vAlign w:val="bottom"/>
          </w:tcPr>
          <w:p>
            <w:pPr>
              <w:spacing w:after="0"/>
              <w:rPr>
                <w:sz w:val="1"/>
                <w:szCs w:val="1"/>
                <w:color w:val="auto"/>
              </w:rPr>
            </w:pPr>
          </w:p>
        </w:tc>
      </w:tr>
      <w:tr>
        <w:trPr>
          <w:trHeight w:val="176"/>
        </w:trPr>
        <w:tc>
          <w:tcPr>
            <w:tcW w:w="62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Adjustments to reconcile Net cash provided by operating activities to Adjusted Free</w:t>
            </w: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6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Flow:</w:t>
            </w: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240" w:type="dxa"/>
            <w:vAlign w:val="bottom"/>
            <w:gridSpan w:val="2"/>
            <w:shd w:val="clear" w:color="auto" w:fill="CCEEFF"/>
          </w:tcPr>
          <w:p>
            <w:pPr>
              <w:ind w:left="140"/>
              <w:spacing w:after="0" w:line="234" w:lineRule="exact"/>
              <w:rPr>
                <w:sz w:val="20"/>
                <w:szCs w:val="20"/>
                <w:color w:val="auto"/>
              </w:rPr>
            </w:pPr>
            <w:r>
              <w:rPr>
                <w:rFonts w:ascii="Times New Roman" w:cs="Times New Roman" w:eastAsia="Times New Roman" w:hAnsi="Times New Roman"/>
                <w:sz w:val="18"/>
                <w:szCs w:val="18"/>
                <w:color w:val="auto"/>
              </w:rPr>
              <w:t xml:space="preserve">Net cash used in investing activities </w:t>
            </w:r>
            <w:r>
              <w:rPr>
                <w:rFonts w:ascii="Times New Roman" w:cs="Times New Roman" w:eastAsia="Times New Roman" w:hAnsi="Times New Roman"/>
                <w:sz w:val="23"/>
                <w:szCs w:val="23"/>
                <w:color w:val="auto"/>
                <w:vertAlign w:val="superscript"/>
              </w:rPr>
              <w:t>(1)</w:t>
            </w:r>
          </w:p>
        </w:tc>
        <w:tc>
          <w:tcPr>
            <w:tcW w:w="72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(264)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29"/>
        </w:trPr>
        <w:tc>
          <w:tcPr>
            <w:tcW w:w="6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contributions from noncontrolling interests</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Cash distributions paid to noncontrolling interests </w:t>
            </w:r>
            <w:r>
              <w:rPr>
                <w:rFonts w:ascii="Times New Roman" w:cs="Times New Roman" w:eastAsia="Times New Roman" w:hAnsi="Times New Roman"/>
                <w:sz w:val="23"/>
                <w:szCs w:val="23"/>
                <w:color w:val="auto"/>
                <w:vertAlign w:val="superscript"/>
              </w:rPr>
              <w:t>(2)</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29"/>
        </w:trPr>
        <w:tc>
          <w:tcPr>
            <w:tcW w:w="624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Proceeds from the issuance of related party notes </w:t>
            </w:r>
            <w:r>
              <w:rPr>
                <w:rFonts w:ascii="Times New Roman" w:cs="Times New Roman" w:eastAsia="Times New Roman" w:hAnsi="Times New Roman"/>
                <w:sz w:val="23"/>
                <w:szCs w:val="23"/>
                <w:color w:val="auto"/>
                <w:vertAlign w:val="superscript"/>
              </w:rPr>
              <w:t>(1)</w:t>
            </w:r>
          </w:p>
        </w:tc>
        <w:tc>
          <w:tcPr>
            <w:tcW w:w="7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240" w:type="dxa"/>
            <w:vAlign w:val="bottom"/>
            <w:tcBorders>
              <w:top w:val="single" w:sz="8" w:color="CCEEFF"/>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Free Cash Flow </w:t>
            </w:r>
            <w:r>
              <w:rPr>
                <w:rFonts w:ascii="Times New Roman" w:cs="Times New Roman" w:eastAsia="Times New Roman" w:hAnsi="Times New Roman"/>
                <w:sz w:val="23"/>
                <w:szCs w:val="23"/>
                <w:color w:val="auto"/>
                <w:vertAlign w:val="superscript"/>
              </w:rPr>
              <w:t>(3)</w:t>
            </w:r>
          </w:p>
        </w:tc>
        <w:tc>
          <w:tcPr>
            <w:tcW w:w="720" w:type="dxa"/>
            <w:vAlign w:val="bottom"/>
            <w:tcBorders>
              <w:top w:val="single" w:sz="8" w:color="auto"/>
              <w:bottom w:val="single" w:sz="8" w:color="auto"/>
            </w:tcBorders>
            <w:shd w:val="clear" w:color="auto" w:fill="CCEEFF"/>
          </w:tcPr>
          <w:p>
            <w:pPr>
              <w:jc w:val="right"/>
              <w:ind w:right="53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gridSpan w:val="2"/>
            <w:vMerge w:val="restart"/>
          </w:tcPr>
          <w:p>
            <w:pPr>
              <w:ind w:left="140"/>
              <w:spacing w:after="0" w:line="243" w:lineRule="exact"/>
              <w:rPr>
                <w:sz w:val="20"/>
                <w:szCs w:val="20"/>
                <w:color w:val="auto"/>
              </w:rPr>
            </w:pPr>
            <w:r>
              <w:rPr>
                <w:rFonts w:ascii="Times New Roman" w:cs="Times New Roman" w:eastAsia="Times New Roman" w:hAnsi="Times New Roman"/>
                <w:sz w:val="18"/>
                <w:szCs w:val="18"/>
                <w:color w:val="auto"/>
              </w:rPr>
              <w:t xml:space="preserve">Cash distributions </w:t>
            </w:r>
            <w:r>
              <w:rPr>
                <w:rFonts w:ascii="Times New Roman" w:cs="Times New Roman" w:eastAsia="Times New Roman" w:hAnsi="Times New Roman"/>
                <w:sz w:val="23"/>
                <w:szCs w:val="23"/>
                <w:color w:val="auto"/>
                <w:vertAlign w:val="superscript"/>
              </w:rPr>
              <w:t>(4)</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tcBorders>
              <w:bottom w:val="single" w:sz="8" w:color="CCEEFF"/>
            </w:tcBorders>
            <w:gridSpan w:val="2"/>
            <w:vMerge w:val="continue"/>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(286)</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(989)</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Free Cash Flow after Distributions </w:t>
            </w:r>
            <w:r>
              <w:rPr>
                <w:rFonts w:ascii="Times New Roman" w:cs="Times New Roman" w:eastAsia="Times New Roman" w:hAnsi="Times New Roman"/>
                <w:sz w:val="23"/>
                <w:szCs w:val="23"/>
                <w:color w:val="auto"/>
                <w:vertAlign w:val="superscript"/>
              </w:rPr>
              <w:t>(3) (5)</w:t>
            </w:r>
          </w:p>
        </w:tc>
        <w:tc>
          <w:tcPr>
            <w:tcW w:w="720" w:type="dxa"/>
            <w:vAlign w:val="bottom"/>
            <w:tcBorders>
              <w:bottom w:val="single" w:sz="8" w:color="auto"/>
            </w:tcBorders>
            <w:shd w:val="clear" w:color="auto" w:fill="CCEEFF"/>
          </w:tcPr>
          <w:p>
            <w:pPr>
              <w:jc w:val="right"/>
              <w:ind w:right="53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38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54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24"/>
                <w:szCs w:val="24"/>
                <w:color w:val="auto"/>
              </w:rPr>
            </w:pPr>
          </w:p>
        </w:tc>
        <w:tc>
          <w:tcPr>
            <w:tcW w:w="2180" w:type="dxa"/>
            <w:vAlign w:val="bottom"/>
            <w:gridSpan w:val="4"/>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36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Adjusted Free Cash Flow </w:t>
            </w:r>
            <w:r>
              <w:rPr>
                <w:rFonts w:ascii="Times New Roman" w:cs="Times New Roman" w:eastAsia="Times New Roman" w:hAnsi="Times New Roman"/>
                <w:sz w:val="23"/>
                <w:szCs w:val="23"/>
                <w:color w:val="auto"/>
                <w:vertAlign w:val="superscript"/>
              </w:rPr>
              <w:t>(3)</w:t>
            </w:r>
          </w:p>
        </w:tc>
        <w:tc>
          <w:tcPr>
            <w:tcW w:w="720" w:type="dxa"/>
            <w:vAlign w:val="bottom"/>
            <w:shd w:val="clear" w:color="auto" w:fill="CCEEFF"/>
          </w:tcPr>
          <w:p>
            <w:pPr>
              <w:jc w:val="right"/>
              <w:ind w:right="53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Changes in assets and liabilities, net of acquisitions </w:t>
            </w:r>
            <w:r>
              <w:rPr>
                <w:rFonts w:ascii="Times New Roman" w:cs="Times New Roman" w:eastAsia="Times New Roman" w:hAnsi="Times New Roman"/>
                <w:sz w:val="23"/>
                <w:szCs w:val="23"/>
                <w:color w:val="auto"/>
                <w:vertAlign w:val="superscript"/>
              </w:rPr>
              <w:t>(6)</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(231)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Free Cash Flow (Excluding Changes in Assets &amp; Liabilities) </w:t>
            </w:r>
            <w:r>
              <w:rPr>
                <w:rFonts w:ascii="Times New Roman" w:cs="Times New Roman" w:eastAsia="Times New Roman" w:hAnsi="Times New Roman"/>
                <w:sz w:val="23"/>
                <w:szCs w:val="23"/>
                <w:color w:val="auto"/>
                <w:vertAlign w:val="superscript"/>
              </w:rPr>
              <w:t>(7) (8)</w:t>
            </w:r>
          </w:p>
        </w:tc>
        <w:tc>
          <w:tcPr>
            <w:tcW w:w="720" w:type="dxa"/>
            <w:vAlign w:val="bottom"/>
            <w:tcBorders>
              <w:bottom w:val="single" w:sz="8" w:color="auto"/>
            </w:tcBorders>
            <w:shd w:val="clear" w:color="auto" w:fill="CCEEFF"/>
          </w:tcPr>
          <w:p>
            <w:pPr>
              <w:jc w:val="right"/>
              <w:ind w:right="53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gridSpan w:val="2"/>
            <w:vMerge w:val="restart"/>
          </w:tcPr>
          <w:p>
            <w:pPr>
              <w:ind w:left="140"/>
              <w:spacing w:after="0" w:line="243" w:lineRule="exact"/>
              <w:rPr>
                <w:sz w:val="20"/>
                <w:szCs w:val="20"/>
                <w:color w:val="auto"/>
              </w:rPr>
            </w:pPr>
            <w:r>
              <w:rPr>
                <w:rFonts w:ascii="Times New Roman" w:cs="Times New Roman" w:eastAsia="Times New Roman" w:hAnsi="Times New Roman"/>
                <w:sz w:val="18"/>
                <w:szCs w:val="18"/>
                <w:color w:val="auto"/>
              </w:rPr>
              <w:t xml:space="preserve">Cash distributions </w:t>
            </w:r>
            <w:r>
              <w:rPr>
                <w:rFonts w:ascii="Times New Roman" w:cs="Times New Roman" w:eastAsia="Times New Roman" w:hAnsi="Times New Roman"/>
                <w:sz w:val="23"/>
                <w:szCs w:val="23"/>
                <w:color w:val="auto"/>
                <w:vertAlign w:val="superscript"/>
              </w:rPr>
              <w:t>(4)</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tcBorders>
              <w:bottom w:val="single" w:sz="8" w:color="CCEEFF"/>
            </w:tcBorders>
            <w:gridSpan w:val="2"/>
            <w:vMerge w:val="continue"/>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(286)</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(989)</w:t>
            </w:r>
          </w:p>
        </w:tc>
        <w:tc>
          <w:tcPr>
            <w:tcW w:w="0" w:type="dxa"/>
            <w:vAlign w:val="bottom"/>
          </w:tcPr>
          <w:p>
            <w:pPr>
              <w:spacing w:after="0"/>
              <w:rPr>
                <w:sz w:val="1"/>
                <w:szCs w:val="1"/>
                <w:color w:val="auto"/>
              </w:rPr>
            </w:pPr>
          </w:p>
        </w:tc>
      </w:tr>
      <w:tr>
        <w:trPr>
          <w:trHeight w:val="156"/>
        </w:trPr>
        <w:tc>
          <w:tcPr>
            <w:tcW w:w="624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Adjusted Free Cash Flow after Distributions (Excluding Changes in Assets &amp;</w:t>
            </w:r>
          </w:p>
        </w:tc>
        <w:tc>
          <w:tcPr>
            <w:tcW w:w="720" w:type="dxa"/>
            <w:vAlign w:val="bottom"/>
            <w:vMerge w:val="restart"/>
            <w:shd w:val="clear" w:color="auto" w:fill="CCEEFF"/>
          </w:tcPr>
          <w:p>
            <w:pPr>
              <w:jc w:val="right"/>
              <w:ind w:right="53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(152)</w:t>
            </w:r>
          </w:p>
        </w:tc>
        <w:tc>
          <w:tcPr>
            <w:tcW w:w="10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36"/>
        </w:trPr>
        <w:tc>
          <w:tcPr>
            <w:tcW w:w="6240" w:type="dxa"/>
            <w:vAlign w:val="bottom"/>
            <w:tcBorders>
              <w:bottom w:val="single" w:sz="8" w:color="CCEEFF"/>
            </w:tcBorders>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Liabilities) </w:t>
            </w:r>
            <w:r>
              <w:rPr>
                <w:rFonts w:ascii="Times New Roman" w:cs="Times New Roman" w:eastAsia="Times New Roman" w:hAnsi="Times New Roman"/>
                <w:sz w:val="23"/>
                <w:szCs w:val="23"/>
                <w:color w:val="auto"/>
                <w:vertAlign w:val="superscript"/>
              </w:rPr>
              <w:t>(7) (8)</w:t>
            </w: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880" w:type="dxa"/>
            <w:vAlign w:val="bottom"/>
            <w:tcBorders>
              <w:bottom w:val="single" w:sz="8" w:color="auto"/>
            </w:tcBorders>
          </w:tcPr>
          <w:p>
            <w:pPr>
              <w:spacing w:after="0"/>
              <w:rPr>
                <w:sz w:val="16"/>
                <w:szCs w:val="16"/>
                <w:color w:val="auto"/>
              </w:rPr>
            </w:pPr>
          </w:p>
        </w:tc>
        <w:tc>
          <w:tcPr>
            <w:tcW w:w="2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left="340" w:right="80" w:hanging="332"/>
        <w:spacing w:after="0" w:line="225" w:lineRule="auto"/>
        <w:tabs>
          <w:tab w:leader="none" w:pos="328"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PAA and certain Plains entities have issued promissory notes by and among such entities to facilitate financing. “Proceeds from the issuance of related party notes” has an equal and offsetting cash outflow associated with our investment in related party notes, which is included as a component of “Net cash used in investing activities.”</w:t>
      </w:r>
    </w:p>
    <w:p>
      <w:pPr>
        <w:spacing w:after="0" w:line="15"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Cash distributions paid during the period presented.</w:t>
      </w:r>
    </w:p>
    <w:p>
      <w:pPr>
        <w:spacing w:after="0" w:line="50" w:lineRule="exact"/>
        <w:rPr>
          <w:rFonts w:ascii="Times New Roman" w:cs="Times New Roman" w:eastAsia="Times New Roman" w:hAnsi="Times New Roman"/>
          <w:sz w:val="21"/>
          <w:szCs w:val="21"/>
          <w:color w:val="auto"/>
          <w:vertAlign w:val="superscript"/>
        </w:rPr>
      </w:pPr>
    </w:p>
    <w:p>
      <w:pPr>
        <w:ind w:left="340" w:right="140" w:hanging="332"/>
        <w:spacing w:after="0" w:line="229" w:lineRule="auto"/>
        <w:tabs>
          <w:tab w:leader="none" w:pos="328"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after Distributions shortages, if any, may be funded from previously established reserves, cash on hand or from borrowings under our credit facilities or commercial paper program.</w:t>
      </w:r>
    </w:p>
    <w:p>
      <w:pPr>
        <w:spacing w:after="0" w:line="3"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Cash distributions paid to preferred and common unitholders during the period.</w:t>
      </w:r>
    </w:p>
    <w:p>
      <w:pPr>
        <w:spacing w:after="0" w:line="64" w:lineRule="exact"/>
        <w:rPr>
          <w:rFonts w:ascii="Times New Roman" w:cs="Times New Roman" w:eastAsia="Times New Roman" w:hAnsi="Times New Roman"/>
          <w:sz w:val="21"/>
          <w:szCs w:val="21"/>
          <w:color w:val="auto"/>
          <w:vertAlign w:val="superscript"/>
        </w:rPr>
      </w:pPr>
    </w:p>
    <w:p>
      <w:pPr>
        <w:ind w:left="340" w:right="180" w:hanging="332"/>
        <w:spacing w:after="0" w:line="224" w:lineRule="auto"/>
        <w:tabs>
          <w:tab w:leader="none" w:pos="328"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Excess Adjusted Free Cash Flow after Distributions is retained to establish reserves for future distributions, capital expenditures, debt reduction and other partnership purposes. Adjusted Free Cash Flow after Distributions shortages may be funded from previously established reserves, cash on hand or from borrowings under our credit facilities or commercial paper program.</w:t>
      </w:r>
    </w:p>
    <w:p>
      <w:pPr>
        <w:spacing w:after="0" w:line="16"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the “Condensed Consolidated Cash Flow Data” table.</w:t>
      </w:r>
    </w:p>
    <w:p>
      <w:pPr>
        <w:spacing w:after="0" w:line="50" w:lineRule="exact"/>
        <w:rPr>
          <w:rFonts w:ascii="Times New Roman" w:cs="Times New Roman" w:eastAsia="Times New Roman" w:hAnsi="Times New Roman"/>
          <w:sz w:val="21"/>
          <w:szCs w:val="21"/>
          <w:color w:val="auto"/>
          <w:vertAlign w:val="superscript"/>
        </w:rPr>
      </w:pPr>
    </w:p>
    <w:p>
      <w:pPr>
        <w:jc w:val="both"/>
        <w:ind w:left="340" w:right="320" w:hanging="332"/>
        <w:spacing w:after="0" w:line="229" w:lineRule="auto"/>
        <w:tabs>
          <w:tab w:leader="none" w:pos="328"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Management uses the non-GAAP financial liquidity measures Adjusted Free Cash Flow (Excluding Changes in Assets &amp; Liabilities) and Adjusted Free Cash Flow after Distributions (Excluding Changes in Assets &amp; Liabilities) to assess the underlying business liquidity and cash flow generating capacity excluding fluctuations caused by timing of when amounts earned or incurred were collected, received or paid from period to period.</w:t>
      </w:r>
    </w:p>
    <w:p>
      <w:pPr>
        <w:spacing w:after="0" w:line="34" w:lineRule="exact"/>
        <w:rPr>
          <w:rFonts w:ascii="Times New Roman" w:cs="Times New Roman" w:eastAsia="Times New Roman" w:hAnsi="Times New Roman"/>
          <w:sz w:val="21"/>
          <w:szCs w:val="21"/>
          <w:color w:val="auto"/>
          <w:vertAlign w:val="superscript"/>
        </w:rPr>
      </w:pPr>
    </w:p>
    <w:p>
      <w:pPr>
        <w:ind w:left="340" w:right="20" w:hanging="332"/>
        <w:spacing w:after="0" w:line="214" w:lineRule="auto"/>
        <w:tabs>
          <w:tab w:leader="none" w:pos="328"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Fourth-quarter and full-year 2024 Adjusted Free Cash Flow (Excluding Changes in Assets &amp; Liabilities) includes the negative impact of a $225 million charge resulting from the write-off of a receivable for Line 901 insurance proceeds.</w:t>
      </w:r>
    </w:p>
    <w:p>
      <w:pPr>
        <w:ind w:left="5440" w:hanging="106"/>
        <w:spacing w:after="0"/>
        <w:tabs>
          <w:tab w:leader="none" w:pos="54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auto"/>
        </w:rPr>
        <w:t>Page 14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ITEMS IMPACTING COMPARABILITY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900" w:type="dxa"/>
            <w:vAlign w:val="bottom"/>
            <w:gridSpan w:val="4"/>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380" w:type="dxa"/>
            <w:vAlign w:val="bottom"/>
          </w:tcPr>
          <w:p>
            <w:pPr>
              <w:spacing w:after="0"/>
              <w:rPr>
                <w:sz w:val="13"/>
                <w:szCs w:val="13"/>
                <w:color w:val="auto"/>
              </w:rPr>
            </w:pPr>
          </w:p>
        </w:tc>
      </w:tr>
      <w:tr>
        <w:trPr>
          <w:trHeight w:val="196"/>
        </w:trPr>
        <w:tc>
          <w:tcPr>
            <w:tcW w:w="38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76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7"/>
                <w:szCs w:val="17"/>
                <w:color w:val="auto"/>
              </w:rPr>
            </w:pPr>
          </w:p>
        </w:tc>
      </w:tr>
      <w:tr>
        <w:trPr>
          <w:trHeight w:val="202"/>
        </w:trPr>
        <w:tc>
          <w:tcPr>
            <w:tcW w:w="664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b w:val="1"/>
                <w:bCs w:val="1"/>
                <w:color w:val="auto"/>
              </w:rPr>
              <w:t xml:space="preserve">Selected Items Impacting Comparability: </w:t>
            </w:r>
            <w:r>
              <w:rPr>
                <w:rFonts w:ascii="Times New Roman" w:cs="Times New Roman" w:eastAsia="Times New Roman" w:hAnsi="Times New Roman"/>
                <w:sz w:val="21"/>
                <w:szCs w:val="21"/>
                <w:b w:val="1"/>
                <w:bCs w:val="1"/>
                <w:color w:val="auto"/>
                <w:vertAlign w:val="superscript"/>
              </w:rPr>
              <w:t>(1)</w:t>
            </w: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216"/>
        </w:trPr>
        <w:tc>
          <w:tcPr>
            <w:tcW w:w="66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Derivative activities and inventory valuation adjustments </w:t>
            </w:r>
            <w:r>
              <w:rPr>
                <w:rFonts w:ascii="Times New Roman" w:cs="Times New Roman" w:eastAsia="Times New Roman" w:hAnsi="Times New Roman"/>
                <w:sz w:val="21"/>
                <w:szCs w:val="21"/>
                <w:color w:val="auto"/>
                <w:vertAlign w:val="superscript"/>
              </w:rPr>
              <w:t>(2)</w:t>
            </w:r>
          </w:p>
        </w:tc>
        <w:tc>
          <w:tcPr>
            <w:tcW w:w="700" w:type="dxa"/>
            <w:vAlign w:val="bottom"/>
          </w:tcPr>
          <w:p>
            <w:pPr>
              <w:jc w:val="right"/>
              <w:ind w:right="523"/>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720" w:type="dxa"/>
            <w:vAlign w:val="bottom"/>
          </w:tcPr>
          <w:p>
            <w:pPr>
              <w:jc w:val="right"/>
              <w:ind w:right="541"/>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680" w:type="dxa"/>
            <w:vAlign w:val="bottom"/>
          </w:tcPr>
          <w:p>
            <w:pPr>
              <w:jc w:val="right"/>
              <w:ind w:right="503"/>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Pr>
          <w:p>
            <w:pPr>
              <w:spacing w:after="0"/>
              <w:rPr>
                <w:sz w:val="18"/>
                <w:szCs w:val="18"/>
                <w:color w:val="auto"/>
              </w:rPr>
            </w:pPr>
          </w:p>
        </w:tc>
        <w:tc>
          <w:tcPr>
            <w:tcW w:w="68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(101)</w:t>
            </w:r>
          </w:p>
        </w:tc>
      </w:tr>
      <w:tr>
        <w:trPr>
          <w:trHeight w:val="216"/>
        </w:trPr>
        <w:tc>
          <w:tcPr>
            <w:tcW w:w="66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Long-term inventory costing adjustments </w:t>
            </w:r>
            <w:r>
              <w:rPr>
                <w:rFonts w:ascii="Times New Roman" w:cs="Times New Roman" w:eastAsia="Times New Roman" w:hAnsi="Times New Roman"/>
                <w:sz w:val="21"/>
                <w:szCs w:val="21"/>
                <w:color w:val="auto"/>
                <w:vertAlign w:val="superscript"/>
              </w:rPr>
              <w:t>(3)</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6"/>
        </w:trPr>
        <w:tc>
          <w:tcPr>
            <w:tcW w:w="66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Deficiencies under minimum volume commitments, net </w:t>
            </w:r>
            <w:r>
              <w:rPr>
                <w:rFonts w:ascii="Times New Roman" w:cs="Times New Roman" w:eastAsia="Times New Roman" w:hAnsi="Times New Roman"/>
                <w:sz w:val="21"/>
                <w:szCs w:val="21"/>
                <w:color w:val="auto"/>
                <w:vertAlign w:val="superscript"/>
              </w:rPr>
              <w:t>(4)</w:t>
            </w:r>
          </w:p>
        </w:tc>
        <w:tc>
          <w:tcPr>
            <w:tcW w:w="7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6"/>
        </w:trPr>
        <w:tc>
          <w:tcPr>
            <w:tcW w:w="66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Equity-indexed compensation expense </w:t>
            </w:r>
            <w:r>
              <w:rPr>
                <w:rFonts w:ascii="Times New Roman" w:cs="Times New Roman" w:eastAsia="Times New Roman" w:hAnsi="Times New Roman"/>
                <w:sz w:val="21"/>
                <w:szCs w:val="21"/>
                <w:color w:val="auto"/>
                <w:vertAlign w:val="superscript"/>
              </w:rPr>
              <w:t>(5)</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6"/>
        </w:trPr>
        <w:tc>
          <w:tcPr>
            <w:tcW w:w="66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Foreign currency revaluation </w:t>
            </w:r>
            <w:r>
              <w:rPr>
                <w:rFonts w:ascii="Times New Roman" w:cs="Times New Roman" w:eastAsia="Times New Roman" w:hAnsi="Times New Roman"/>
                <w:sz w:val="21"/>
                <w:szCs w:val="21"/>
                <w:color w:val="auto"/>
                <w:vertAlign w:val="superscript"/>
              </w:rPr>
              <w:t>(6)</w:t>
            </w:r>
          </w:p>
        </w:tc>
        <w:tc>
          <w:tcPr>
            <w:tcW w:w="7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6"/>
        </w:trPr>
        <w:tc>
          <w:tcPr>
            <w:tcW w:w="66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Line 901 incident </w:t>
            </w:r>
            <w:r>
              <w:rPr>
                <w:rFonts w:ascii="Times New Roman" w:cs="Times New Roman" w:eastAsia="Times New Roman" w:hAnsi="Times New Roman"/>
                <w:sz w:val="21"/>
                <w:szCs w:val="21"/>
                <w:color w:val="auto"/>
                <w:vertAlign w:val="superscript"/>
              </w:rPr>
              <w:t>(7)</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(225)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(345)</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6"/>
        </w:trPr>
        <w:tc>
          <w:tcPr>
            <w:tcW w:w="66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Transaction-related expenses </w:t>
            </w:r>
            <w:r>
              <w:rPr>
                <w:rFonts w:ascii="Times New Roman" w:cs="Times New Roman" w:eastAsia="Times New Roman" w:hAnsi="Times New Roman"/>
                <w:sz w:val="21"/>
                <w:szCs w:val="21"/>
                <w:color w:val="auto"/>
                <w:vertAlign w:val="superscript"/>
              </w:rPr>
              <w:t>(8)</w:t>
            </w:r>
          </w:p>
        </w:tc>
        <w:tc>
          <w:tcPr>
            <w:tcW w:w="70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9"/>
        </w:trPr>
        <w:tc>
          <w:tcPr>
            <w:tcW w:w="664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Selected items impacting comparability - Adjusted EBITDA</w:t>
            </w:r>
          </w:p>
        </w:tc>
        <w:tc>
          <w:tcPr>
            <w:tcW w:w="700" w:type="dxa"/>
            <w:vAlign w:val="bottom"/>
            <w:tcBorders>
              <w:top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(180)</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41"/>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03"/>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(409)</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01"/>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(203)</w:t>
            </w:r>
          </w:p>
        </w:tc>
      </w:tr>
      <w:tr>
        <w:trPr>
          <w:trHeight w:val="213"/>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Gain on investments in unconsolidated entities, net</w:t>
            </w:r>
          </w:p>
        </w:tc>
        <w:tc>
          <w:tcPr>
            <w:tcW w:w="7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9"/>
        </w:trPr>
        <w:tc>
          <w:tcPr>
            <w:tcW w:w="664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Gains/(losses) on asset sales, asset impairments and other, net </w:t>
            </w:r>
            <w:r>
              <w:rPr>
                <w:rFonts w:ascii="Times New Roman" w:cs="Times New Roman" w:eastAsia="Times New Roman" w:hAnsi="Times New Roman"/>
                <w:sz w:val="21"/>
                <w:szCs w:val="21"/>
                <w:color w:val="auto"/>
                <w:vertAlign w:val="superscript"/>
              </w:rPr>
              <w:t>(9)</w:t>
            </w:r>
          </w:p>
        </w:tc>
        <w:tc>
          <w:tcPr>
            <w:tcW w:w="7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(159)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(160)</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213"/>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 effect on selected items impacting comparability</w:t>
            </w:r>
          </w:p>
        </w:tc>
        <w:tc>
          <w:tcPr>
            <w:tcW w:w="7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6"/>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Aggregate selected items impacting noncontrolling interests</w:t>
            </w:r>
          </w:p>
        </w:tc>
        <w:tc>
          <w:tcPr>
            <w:tcW w:w="7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2"/>
        </w:trPr>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Selected items impacting comparability - Adjusted net income attributable to PAA</w:t>
            </w:r>
          </w:p>
        </w:tc>
        <w:tc>
          <w:tcPr>
            <w:tcW w:w="700" w:type="dxa"/>
            <w:vAlign w:val="bottom"/>
            <w:tcBorders>
              <w:top w:val="single" w:sz="8" w:color="auto"/>
              <w:bottom w:val="single" w:sz="8" w:color="auto"/>
            </w:tcBorders>
          </w:tcPr>
          <w:p>
            <w:pPr>
              <w:jc w:val="right"/>
              <w:ind w:right="523"/>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2"/>
              </w:rPr>
              <w:t>(321)</w:t>
            </w:r>
          </w:p>
        </w:tc>
        <w:tc>
          <w:tcPr>
            <w:tcW w:w="1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503"/>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(546)</w:t>
            </w:r>
          </w:p>
        </w:tc>
        <w:tc>
          <w:tcPr>
            <w:tcW w:w="12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
        </w:trPr>
        <w:tc>
          <w:tcPr>
            <w:tcW w:w="38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155"/>
        </w:trPr>
        <w:tc>
          <w:tcPr>
            <w:tcW w:w="3880" w:type="dxa"/>
            <w:vAlign w:val="bottom"/>
            <w:tcBorders>
              <w:bottom w:val="single" w:sz="8" w:color="auto"/>
            </w:tcBorders>
          </w:tcPr>
          <w:p>
            <w:pPr>
              <w:spacing w:after="0"/>
              <w:rPr>
                <w:sz w:val="13"/>
                <w:szCs w:val="13"/>
                <w:color w:val="auto"/>
              </w:rPr>
            </w:pPr>
          </w:p>
        </w:tc>
        <w:tc>
          <w:tcPr>
            <w:tcW w:w="2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r>
    </w:tbl>
    <w:p>
      <w:pPr>
        <w:spacing w:after="0" w:line="141" w:lineRule="exact"/>
        <w:rPr>
          <w:sz w:val="20"/>
          <w:szCs w:val="20"/>
          <w:color w:val="auto"/>
        </w:rPr>
      </w:pPr>
    </w:p>
    <w:p>
      <w:pPr>
        <w:ind w:left="340" w:right="400" w:hanging="332"/>
        <w:spacing w:after="0" w:line="235" w:lineRule="auto"/>
        <w:tabs>
          <w:tab w:leader="none" w:pos="330" w:val="left"/>
        </w:tabs>
        <w:numPr>
          <w:ilvl w:val="0"/>
          <w:numId w:val="1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Certain of our non-GAAP financial measures may not be impacted by each of the selected items impacting comparability. See the “Net Income to Adjusted EBITDA attributable to PAA and Implied DCF Reconciliation” and “Computation of Basic and Diluted Adjusted Net Income Per Common Unit” table for additional details on how these selected items impacting comparability affect such measures.</w:t>
      </w:r>
    </w:p>
    <w:p>
      <w:pPr>
        <w:spacing w:after="0" w:line="49" w:lineRule="exact"/>
        <w:rPr>
          <w:rFonts w:ascii="Times New Roman" w:cs="Times New Roman" w:eastAsia="Times New Roman" w:hAnsi="Times New Roman"/>
          <w:sz w:val="16"/>
          <w:szCs w:val="16"/>
          <w:color w:val="auto"/>
          <w:vertAlign w:val="superscript"/>
        </w:rPr>
      </w:pPr>
    </w:p>
    <w:p>
      <w:pPr>
        <w:ind w:left="340" w:right="280" w:hanging="332"/>
        <w:spacing w:after="0" w:line="242" w:lineRule="auto"/>
        <w:tabs>
          <w:tab w:leader="none" w:pos="330"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 investing activities, such as the purchase of linefill, and (ii) purchases of long-term inventory. We also exclude the impact of corresponding inventory valuation adjustments, as applicable. For applicable periods, we excluded gains and losses from the mark-to-market of the embedded derivative associated with the Preferred Distribution Rate Reset Option of our Series A preferred units.</w:t>
      </w:r>
    </w:p>
    <w:p>
      <w:pPr>
        <w:spacing w:after="0" w:line="34" w:lineRule="exact"/>
        <w:rPr>
          <w:rFonts w:ascii="Times New Roman" w:cs="Times New Roman" w:eastAsia="Times New Roman" w:hAnsi="Times New Roman"/>
          <w:sz w:val="17"/>
          <w:szCs w:val="17"/>
          <w:color w:val="auto"/>
          <w:vertAlign w:val="superscript"/>
        </w:rPr>
      </w:pPr>
    </w:p>
    <w:p>
      <w:pPr>
        <w:ind w:left="340" w:right="20" w:hanging="332"/>
        <w:spacing w:after="0" w:line="238" w:lineRule="auto"/>
        <w:tabs>
          <w:tab w:leader="none" w:pos="330"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36" w:lineRule="exact"/>
        <w:rPr>
          <w:rFonts w:ascii="Times New Roman" w:cs="Times New Roman" w:eastAsia="Times New Roman" w:hAnsi="Times New Roman"/>
          <w:sz w:val="17"/>
          <w:szCs w:val="17"/>
          <w:color w:val="auto"/>
          <w:vertAlign w:val="superscript"/>
        </w:rPr>
      </w:pPr>
    </w:p>
    <w:p>
      <w:pPr>
        <w:ind w:left="340" w:right="180" w:hanging="332"/>
        <w:spacing w:after="0" w:line="244" w:lineRule="auto"/>
        <w:tabs>
          <w:tab w:leader="none" w:pos="330"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33" w:lineRule="exact"/>
        <w:rPr>
          <w:rFonts w:ascii="Times New Roman" w:cs="Times New Roman" w:eastAsia="Times New Roman" w:hAnsi="Times New Roman"/>
          <w:sz w:val="17"/>
          <w:szCs w:val="17"/>
          <w:color w:val="auto"/>
          <w:vertAlign w:val="superscript"/>
        </w:rPr>
      </w:pPr>
    </w:p>
    <w:p>
      <w:pPr>
        <w:ind w:left="340" w:right="40" w:hanging="332"/>
        <w:spacing w:after="0" w:line="238" w:lineRule="auto"/>
        <w:tabs>
          <w:tab w:leader="none" w:pos="330"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36" w:lineRule="exact"/>
        <w:rPr>
          <w:rFonts w:ascii="Times New Roman" w:cs="Times New Roman" w:eastAsia="Times New Roman" w:hAnsi="Times New Roman"/>
          <w:sz w:val="17"/>
          <w:szCs w:val="17"/>
          <w:color w:val="auto"/>
          <w:vertAlign w:val="superscript"/>
        </w:rPr>
      </w:pPr>
    </w:p>
    <w:p>
      <w:pPr>
        <w:ind w:left="340" w:right="120" w:hanging="332"/>
        <w:spacing w:after="0" w:line="231" w:lineRule="auto"/>
        <w:tabs>
          <w:tab w:leader="none" w:pos="330"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50" w:lineRule="exact"/>
        <w:rPr>
          <w:rFonts w:ascii="Times New Roman" w:cs="Times New Roman" w:eastAsia="Times New Roman" w:hAnsi="Times New Roman"/>
          <w:sz w:val="17"/>
          <w:szCs w:val="17"/>
          <w:color w:val="auto"/>
          <w:vertAlign w:val="superscript"/>
        </w:rPr>
      </w:pPr>
    </w:p>
    <w:p>
      <w:pPr>
        <w:ind w:left="340" w:right="120" w:hanging="332"/>
        <w:spacing w:after="0" w:line="219" w:lineRule="auto"/>
        <w:tabs>
          <w:tab w:leader="none" w:pos="330"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costs recognized during the period related to the Line 901 incident that occurred in May 2015. For the 2024 periods, includes the write-off of a receivable for Line 901 insurance proceeds in the fourth quarter of 2024 and the impact of settlements in the third quarter of 2024.</w:t>
      </w:r>
    </w:p>
    <w:p>
      <w:pPr>
        <w:spacing w:after="0" w:line="21" w:lineRule="exact"/>
        <w:rPr>
          <w:rFonts w:ascii="Times New Roman" w:cs="Times New Roman" w:eastAsia="Times New Roman" w:hAnsi="Times New Roman"/>
          <w:sz w:val="17"/>
          <w:szCs w:val="17"/>
          <w:color w:val="auto"/>
          <w:vertAlign w:val="superscript"/>
        </w:rPr>
      </w:pPr>
    </w:p>
    <w:p>
      <w:pPr>
        <w:ind w:left="320" w:hanging="312"/>
        <w:spacing w:after="0"/>
        <w:tabs>
          <w:tab w:leader="none" w:pos="320"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expenses associated with the Rattler Permian Transaction.</w:t>
      </w:r>
    </w:p>
    <w:p>
      <w:pPr>
        <w:spacing w:after="0" w:line="49" w:lineRule="exact"/>
        <w:rPr>
          <w:rFonts w:ascii="Times New Roman" w:cs="Times New Roman" w:eastAsia="Times New Roman" w:hAnsi="Times New Roman"/>
          <w:sz w:val="17"/>
          <w:szCs w:val="17"/>
          <w:color w:val="auto"/>
          <w:vertAlign w:val="superscript"/>
        </w:rPr>
      </w:pPr>
    </w:p>
    <w:p>
      <w:pPr>
        <w:ind w:left="340" w:right="140" w:hanging="332"/>
        <w:spacing w:after="0" w:line="194" w:lineRule="auto"/>
        <w:tabs>
          <w:tab w:leader="none" w:pos="330"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For the 2024 periods, primarily includes non-cash charges related to the write-down of two U.S. NGL terminals. For the twelve months ended December 31, 2023 primarily includes gains related to the sale of our Keyera Fort Saskatchewan facility.</w:t>
      </w:r>
    </w:p>
    <w:p>
      <w:pPr>
        <w:ind w:left="5440" w:hanging="106"/>
        <w:spacing w:after="0"/>
        <w:tabs>
          <w:tab w:leader="none" w:pos="54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auto"/>
        </w:rPr>
        <w:t>Page 15</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FINANCIAL DATA BY SEGMENT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8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226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6"/>
        </w:trPr>
        <w:tc>
          <w:tcPr>
            <w:tcW w:w="38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7"/>
                <w:szCs w:val="17"/>
                <w:color w:val="auto"/>
              </w:rPr>
            </w:pPr>
          </w:p>
        </w:tc>
        <w:tc>
          <w:tcPr>
            <w:tcW w:w="226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2"/>
        </w:trPr>
        <w:tc>
          <w:tcPr>
            <w:tcW w:w="38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Crude Oil</w:t>
            </w: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NGL</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Crude Oil</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31"/>
              <w:spacing w:after="0"/>
              <w:rPr>
                <w:sz w:val="20"/>
                <w:szCs w:val="20"/>
                <w:color w:val="auto"/>
              </w:rPr>
            </w:pPr>
            <w:r>
              <w:rPr>
                <w:rFonts w:ascii="Times New Roman" w:cs="Times New Roman" w:eastAsia="Times New Roman" w:hAnsi="Times New Roman"/>
                <w:sz w:val="15"/>
                <w:szCs w:val="15"/>
                <w:b w:val="1"/>
                <w:bCs w:val="1"/>
                <w:color w:val="auto"/>
              </w:rPr>
              <w:t>NGL</w:t>
            </w:r>
          </w:p>
        </w:tc>
      </w:tr>
      <w:tr>
        <w:trPr>
          <w:trHeight w:val="223"/>
        </w:trPr>
        <w:tc>
          <w:tcPr>
            <w:tcW w:w="6140" w:type="dxa"/>
            <w:vAlign w:val="bottom"/>
            <w:tcBorders>
              <w:top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r>
      <w:tr>
        <w:trPr>
          <w:trHeight w:val="229"/>
        </w:trPr>
        <w:tc>
          <w:tcPr>
            <w:tcW w:w="61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29"/>
        </w:trPr>
        <w:tc>
          <w:tcPr>
            <w:tcW w:w="61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Field operating costs </w:t>
            </w:r>
            <w:r>
              <w:rPr>
                <w:rFonts w:ascii="Times New Roman" w:cs="Times New Roman" w:eastAsia="Times New Roman" w:hAnsi="Times New Roman"/>
                <w:sz w:val="23"/>
                <w:szCs w:val="23"/>
                <w:color w:val="auto"/>
                <w:vertAlign w:val="superscript"/>
              </w:rPr>
              <w:t>(2) (3)</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61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Segment general and administrative expenses </w:t>
            </w:r>
            <w:r>
              <w:rPr>
                <w:rFonts w:ascii="Times New Roman" w:cs="Times New Roman" w:eastAsia="Times New Roman" w:hAnsi="Times New Roman"/>
                <w:sz w:val="23"/>
                <w:szCs w:val="23"/>
                <w:color w:val="auto"/>
                <w:vertAlign w:val="superscript"/>
              </w:rPr>
              <w:t>(2) (4)</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62"/>
        </w:trPr>
        <w:tc>
          <w:tcPr>
            <w:tcW w:w="38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9"/>
        </w:trPr>
        <w:tc>
          <w:tcPr>
            <w:tcW w:w="61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(5)</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of unconsolidated entities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activities and inventory valuation adjustments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6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6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Deficiencies under minimum volume commitments, net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6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Line 901 incident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4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Segment amounts attributable to noncontrolling interests </w:t>
            </w:r>
            <w:r>
              <w:rPr>
                <w:rFonts w:ascii="Times New Roman" w:cs="Times New Roman" w:eastAsia="Times New Roman" w:hAnsi="Times New Roman"/>
                <w:sz w:val="23"/>
                <w:szCs w:val="23"/>
                <w:color w:val="auto"/>
                <w:vertAlign w:val="superscript"/>
              </w:rPr>
              <w:t>(6)</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70"/>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156"/>
        </w:trPr>
        <w:tc>
          <w:tcPr>
            <w:tcW w:w="3880" w:type="dxa"/>
            <w:vAlign w:val="bottom"/>
            <w:tcBorders>
              <w:bottom w:val="single" w:sz="8" w:color="auto"/>
            </w:tcBorders>
          </w:tcPr>
          <w:p>
            <w:pPr>
              <w:spacing w:after="0"/>
              <w:rPr>
                <w:sz w:val="13"/>
                <w:szCs w:val="13"/>
                <w:color w:val="auto"/>
              </w:rPr>
            </w:pPr>
          </w:p>
        </w:tc>
        <w:tc>
          <w:tcPr>
            <w:tcW w:w="2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r>
    </w:tbl>
    <w:p>
      <w:pPr>
        <w:spacing w:after="0" w:line="127"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Includes intersegment amounts.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Field operating costs and Segment general and administrative expenses include equity-indexed compensation expense.</w:t>
      </w:r>
    </w:p>
    <w:p>
      <w:pPr>
        <w:spacing w:after="0" w:line="75" w:lineRule="exact"/>
        <w:rPr>
          <w:sz w:val="20"/>
          <w:szCs w:val="20"/>
          <w:color w:val="auto"/>
        </w:rPr>
      </w:pPr>
    </w:p>
    <w:p>
      <w:pPr>
        <w:sectPr>
          <w:pgSz w:w="11900" w:h="16838" w:orient="portrait"/>
          <w:cols w:equalWidth="0" w:num="2">
            <w:col w:w="140" w:space="180"/>
            <w:col w:w="10920"/>
          </w:cols>
          <w:pgMar w:left="320" w:top="364" w:right="339" w:bottom="1440" w:gutter="0" w:footer="0" w:header="0"/>
          <w:type w:val="continuous"/>
        </w:sectPr>
      </w:pPr>
    </w:p>
    <w:p>
      <w:pPr>
        <w:ind w:left="340" w:right="100" w:hanging="332"/>
        <w:spacing w:after="0" w:line="229" w:lineRule="auto"/>
        <w:tabs>
          <w:tab w:leader="none" w:pos="32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Field operating costs for the three months ended December 31, 2024 include higher expenses related to (i) $225 million resulting from the write-off of a receivable for Line 901 insurance proceeds and (ii) an increase in estimated costs for long-term environmental remediation obligations.</w:t>
      </w:r>
    </w:p>
    <w:p>
      <w:pPr>
        <w:spacing w:after="0" w:line="36" w:lineRule="exact"/>
        <w:rPr>
          <w:rFonts w:ascii="Times New Roman" w:cs="Times New Roman" w:eastAsia="Times New Roman" w:hAnsi="Times New Roman"/>
          <w:sz w:val="23"/>
          <w:szCs w:val="23"/>
          <w:color w:val="auto"/>
          <w:vertAlign w:val="superscript"/>
        </w:rPr>
      </w:pPr>
    </w:p>
    <w:p>
      <w:pPr>
        <w:ind w:left="340" w:right="100" w:hanging="332"/>
        <w:spacing w:after="0" w:line="229" w:lineRule="auto"/>
        <w:tabs>
          <w:tab w:leader="none" w:pos="32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6" w:lineRule="exact"/>
        <w:rPr>
          <w:rFonts w:ascii="Times New Roman" w:cs="Times New Roman" w:eastAsia="Times New Roman" w:hAnsi="Times New Roman"/>
          <w:sz w:val="23"/>
          <w:szCs w:val="23"/>
          <w:color w:val="auto"/>
          <w:vertAlign w:val="superscript"/>
        </w:rPr>
      </w:pPr>
    </w:p>
    <w:p>
      <w:pPr>
        <w:ind w:left="340" w:right="140" w:hanging="332"/>
        <w:spacing w:after="0" w:line="235" w:lineRule="auto"/>
        <w:tabs>
          <w:tab w:leader="none" w:pos="32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7"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amounts attributable to noncontrolling interests in the Permian JV, Cactus II Pipeline LLC and Red River Pipeline LLC.</w:t>
      </w:r>
    </w:p>
    <w:p>
      <w:pPr>
        <w:spacing w:after="0" w:line="238" w:lineRule="exact"/>
        <w:rPr>
          <w:rFonts w:ascii="Times New Roman" w:cs="Times New Roman" w:eastAsia="Times New Roman" w:hAnsi="Times New Roman"/>
          <w:sz w:val="23"/>
          <w:szCs w:val="23"/>
          <w:color w:val="auto"/>
          <w:vertAlign w:val="superscript"/>
        </w:rPr>
      </w:pPr>
    </w:p>
    <w:p>
      <w:pPr>
        <w:ind w:left="5440" w:hanging="106"/>
        <w:spacing w:after="0"/>
        <w:tabs>
          <w:tab w:leader="none" w:pos="54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auto"/>
        </w:rPr>
        <w:t>Page 16</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FINANCIAL DATA BY SEGMENT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8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180" w:type="dxa"/>
            <w:vAlign w:val="bottom"/>
          </w:tcPr>
          <w:p>
            <w:pPr>
              <w:spacing w:after="0"/>
              <w:rPr>
                <w:sz w:val="13"/>
                <w:szCs w:val="13"/>
                <w:color w:val="auto"/>
              </w:rPr>
            </w:pPr>
          </w:p>
        </w:tc>
        <w:tc>
          <w:tcPr>
            <w:tcW w:w="228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96"/>
        </w:trPr>
        <w:tc>
          <w:tcPr>
            <w:tcW w:w="38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7"/>
                <w:szCs w:val="17"/>
                <w:color w:val="auto"/>
              </w:rPr>
            </w:pPr>
          </w:p>
        </w:tc>
        <w:tc>
          <w:tcPr>
            <w:tcW w:w="228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2"/>
        </w:trPr>
        <w:tc>
          <w:tcPr>
            <w:tcW w:w="38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Crude Oil</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11"/>
              <w:spacing w:after="0"/>
              <w:rPr>
                <w:sz w:val="20"/>
                <w:szCs w:val="20"/>
                <w:color w:val="auto"/>
              </w:rPr>
            </w:pPr>
            <w:r>
              <w:rPr>
                <w:rFonts w:ascii="Times New Roman" w:cs="Times New Roman" w:eastAsia="Times New Roman" w:hAnsi="Times New Roman"/>
                <w:sz w:val="15"/>
                <w:szCs w:val="15"/>
                <w:b w:val="1"/>
                <w:bCs w:val="1"/>
                <w:color w:val="auto"/>
              </w:rPr>
              <w:t>NGL</w:t>
            </w:r>
          </w:p>
        </w:tc>
        <w:tc>
          <w:tcPr>
            <w:tcW w:w="220" w:type="dxa"/>
            <w:vAlign w:val="bottom"/>
            <w:gridSpan w:val="2"/>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Crude Oil</w:t>
            </w: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31"/>
              <w:spacing w:after="0"/>
              <w:rPr>
                <w:sz w:val="20"/>
                <w:szCs w:val="20"/>
                <w:color w:val="auto"/>
              </w:rPr>
            </w:pPr>
            <w:r>
              <w:rPr>
                <w:rFonts w:ascii="Times New Roman" w:cs="Times New Roman" w:eastAsia="Times New Roman" w:hAnsi="Times New Roman"/>
                <w:sz w:val="15"/>
                <w:szCs w:val="15"/>
                <w:b w:val="1"/>
                <w:bCs w:val="1"/>
                <w:color w:val="auto"/>
              </w:rPr>
              <w:t>NGL</w:t>
            </w:r>
          </w:p>
        </w:tc>
      </w:tr>
      <w:tr>
        <w:trPr>
          <w:trHeight w:val="223"/>
        </w:trPr>
        <w:tc>
          <w:tcPr>
            <w:tcW w:w="6120" w:type="dxa"/>
            <w:vAlign w:val="bottom"/>
            <w:tcBorders>
              <w:top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48,720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r>
      <w:tr>
        <w:trPr>
          <w:trHeight w:val="229"/>
        </w:trPr>
        <w:tc>
          <w:tcPr>
            <w:tcW w:w="61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r>
      <w:tr>
        <w:trPr>
          <w:trHeight w:val="229"/>
        </w:trPr>
        <w:tc>
          <w:tcPr>
            <w:tcW w:w="61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Field operating costs </w:t>
            </w:r>
            <w:r>
              <w:rPr>
                <w:rFonts w:ascii="Times New Roman" w:cs="Times New Roman" w:eastAsia="Times New Roman" w:hAnsi="Times New Roman"/>
                <w:sz w:val="23"/>
                <w:szCs w:val="23"/>
                <w:color w:val="auto"/>
                <w:vertAlign w:val="superscript"/>
              </w:rPr>
              <w:t>(2) (3)</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30"/>
        </w:trPr>
        <w:tc>
          <w:tcPr>
            <w:tcW w:w="61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Segment general and administrative expenses </w:t>
            </w:r>
            <w:r>
              <w:rPr>
                <w:rFonts w:ascii="Times New Roman" w:cs="Times New Roman" w:eastAsia="Times New Roman" w:hAnsi="Times New Roman"/>
                <w:sz w:val="23"/>
                <w:szCs w:val="23"/>
                <w:color w:val="auto"/>
                <w:vertAlign w:val="superscript"/>
              </w:rPr>
              <w:t>(2) (4)</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9"/>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88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29"/>
        </w:trPr>
        <w:tc>
          <w:tcPr>
            <w:tcW w:w="61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(5)</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6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of unconsolidated entities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activities and inventory valuation adjustments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0"/>
        </w:trPr>
        <w:tc>
          <w:tcPr>
            <w:tcW w:w="6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6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Deficiencies under minimum volume commitments, net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6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Line 901 incident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2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Segment amounts attributable to noncontrolling interests </w:t>
            </w:r>
            <w:r>
              <w:rPr>
                <w:rFonts w:ascii="Times New Roman" w:cs="Times New Roman" w:eastAsia="Times New Roman" w:hAnsi="Times New Roman"/>
                <w:sz w:val="23"/>
                <w:szCs w:val="23"/>
                <w:color w:val="auto"/>
                <w:vertAlign w:val="superscript"/>
              </w:rPr>
              <w:t>(6)</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1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4"/>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3880" w:type="dxa"/>
            <w:vAlign w:val="bottom"/>
            <w:tcBorders>
              <w:bottom w:val="single" w:sz="8" w:color="auto"/>
            </w:tcBorders>
          </w:tcPr>
          <w:p>
            <w:pPr>
              <w:spacing w:after="0"/>
              <w:rPr>
                <w:sz w:val="11"/>
                <w:szCs w:val="11"/>
                <w:color w:val="auto"/>
              </w:rPr>
            </w:pPr>
          </w:p>
        </w:tc>
        <w:tc>
          <w:tcPr>
            <w:tcW w:w="2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r>
    </w:tbl>
    <w:p>
      <w:pPr>
        <w:spacing w:after="0" w:line="127"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Includes intersegment amounts.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Field operating costs and Segment general and administrative expenses include equity-indexed compensation expense.</w:t>
      </w:r>
    </w:p>
    <w:p>
      <w:pPr>
        <w:spacing w:after="0" w:line="75" w:lineRule="exact"/>
        <w:rPr>
          <w:sz w:val="20"/>
          <w:szCs w:val="20"/>
          <w:color w:val="auto"/>
        </w:rPr>
      </w:pPr>
    </w:p>
    <w:p>
      <w:pPr>
        <w:sectPr>
          <w:pgSz w:w="11900" w:h="16838" w:orient="portrait"/>
          <w:cols w:equalWidth="0" w:num="2">
            <w:col w:w="140" w:space="180"/>
            <w:col w:w="10920"/>
          </w:cols>
          <w:pgMar w:left="320" w:top="364" w:right="339" w:bottom="1440" w:gutter="0" w:footer="0" w:header="0"/>
          <w:type w:val="continuous"/>
        </w:sectPr>
      </w:pPr>
    </w:p>
    <w:p>
      <w:pPr>
        <w:ind w:left="340" w:right="180" w:hanging="332"/>
        <w:spacing w:after="0" w:line="235" w:lineRule="auto"/>
        <w:tabs>
          <w:tab w:leader="none" w:pos="32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Field operating costs for the twelve months ended December 31, 2024 include higher expenses related to (i) $225 million resulting from the write-off of a receivable for Line 901 insurance proceeds, (ii) $120 million associated with settlements related to the Line 901 incident that occurred in May 2015 and (iii) an increase in estimated costs for long-term environmental remediation obligations.</w:t>
      </w:r>
    </w:p>
    <w:p>
      <w:pPr>
        <w:spacing w:after="0" w:line="37" w:lineRule="exact"/>
        <w:rPr>
          <w:rFonts w:ascii="Times New Roman" w:cs="Times New Roman" w:eastAsia="Times New Roman" w:hAnsi="Times New Roman"/>
          <w:sz w:val="23"/>
          <w:szCs w:val="23"/>
          <w:color w:val="auto"/>
          <w:vertAlign w:val="superscript"/>
        </w:rPr>
      </w:pPr>
    </w:p>
    <w:p>
      <w:pPr>
        <w:ind w:left="340" w:right="100" w:hanging="332"/>
        <w:spacing w:after="0" w:line="229" w:lineRule="auto"/>
        <w:tabs>
          <w:tab w:leader="none" w:pos="32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6" w:lineRule="exact"/>
        <w:rPr>
          <w:rFonts w:ascii="Times New Roman" w:cs="Times New Roman" w:eastAsia="Times New Roman" w:hAnsi="Times New Roman"/>
          <w:sz w:val="23"/>
          <w:szCs w:val="23"/>
          <w:color w:val="auto"/>
          <w:vertAlign w:val="superscript"/>
        </w:rPr>
      </w:pPr>
    </w:p>
    <w:p>
      <w:pPr>
        <w:ind w:left="340" w:right="140" w:hanging="332"/>
        <w:spacing w:after="0" w:line="235" w:lineRule="auto"/>
        <w:tabs>
          <w:tab w:leader="none" w:pos="32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7"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amounts attributable to noncontrolling interests in the Permian JV, Cactus II Pipeline LLC and Red River Pipeline LLC.</w:t>
      </w:r>
    </w:p>
    <w:p>
      <w:pPr>
        <w:spacing w:after="0" w:line="238" w:lineRule="exact"/>
        <w:rPr>
          <w:rFonts w:ascii="Times New Roman" w:cs="Times New Roman" w:eastAsia="Times New Roman" w:hAnsi="Times New Roman"/>
          <w:sz w:val="23"/>
          <w:szCs w:val="23"/>
          <w:color w:val="auto"/>
          <w:vertAlign w:val="superscript"/>
        </w:rPr>
      </w:pPr>
    </w:p>
    <w:p>
      <w:pPr>
        <w:ind w:left="5440" w:hanging="106"/>
        <w:spacing w:after="0"/>
        <w:tabs>
          <w:tab w:leader="none" w:pos="54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auto"/>
        </w:rPr>
        <w:t>Page 17</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DATA BY SEGMENT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5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96"/>
        </w:trPr>
        <w:tc>
          <w:tcPr>
            <w:tcW w:w="38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680" w:type="dxa"/>
            <w:vAlign w:val="bottom"/>
            <w:tcBorders>
              <w:bottom w:val="single" w:sz="8" w:color="auto"/>
            </w:tcBorders>
            <w:gridSpan w:val="3"/>
          </w:tcPr>
          <w:p>
            <w:pPr>
              <w:jc w:val="center"/>
              <w:ind w:left="6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Borders>
              <w:bottom w:val="single" w:sz="8" w:color="auto"/>
            </w:tcBorders>
            <w:gridSpan w:val="3"/>
          </w:tcPr>
          <w:p>
            <w:pPr>
              <w:jc w:val="center"/>
              <w:ind w:left="71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34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Crude Oil Segment Volumes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62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Crude oil pipeline tariff (by region) </w:t>
            </w:r>
            <w:r>
              <w:rPr>
                <w:rFonts w:ascii="Times New Roman" w:cs="Times New Roman" w:eastAsia="Times New Roman" w:hAnsi="Times New Roman"/>
                <w:sz w:val="23"/>
                <w:szCs w:val="23"/>
                <w:color w:val="auto"/>
                <w:vertAlign w:val="superscript"/>
              </w:rPr>
              <w:t>(1)</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6220" w:type="dxa"/>
            <w:vAlign w:val="bottom"/>
            <w:gridSpan w:val="2"/>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Permian Basin </w:t>
            </w:r>
            <w:r>
              <w:rPr>
                <w:rFonts w:ascii="Times New Roman" w:cs="Times New Roman" w:eastAsia="Times New Roman" w:hAnsi="Times New Roman"/>
                <w:sz w:val="23"/>
                <w:szCs w:val="23"/>
                <w:color w:val="auto"/>
                <w:vertAlign w:val="superscript"/>
              </w:rPr>
              <w:t>(2)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w:t>
            </w:r>
          </w:p>
        </w:tc>
      </w:tr>
      <w:tr>
        <w:trPr>
          <w:trHeight w:val="229"/>
        </w:trPr>
        <w:tc>
          <w:tcPr>
            <w:tcW w:w="6220" w:type="dxa"/>
            <w:vAlign w:val="bottom"/>
            <w:gridSpan w:val="2"/>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South Texas / Eagle Ford </w:t>
            </w:r>
            <w:r>
              <w:rPr>
                <w:rFonts w:ascii="Times New Roman" w:cs="Times New Roman" w:eastAsia="Times New Roman" w:hAnsi="Times New Roman"/>
                <w:sz w:val="23"/>
                <w:szCs w:val="23"/>
                <w:color w:val="auto"/>
                <w:vertAlign w:val="superscript"/>
              </w:rPr>
              <w:t>(2)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30"/>
        </w:trPr>
        <w:tc>
          <w:tcPr>
            <w:tcW w:w="6220" w:type="dxa"/>
            <w:vAlign w:val="bottom"/>
            <w:gridSpan w:val="2"/>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Mid-Continent </w:t>
            </w:r>
            <w:r>
              <w:rPr>
                <w:rFonts w:ascii="Times New Roman" w:cs="Times New Roman" w:eastAsia="Times New Roman" w:hAnsi="Times New Roman"/>
                <w:sz w:val="23"/>
                <w:szCs w:val="23"/>
                <w:color w:val="auto"/>
                <w:vertAlign w:val="superscript"/>
              </w:rPr>
              <w:t>(2)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29"/>
        </w:trPr>
        <w:tc>
          <w:tcPr>
            <w:tcW w:w="6220" w:type="dxa"/>
            <w:vAlign w:val="bottom"/>
            <w:gridSpan w:val="2"/>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Gulf Coast </w:t>
            </w:r>
            <w:r>
              <w:rPr>
                <w:rFonts w:ascii="Times New Roman" w:cs="Times New Roman" w:eastAsia="Times New Roman" w:hAnsi="Times New Roman"/>
                <w:sz w:val="23"/>
                <w:szCs w:val="23"/>
                <w:color w:val="auto"/>
                <w:vertAlign w:val="superscript"/>
              </w:rPr>
              <w:t>(2)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29"/>
        </w:trPr>
        <w:tc>
          <w:tcPr>
            <w:tcW w:w="6220" w:type="dxa"/>
            <w:vAlign w:val="bottom"/>
            <w:gridSpan w:val="2"/>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Rocky Mountain </w:t>
            </w:r>
            <w:r>
              <w:rPr>
                <w:rFonts w:ascii="Times New Roman" w:cs="Times New Roman" w:eastAsia="Times New Roman" w:hAnsi="Times New Roman"/>
                <w:sz w:val="23"/>
                <w:szCs w:val="23"/>
                <w:color w:val="auto"/>
                <w:vertAlign w:val="superscript"/>
              </w:rPr>
              <w:t>(2)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30"/>
        </w:trPr>
        <w:tc>
          <w:tcPr>
            <w:tcW w:w="6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Western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29"/>
        </w:trPr>
        <w:tc>
          <w:tcPr>
            <w:tcW w:w="6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Canada</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23"/>
        </w:trPr>
        <w:tc>
          <w:tcPr>
            <w:tcW w:w="6220" w:type="dxa"/>
            <w:vAlign w:val="bottom"/>
            <w:gridSpan w:val="2"/>
          </w:tcPr>
          <w:p>
            <w:pPr>
              <w:ind w:left="140"/>
              <w:spacing w:after="0" w:line="223" w:lineRule="exact"/>
              <w:rPr>
                <w:sz w:val="20"/>
                <w:szCs w:val="20"/>
                <w:color w:val="auto"/>
              </w:rPr>
            </w:pPr>
            <w:r>
              <w:rPr>
                <w:rFonts w:ascii="Times New Roman" w:cs="Times New Roman" w:eastAsia="Times New Roman" w:hAnsi="Times New Roman"/>
                <w:sz w:val="18"/>
                <w:szCs w:val="18"/>
                <w:color w:val="auto"/>
              </w:rPr>
              <w:t xml:space="preserve">Total crude oil pipeline tariff </w:t>
            </w:r>
            <w:r>
              <w:rPr>
                <w:rFonts w:ascii="Times New Roman" w:cs="Times New Roman" w:eastAsia="Times New Roman" w:hAnsi="Times New Roman"/>
                <w:sz w:val="23"/>
                <w:szCs w:val="23"/>
                <w:color w:val="auto"/>
                <w:vertAlign w:val="superscript"/>
              </w:rPr>
              <w:t>(1) (2)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8,903</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8,460</w:t>
            </w:r>
          </w:p>
        </w:tc>
      </w:tr>
      <w:tr>
        <w:trPr>
          <w:trHeight w:val="216"/>
        </w:trPr>
        <w:tc>
          <w:tcPr>
            <w:tcW w:w="388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62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Commercial crude oil storage capacity </w:t>
            </w:r>
            <w:r>
              <w:rPr>
                <w:rFonts w:ascii="Times New Roman" w:cs="Times New Roman" w:eastAsia="Times New Roman" w:hAnsi="Times New Roman"/>
                <w:sz w:val="23"/>
                <w:szCs w:val="23"/>
                <w:color w:val="auto"/>
                <w:vertAlign w:val="superscript"/>
              </w:rPr>
              <w:t>(2) (3)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388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30"/>
        </w:trPr>
        <w:tc>
          <w:tcPr>
            <w:tcW w:w="62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Crude oil lease gathering purchases </w:t>
            </w:r>
            <w:r>
              <w:rPr>
                <w:rFonts w:ascii="Times New Roman" w:cs="Times New Roman" w:eastAsia="Times New Roman" w:hAnsi="Times New Roman"/>
                <w:sz w:val="23"/>
                <w:szCs w:val="23"/>
                <w:color w:val="auto"/>
                <w:vertAlign w:val="superscript"/>
              </w:rPr>
              <w:t>(1)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r>
      <w:tr>
        <w:trPr>
          <w:trHeight w:val="216"/>
        </w:trPr>
        <w:tc>
          <w:tcPr>
            <w:tcW w:w="388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62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NGL Segment Volumes </w:t>
            </w:r>
            <w:r>
              <w:rPr>
                <w:rFonts w:ascii="Times New Roman" w:cs="Times New Roman" w:eastAsia="Times New Roman" w:hAnsi="Times New Roman"/>
                <w:sz w:val="23"/>
                <w:szCs w:val="23"/>
                <w:b w:val="1"/>
                <w:bCs w:val="1"/>
                <w:color w:val="auto"/>
                <w:vertAlign w:val="superscript"/>
              </w:rPr>
              <w:t>(1)</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6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NGL fractionation</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0"/>
        </w:trPr>
        <w:tc>
          <w:tcPr>
            <w:tcW w:w="6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NGL pipeline tariff</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30"/>
        </w:trPr>
        <w:tc>
          <w:tcPr>
            <w:tcW w:w="6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Propane and butane sales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162"/>
        </w:trPr>
        <w:tc>
          <w:tcPr>
            <w:tcW w:w="3880" w:type="dxa"/>
            <w:vAlign w:val="bottom"/>
            <w:tcBorders>
              <w:bottom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130" w:lineRule="exact"/>
        <w:rPr>
          <w:sz w:val="20"/>
          <w:szCs w:val="20"/>
          <w:color w:val="auto"/>
        </w:rPr>
      </w:pPr>
    </w:p>
    <w:p>
      <w:pPr>
        <w:ind w:left="340" w:right="20" w:hanging="332"/>
        <w:spacing w:after="0" w:line="235" w:lineRule="auto"/>
        <w:tabs>
          <w:tab w:leader="none" w:pos="328"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volumes in thousands of barrels per day calculated as the total volumes (attributable to our interest for assets owned by unconsolidated entities or through undivided joint interests) for the period divided by the number of days in the period. Volumes associated with assets acquired during the period represent total volumes for the number of days we actually owned the assets divided by the number of days in the period.</w:t>
      </w:r>
    </w:p>
    <w:p>
      <w:pPr>
        <w:spacing w:after="0" w:line="7"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volumes (attributable to our interest) from assets owned by unconsolidated entities.</w:t>
      </w:r>
    </w:p>
    <w:p>
      <w:pPr>
        <w:spacing w:after="0" w:line="55" w:lineRule="exact"/>
        <w:rPr>
          <w:rFonts w:ascii="Times New Roman" w:cs="Times New Roman" w:eastAsia="Times New Roman" w:hAnsi="Times New Roman"/>
          <w:sz w:val="23"/>
          <w:szCs w:val="23"/>
          <w:color w:val="auto"/>
          <w:vertAlign w:val="superscript"/>
        </w:rPr>
      </w:pPr>
    </w:p>
    <w:p>
      <w:pPr>
        <w:ind w:left="320" w:hanging="312"/>
        <w:spacing w:after="0" w:line="183" w:lineRule="auto"/>
        <w:tabs>
          <w:tab w:leader="none" w:pos="320" w:val="left"/>
        </w:tabs>
        <w:numPr>
          <w:ilvl w:val="0"/>
          <w:numId w:val="1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Average monthly capacity in millions of barrels calculated as total volumes for the period divided by the number of months in the period.</w:t>
      </w:r>
    </w:p>
    <w:p>
      <w:pPr>
        <w:ind w:left="5440" w:hanging="106"/>
        <w:spacing w:after="0"/>
        <w:tabs>
          <w:tab w:leader="none" w:pos="54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auto"/>
        </w:rPr>
        <w:t>Page 18</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SEGMENT RECONCILIATIONS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Supplemental Adjusted EBITDA attributable to PAA Reconciliation:</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2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60" w:type="dxa"/>
            <w:vAlign w:val="bottom"/>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95"/>
        </w:trPr>
        <w:tc>
          <w:tcPr>
            <w:tcW w:w="38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r>
      <w:tr>
        <w:trPr>
          <w:trHeight w:val="195"/>
        </w:trPr>
        <w:tc>
          <w:tcPr>
            <w:tcW w:w="3880" w:type="dxa"/>
            <w:vAlign w:val="bottom"/>
            <w:tcBorders>
              <w:bottom w:val="single" w:sz="8" w:color="CCEEFF"/>
            </w:tcBorders>
          </w:tcPr>
          <w:p>
            <w:pPr>
              <w:spacing w:after="0"/>
              <w:rPr>
                <w:sz w:val="16"/>
                <w:szCs w:val="16"/>
                <w:color w:val="auto"/>
              </w:rPr>
            </w:pPr>
          </w:p>
        </w:tc>
        <w:tc>
          <w:tcPr>
            <w:tcW w:w="226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 Segment Adjusted EBITDA</w:t>
            </w: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r>
      <w:tr>
        <w:trPr>
          <w:trHeight w:val="230"/>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NGL Segment Adjusted EBITDA</w:t>
            </w: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29"/>
        </w:trPr>
        <w:tc>
          <w:tcPr>
            <w:tcW w:w="61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other income, net </w:t>
            </w:r>
            <w:r>
              <w:rPr>
                <w:rFonts w:ascii="Times New Roman" w:cs="Times New Roman" w:eastAsia="Times New Roman" w:hAnsi="Times New Roman"/>
                <w:sz w:val="23"/>
                <w:szCs w:val="23"/>
                <w:color w:val="auto"/>
                <w:vertAlign w:val="superscript"/>
              </w:rPr>
              <w:t>(1)</w:t>
            </w:r>
          </w:p>
        </w:tc>
        <w:tc>
          <w:tcPr>
            <w:tcW w:w="7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6140" w:type="dxa"/>
            <w:vAlign w:val="bottom"/>
            <w:gridSpan w:val="2"/>
          </w:tcPr>
          <w:p>
            <w:pPr>
              <w:ind w:left="240"/>
              <w:spacing w:after="0" w:line="223" w:lineRule="exact"/>
              <w:rPr>
                <w:sz w:val="20"/>
                <w:szCs w:val="20"/>
                <w:color w:val="auto"/>
              </w:rPr>
            </w:pPr>
            <w:r>
              <w:rPr>
                <w:rFonts w:ascii="Times New Roman" w:cs="Times New Roman" w:eastAsia="Times New Roman" w:hAnsi="Times New Roman"/>
                <w:sz w:val="18"/>
                <w:szCs w:val="18"/>
                <w:color w:val="auto"/>
              </w:rPr>
              <w:t xml:space="preserve">Adjusted EBITDA attributable to PAA </w:t>
            </w:r>
            <w:r>
              <w:rPr>
                <w:rFonts w:ascii="Times New Roman" w:cs="Times New Roman" w:eastAsia="Times New Roman" w:hAnsi="Times New Roman"/>
                <w:sz w:val="23"/>
                <w:szCs w:val="23"/>
                <w:color w:val="auto"/>
                <w:vertAlign w:val="superscript"/>
              </w:rPr>
              <w:t>(2)</w:t>
            </w:r>
          </w:p>
        </w:tc>
        <w:tc>
          <w:tcPr>
            <w:tcW w:w="7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2,711</w:t>
            </w:r>
          </w:p>
        </w:tc>
      </w:tr>
      <w:tr>
        <w:trPr>
          <w:trHeight w:val="20"/>
        </w:trPr>
        <w:tc>
          <w:tcPr>
            <w:tcW w:w="3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3"/>
        </w:trPr>
        <w:tc>
          <w:tcPr>
            <w:tcW w:w="3880" w:type="dxa"/>
            <w:vAlign w:val="bottom"/>
            <w:tcBorders>
              <w:bottom w:val="single" w:sz="8" w:color="auto"/>
            </w:tcBorders>
          </w:tcPr>
          <w:p>
            <w:pPr>
              <w:spacing w:after="0"/>
              <w:rPr>
                <w:sz w:val="19"/>
                <w:szCs w:val="19"/>
                <w:color w:val="auto"/>
              </w:rPr>
            </w:pPr>
          </w:p>
        </w:tc>
        <w:tc>
          <w:tcPr>
            <w:tcW w:w="2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r>
    </w:tbl>
    <w:p>
      <w:pPr>
        <w:spacing w:after="0" w:line="117" w:lineRule="exact"/>
        <w:rPr>
          <w:sz w:val="20"/>
          <w:szCs w:val="20"/>
          <w:color w:val="auto"/>
        </w:rPr>
      </w:pPr>
    </w:p>
    <w:p>
      <w:pPr>
        <w:ind w:left="340" w:hanging="332"/>
        <w:spacing w:after="0" w:line="235" w:lineRule="auto"/>
        <w:tabs>
          <w:tab w:leader="none" w:pos="32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“Other income, net” as reported on our Condensed Consolidated Statements of Operations, excluding interest income on promissory notes by and among PAA and certain Plains entities, as well as other income, net attributable to noncontrolling interests, adjusted for selected items impacting comparability. See the “Selected Items Impacting Comparability” table for additional information.</w:t>
      </w:r>
    </w:p>
    <w:p>
      <w:pPr>
        <w:spacing w:after="0" w:line="7"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“Net Income to Adjusted EBITDA attributable to PAA and Implied DCF Reconciliation” table for reconciliation to Net Income.</w:t>
      </w:r>
    </w:p>
    <w:p>
      <w:pPr>
        <w:spacing w:after="0" w:line="82" w:lineRule="exact"/>
        <w:rPr>
          <w:rFonts w:ascii="Times New Roman" w:cs="Times New Roman" w:eastAsia="Times New Roman" w:hAnsi="Times New Roman"/>
          <w:sz w:val="23"/>
          <w:szCs w:val="23"/>
          <w:color w:val="auto"/>
          <w:vertAlign w:val="superscript"/>
        </w:rPr>
      </w:pPr>
    </w:p>
    <w:p>
      <w:pPr>
        <w:ind w:left="5440" w:hanging="106"/>
        <w:spacing w:after="0"/>
        <w:tabs>
          <w:tab w:leader="none" w:pos="54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90805</wp:posOffset>
            </wp:positionV>
            <wp:extent cx="71151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120"/>
          </w:cols>
          <w:pgMar w:left="320" w:top="364"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auto"/>
        </w:rPr>
        <w:t>Page 19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18"/>
                <w:szCs w:val="18"/>
                <w:b w:val="1"/>
                <w:bCs w:val="1"/>
                <w:color w:val="auto"/>
                <w:vertAlign w:val="superscript"/>
              </w:rPr>
              <w:t>(1)</w:t>
            </w:r>
          </w:p>
        </w:tc>
        <w:tc>
          <w:tcPr>
            <w:tcW w:w="260" w:type="dxa"/>
            <w:vAlign w:val="bottom"/>
          </w:tcPr>
          <w:p>
            <w:pPr>
              <w:spacing w:after="0"/>
              <w:rPr>
                <w:sz w:val="18"/>
                <w:szCs w:val="18"/>
                <w:color w:val="auto"/>
              </w:rPr>
            </w:pPr>
          </w:p>
        </w:tc>
        <w:tc>
          <w:tcPr>
            <w:tcW w:w="92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PAGP</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40" w:type="dxa"/>
            <w:vAlign w:val="bottom"/>
          </w:tcPr>
          <w:p>
            <w:pPr>
              <w:spacing w:after="0"/>
              <w:rPr>
                <w:sz w:val="18"/>
                <w:szCs w:val="18"/>
                <w:color w:val="auto"/>
              </w:rPr>
            </w:pPr>
          </w:p>
        </w:tc>
        <w:tc>
          <w:tcPr>
            <w:tcW w:w="9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12,402</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12,402</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12,698</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11,227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11,558</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176"/>
        </w:trPr>
        <w:tc>
          <w:tcPr>
            <w:tcW w:w="3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(Gains)/losses on asset sales, asset</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impairments and other, net</w:t>
            </w:r>
          </w:p>
        </w:tc>
        <w:tc>
          <w:tcPr>
            <w:tcW w:w="28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12,315</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12,316</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12,273</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76"/>
        </w:trPr>
        <w:tc>
          <w:tcPr>
            <w:tcW w:w="3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Gain on investments in unconsolidated</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entities, net</w:t>
            </w:r>
          </w:p>
        </w:tc>
        <w:tc>
          <w:tcPr>
            <w:tcW w:w="2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175"/>
        </w:trPr>
        <w:tc>
          <w:tcPr>
            <w:tcW w:w="33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Net income attributable to noncontrolling</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interests</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155"/>
        </w:trPr>
        <w:tc>
          <w:tcPr>
            <w:tcW w:w="33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INCOME/(LOSS) ATTRIBUTABLE</w:t>
            </w: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shd w:val="clear" w:color="auto" w:fill="CCEEFF"/>
          </w:tcPr>
          <w:p>
            <w:pPr>
              <w:spacing w:after="0"/>
              <w:rPr>
                <w:sz w:val="13"/>
                <w:szCs w:val="13"/>
                <w:color w:val="auto"/>
              </w:rPr>
            </w:pPr>
          </w:p>
        </w:tc>
        <w:tc>
          <w:tcPr>
            <w:tcW w:w="60" w:type="dxa"/>
            <w:vAlign w:val="bottom"/>
            <w:vMerge w:val="restart"/>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right w:val="single" w:sz="8" w:color="auto"/>
            </w:tcBorders>
            <w:shd w:val="clear" w:color="auto" w:fill="CCEEFF"/>
          </w:tcPr>
          <w:p>
            <w:pPr>
              <w:spacing w:after="0"/>
              <w:rPr>
                <w:sz w:val="13"/>
                <w:szCs w:val="13"/>
                <w:color w:val="auto"/>
              </w:rPr>
            </w:pPr>
          </w:p>
        </w:tc>
        <w:tc>
          <w:tcPr>
            <w:tcW w:w="80" w:type="dxa"/>
            <w:vAlign w:val="bottom"/>
            <w:vMerge w:val="restart"/>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vMerge w:val="restart"/>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6"/>
        </w:trPr>
        <w:tc>
          <w:tcPr>
            <w:tcW w:w="3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 PAGP</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gridSpan w:val="2"/>
            <w:vMerge w:val="continue"/>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vMerge w:val="continue"/>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weighted average Class A shares outstanding</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6"/>
        </w:trPr>
        <w:tc>
          <w:tcPr>
            <w:tcW w:w="3880" w:type="dxa"/>
            <w:vAlign w:val="bottom"/>
            <w:gridSpan w:val="3"/>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60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income/(loss) per Class A share</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3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the aggregate consolidating adjustments necessary to produce consolidated financial statements for PAGP.</w:t>
      </w:r>
    </w:p>
    <w:p>
      <w:pPr>
        <w:ind w:left="5440" w:hanging="106"/>
        <w:spacing w:after="0"/>
        <w:tabs>
          <w:tab w:leader="none" w:pos="54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auto"/>
        </w:rPr>
        <w:t>Page 20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18"/>
                <w:szCs w:val="18"/>
                <w:b w:val="1"/>
                <w:bCs w:val="1"/>
                <w:color w:val="auto"/>
                <w:vertAlign w:val="superscript"/>
              </w:rPr>
              <w:t>(1)</w:t>
            </w:r>
          </w:p>
        </w:tc>
        <w:tc>
          <w:tcPr>
            <w:tcW w:w="260" w:type="dxa"/>
            <w:vAlign w:val="bottom"/>
          </w:tcPr>
          <w:p>
            <w:pPr>
              <w:spacing w:after="0"/>
              <w:rPr>
                <w:sz w:val="18"/>
                <w:szCs w:val="18"/>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PAGP</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40" w:type="dxa"/>
            <w:vAlign w:val="bottom"/>
          </w:tcPr>
          <w:p>
            <w:pPr>
              <w:spacing w:after="0"/>
              <w:rPr>
                <w:sz w:val="18"/>
                <w:szCs w:val="18"/>
                <w:color w:val="auto"/>
              </w:rPr>
            </w:pPr>
          </w:p>
        </w:tc>
        <w:tc>
          <w:tcPr>
            <w:tcW w:w="9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50,073</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50,073</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48,712</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45,560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45,560</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44,531</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0" w:type="dxa"/>
            <w:vAlign w:val="bottom"/>
          </w:tcPr>
          <w:p>
            <w:pPr>
              <w:spacing w:after="0"/>
              <w:rPr>
                <w:sz w:val="1"/>
                <w:szCs w:val="1"/>
                <w:color w:val="auto"/>
              </w:rPr>
            </w:pPr>
          </w:p>
        </w:tc>
      </w:tr>
      <w:tr>
        <w:trPr>
          <w:trHeight w:val="176"/>
        </w:trPr>
        <w:tc>
          <w:tcPr>
            <w:tcW w:w="3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(Gains)/losses on asset sales, asset</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impairments and other, net</w:t>
            </w:r>
          </w:p>
        </w:tc>
        <w:tc>
          <w:tcPr>
            <w:tcW w:w="28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48,895</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48,901</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47,211</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176"/>
        </w:trPr>
        <w:tc>
          <w:tcPr>
            <w:tcW w:w="3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Gain on investments in unconsolidated</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entities, net</w:t>
            </w:r>
          </w:p>
        </w:tc>
        <w:tc>
          <w:tcPr>
            <w:tcW w:w="2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0" w:type="dxa"/>
            <w:vAlign w:val="bottom"/>
          </w:tcPr>
          <w:p>
            <w:pPr>
              <w:spacing w:after="0"/>
              <w:rPr>
                <w:sz w:val="1"/>
                <w:szCs w:val="1"/>
                <w:color w:val="auto"/>
              </w:rPr>
            </w:pPr>
          </w:p>
        </w:tc>
      </w:tr>
      <w:tr>
        <w:trPr>
          <w:trHeight w:val="176"/>
        </w:trPr>
        <w:tc>
          <w:tcPr>
            <w:tcW w:w="33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Net income attributable to noncontrolling</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interests</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(341)</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4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0" w:type="dxa"/>
            <w:vAlign w:val="bottom"/>
          </w:tcPr>
          <w:p>
            <w:pPr>
              <w:spacing w:after="0"/>
              <w:rPr>
                <w:sz w:val="1"/>
                <w:szCs w:val="1"/>
                <w:color w:val="auto"/>
              </w:rPr>
            </w:pPr>
          </w:p>
        </w:tc>
      </w:tr>
      <w:tr>
        <w:trPr>
          <w:trHeight w:val="155"/>
        </w:trPr>
        <w:tc>
          <w:tcPr>
            <w:tcW w:w="33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INCOME ATTRIBUTABLE TO</w:t>
            </w: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772</w:t>
            </w:r>
          </w:p>
        </w:tc>
        <w:tc>
          <w:tcPr>
            <w:tcW w:w="40" w:type="dxa"/>
            <w:vAlign w:val="bottom"/>
            <w:shd w:val="clear" w:color="auto" w:fill="CCEEFF"/>
          </w:tcPr>
          <w:p>
            <w:pPr>
              <w:spacing w:after="0"/>
              <w:rPr>
                <w:sz w:val="13"/>
                <w:szCs w:val="13"/>
                <w:color w:val="auto"/>
              </w:rPr>
            </w:pPr>
          </w:p>
        </w:tc>
        <w:tc>
          <w:tcPr>
            <w:tcW w:w="80" w:type="dxa"/>
            <w:vAlign w:val="bottom"/>
            <w:vMerge w:val="restart"/>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Borders>
              <w:right w:val="single" w:sz="8" w:color="auto"/>
            </w:tcBorders>
            <w:shd w:val="clear" w:color="auto" w:fill="CCEEFF"/>
          </w:tcPr>
          <w:p>
            <w:pPr>
              <w:spacing w:after="0"/>
              <w:rPr>
                <w:sz w:val="13"/>
                <w:szCs w:val="13"/>
                <w:color w:val="auto"/>
              </w:rPr>
            </w:pPr>
          </w:p>
        </w:tc>
        <w:tc>
          <w:tcPr>
            <w:tcW w:w="80" w:type="dxa"/>
            <w:vAlign w:val="bottom"/>
            <w:vMerge w:val="restart"/>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vMerge w:val="restart"/>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36"/>
        </w:trPr>
        <w:tc>
          <w:tcPr>
            <w:tcW w:w="3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PAGP</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gridSpan w:val="2"/>
            <w:vMerge w:val="continue"/>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vMerge w:val="continue"/>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5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Basic and diluted weighted average Class A shares outstanding</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Class A share</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3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the aggregate consolidating adjustments necessary to produce consolidated financial statements for PAGP.</w:t>
      </w:r>
    </w:p>
    <w:p>
      <w:pPr>
        <w:ind w:left="5440" w:hanging="106"/>
        <w:spacing w:after="0"/>
        <w:tabs>
          <w:tab w:leader="none" w:pos="54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auto"/>
        </w:rPr>
        <w:t>Page 21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BALANCE SHEET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2"/>
        </w:trPr>
        <w:tc>
          <w:tcPr>
            <w:tcW w:w="3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7"/>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60" w:type="dxa"/>
            <w:vAlign w:val="bottom"/>
          </w:tcPr>
          <w:p>
            <w:pPr>
              <w:spacing w:after="0"/>
              <w:rPr>
                <w:sz w:val="18"/>
                <w:szCs w:val="18"/>
                <w:color w:val="auto"/>
              </w:rPr>
            </w:pPr>
          </w:p>
        </w:tc>
        <w:tc>
          <w:tcPr>
            <w:tcW w:w="116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PAGP</w:t>
            </w:r>
          </w:p>
        </w:tc>
        <w:tc>
          <w:tcPr>
            <w:tcW w:w="28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40" w:type="dxa"/>
            <w:vAlign w:val="bottom"/>
          </w:tcPr>
          <w:p>
            <w:pPr>
              <w:spacing w:after="0"/>
              <w:rPr>
                <w:sz w:val="18"/>
                <w:szCs w:val="18"/>
                <w:color w:val="auto"/>
              </w:rPr>
            </w:pPr>
          </w:p>
        </w:tc>
        <w:tc>
          <w:tcPr>
            <w:tcW w:w="9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PAGP</w:t>
            </w:r>
          </w:p>
        </w:tc>
      </w:tr>
      <w:tr>
        <w:trPr>
          <w:trHeight w:val="209"/>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w:t>
            </w: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15,782</w:t>
            </w: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Linefill</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r>
      <w:tr>
        <w:trPr>
          <w:trHeight w:val="176"/>
        </w:trPr>
        <w:tc>
          <w:tcPr>
            <w:tcW w:w="3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Long-term operating lease right-of-use</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net</w:t>
            </w:r>
          </w:p>
        </w:tc>
        <w:tc>
          <w:tcPr>
            <w:tcW w:w="2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inventory</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48"/>
        </w:trPr>
        <w:tc>
          <w:tcPr>
            <w:tcW w:w="33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27,756</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28,597</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6"/>
        </w:trPr>
        <w:tc>
          <w:tcPr>
            <w:tcW w:w="3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PARTNERS’</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w:t>
            </w: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w:t>
            </w: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debt,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175"/>
        </w:trPr>
        <w:tc>
          <w:tcPr>
            <w:tcW w:w="3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long-term liabilities and deferred</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credits</w:t>
            </w:r>
          </w:p>
        </w:tc>
        <w:tc>
          <w:tcPr>
            <w:tcW w:w="2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r>
      <w:tr>
        <w:trPr>
          <w:trHeight w:val="223"/>
        </w:trPr>
        <w:tc>
          <w:tcPr>
            <w:tcW w:w="33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13,440</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13,625</w:t>
            </w:r>
          </w:p>
        </w:tc>
      </w:tr>
      <w:tr>
        <w:trPr>
          <w:trHeight w:val="216"/>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75"/>
        </w:trPr>
        <w:tc>
          <w:tcPr>
            <w:tcW w:w="3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Partners’ capital excluding noncontrolling</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2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r>
      <w:tr>
        <w:trPr>
          <w:trHeight w:val="230"/>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12,965</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13,424</w:t>
            </w:r>
          </w:p>
        </w:tc>
      </w:tr>
      <w:tr>
        <w:trPr>
          <w:trHeight w:val="223"/>
        </w:trPr>
        <w:tc>
          <w:tcPr>
            <w:tcW w:w="3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partners’ capital</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14,316</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14,972</w:t>
            </w:r>
          </w:p>
        </w:tc>
      </w:tr>
      <w:tr>
        <w:trPr>
          <w:trHeight w:val="26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26,562</w:t>
            </w:r>
          </w:p>
        </w:tc>
        <w:tc>
          <w:tcPr>
            <w:tcW w:w="100" w:type="dxa"/>
            <w:vAlign w:val="bottom"/>
          </w:tcPr>
          <w:p>
            <w:pPr>
              <w:spacing w:after="0"/>
              <w:rPr>
                <w:sz w:val="22"/>
                <w:szCs w:val="22"/>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27,756</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27,355</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28,597</w:t>
            </w:r>
          </w:p>
        </w:tc>
      </w:tr>
      <w:tr>
        <w:trPr>
          <w:trHeight w:val="156"/>
        </w:trPr>
        <w:tc>
          <w:tcPr>
            <w:tcW w:w="33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r>
    </w:tbl>
    <w:p>
      <w:pPr>
        <w:spacing w:after="0" w:line="100" w:lineRule="exact"/>
        <w:rPr>
          <w:sz w:val="20"/>
          <w:szCs w:val="20"/>
          <w:color w:val="auto"/>
        </w:rPr>
      </w:pPr>
    </w:p>
    <w:p>
      <w:pPr>
        <w:ind w:left="320" w:hanging="312"/>
        <w:spacing w:after="0"/>
        <w:tabs>
          <w:tab w:leader="none" w:pos="32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auto"/>
        </w:rPr>
        <w:t>Page 22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ind w:right="396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COMPUTATION OF BASIC AND DILUTED NET INCOME/(LOSS) PER CLASS A SHARE </w:t>
      </w:r>
      <w:r>
        <w:rPr>
          <w:rFonts w:ascii="Times New Roman" w:cs="Times New Roman" w:eastAsia="Times New Roman" w:hAnsi="Times New Roman"/>
          <w:sz w:val="18"/>
          <w:szCs w:val="18"/>
          <w:color w:val="auto"/>
        </w:rPr>
        <w:t>(in millions, except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220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96"/>
        </w:trPr>
        <w:tc>
          <w:tcPr>
            <w:tcW w:w="584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7"/>
                <w:szCs w:val="17"/>
                <w:color w:val="auto"/>
              </w:rPr>
            </w:pPr>
          </w:p>
        </w:tc>
      </w:tr>
      <w:tr>
        <w:trPr>
          <w:trHeight w:val="196"/>
        </w:trPr>
        <w:tc>
          <w:tcPr>
            <w:tcW w:w="584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Net Income/(Loss) per Class A Share</w:t>
            </w: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9"/>
        </w:trPr>
        <w:tc>
          <w:tcPr>
            <w:tcW w:w="5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income/(loss) attributable to PAGP</w:t>
            </w: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82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29"/>
        </w:trPr>
        <w:tc>
          <w:tcPr>
            <w:tcW w:w="5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 and diluted weighted average Class A shares outstanding</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57"/>
        </w:trPr>
        <w:tc>
          <w:tcPr>
            <w:tcW w:w="5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4"/>
        </w:trPr>
        <w:tc>
          <w:tcPr>
            <w:tcW w:w="5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 and diluted net income/(loss) per Class A share</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5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68" w:lineRule="exact"/>
        <w:rPr>
          <w:sz w:val="20"/>
          <w:szCs w:val="20"/>
          <w:color w:val="auto"/>
        </w:rPr>
      </w:pPr>
    </w:p>
    <w:p>
      <w:pPr>
        <w:ind w:left="660" w:right="260" w:hanging="328"/>
        <w:spacing w:after="0" w:line="281" w:lineRule="auto"/>
        <w:tabs>
          <w:tab w:leader="none" w:pos="655" w:val="left"/>
        </w:tabs>
        <w:numPr>
          <w:ilvl w:val="0"/>
          <w:numId w:val="2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general economic, market or business conditions in the United States and elsewhere (including the potential for a recession or significant slowdown in economic activity levels, the risk of persistently high inflation and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42" w:lineRule="exact"/>
        <w:rPr>
          <w:rFonts w:ascii="Times New Roman" w:cs="Times New Roman" w:eastAsia="Times New Roman" w:hAnsi="Times New Roman"/>
          <w:sz w:val="17"/>
          <w:szCs w:val="17"/>
          <w:i w:val="1"/>
          <w:iCs w:val="1"/>
          <w:color w:val="auto"/>
        </w:rPr>
      </w:pPr>
    </w:p>
    <w:p>
      <w:pPr>
        <w:ind w:left="660" w:right="60" w:hanging="328"/>
        <w:spacing w:after="0" w:line="25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global crude oil demand and/or crude oil prices or other factors that correspondingly lead to a significant reduction of North American crude oil and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65"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refinery capacity and other factors affecting demand for various grades of crude oil and NGL and resulting changes in pricing conditions or transportation throughput requirements;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crude oil and NGL market structure, grade differentials and volatility (or lack thereof);</w:t>
      </w:r>
    </w:p>
    <w:p>
      <w:pPr>
        <w:spacing w:after="0" w:line="103"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54"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26"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ability to consummate, acquisitions, divestitures, joint ventures or other strategic opportunities and realize benefits therefrom;</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litigation or other events that are not covered by an indemnity, insurance or existing reserves;</w:t>
      </w:r>
    </w:p>
    <w:p>
      <w:pPr>
        <w:spacing w:after="0" w:line="11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40" w:lineRule="exact"/>
        <w:rPr>
          <w:rFonts w:ascii="Times New Roman" w:cs="Times New Roman" w:eastAsia="Times New Roman" w:hAnsi="Times New Roman"/>
          <w:sz w:val="18"/>
          <w:szCs w:val="18"/>
          <w:color w:val="auto"/>
        </w:rPr>
      </w:pPr>
    </w:p>
    <w:p>
      <w:pPr>
        <w:ind w:left="660" w:right="700" w:hanging="328"/>
        <w:spacing w:after="0" w:line="28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natural disaster, catastrophe, terrorist attack (including eco-terrorist attacks) or other event that materially impacts our operations, including cyber or other attacks on our or our service providers’ electronic and computer systems;</w:t>
      </w:r>
    </w:p>
    <w:p>
      <w:pPr>
        <w:spacing w:after="0" w:line="1" w:lineRule="exact"/>
        <w:rPr>
          <w:rFonts w:ascii="Times New Roman" w:cs="Times New Roman" w:eastAsia="Times New Roman" w:hAnsi="Times New Roman"/>
          <w:sz w:val="18"/>
          <w:szCs w:val="18"/>
          <w:color w:val="auto"/>
        </w:rPr>
      </w:pPr>
    </w:p>
    <w:p>
      <w:pPr>
        <w:ind w:left="5440" w:hanging="106"/>
        <w:spacing w:after="0"/>
        <w:tabs>
          <w:tab w:leader="none" w:pos="54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auto"/>
        </w:rPr>
        <w:t>Page 23</w:t>
      </w:r>
    </w:p>
    <w:p>
      <w:pPr>
        <w:spacing w:after="0" w:line="200" w:lineRule="exact"/>
        <w:rPr>
          <w:sz w:val="20"/>
          <w:szCs w:val="20"/>
          <w:color w:val="auto"/>
        </w:rPr>
      </w:pPr>
    </w:p>
    <w:p>
      <w:pPr>
        <w:spacing w:after="0" w:line="241" w:lineRule="exact"/>
        <w:rPr>
          <w:sz w:val="20"/>
          <w:szCs w:val="20"/>
          <w:color w:val="auto"/>
        </w:rPr>
      </w:pPr>
    </w:p>
    <w:p>
      <w:pPr>
        <w:ind w:left="660" w:right="28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with business operations or project construction, including the impact of extreme weather events or conditions (including wildfires and drought);</w:t>
      </w:r>
    </w:p>
    <w:p>
      <w:pPr>
        <w:spacing w:after="0" w:line="40" w:lineRule="exact"/>
        <w:rPr>
          <w:rFonts w:ascii="Times New Roman" w:cs="Times New Roman" w:eastAsia="Times New Roman" w:hAnsi="Times New Roman"/>
          <w:sz w:val="18"/>
          <w:szCs w:val="18"/>
          <w:color w:val="auto"/>
        </w:rPr>
      </w:pPr>
    </w:p>
    <w:p>
      <w:pPr>
        <w:ind w:left="660" w:right="60" w:hanging="328"/>
        <w:spacing w:after="0" w:line="272" w:lineRule="auto"/>
        <w:tabs>
          <w:tab w:leader="none" w:pos="65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current and future laws, rulings, legislation, governmental regulations, executive orders, trade policies, tariffs, accounting standards and statements, and related interpretations that (i) prohibit, restrict or regulate the development of oil and gas resources and the related infrastructure on lands dedicated to or served by our pipelines, (ii) negatively impact our ability to develop, operate or repair midstream assets, or</w:t>
      </w:r>
    </w:p>
    <w:p>
      <w:pPr>
        <w:spacing w:after="0" w:line="1"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negatively impact our business or increase our exposure to risk;</w:t>
      </w:r>
    </w:p>
    <w:p>
      <w:pPr>
        <w:spacing w:after="0" w:line="71"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development of natural gas or other infrastructure and its impact on expected crude oil production growth in the Permian Basin;</w:t>
      </w:r>
    </w:p>
    <w:p>
      <w:pPr>
        <w:spacing w:after="0" w:line="117"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and inability to attract and retain new talent;</w:t>
      </w:r>
    </w:p>
    <w:p>
      <w:pPr>
        <w:spacing w:after="0" w:line="103"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futures markets for crude oil, NGL and other petroleum products, which may impair our ability to execute our commercial or hedging strategies;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activities;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cost increases of supplies, materials or labor;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our credit ratings and ability to receive open credit from our suppliers and trade counterparties;</w:t>
      </w:r>
    </w:p>
    <w:p>
      <w:pPr>
        <w:spacing w:after="0" w:line="90"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costs and expenses related to unexpected or unplanned capital or maintenance expenditures, third-party claims or other factors;</w:t>
      </w:r>
    </w:p>
    <w:p>
      <w:pPr>
        <w:spacing w:after="0" w:line="103"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or capitalize, or delays in implementing or capitalizing, on investment capital projects, whether due to permitting delays, permitting withdrawals or other factors;</w:t>
      </w:r>
    </w:p>
    <w:p>
      <w:pPr>
        <w:spacing w:after="0" w:line="26" w:lineRule="exact"/>
        <w:rPr>
          <w:rFonts w:ascii="Times New Roman" w:cs="Times New Roman" w:eastAsia="Times New Roman" w:hAnsi="Times New Roman"/>
          <w:sz w:val="18"/>
          <w:szCs w:val="18"/>
          <w:color w:val="auto"/>
        </w:rPr>
      </w:pPr>
    </w:p>
    <w:p>
      <w:pPr>
        <w:ind w:left="660" w:right="20" w:hanging="328"/>
        <w:spacing w:after="0" w:line="312" w:lineRule="auto"/>
        <w:tabs>
          <w:tab w:leader="none" w:pos="65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18"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amplification of other risks caused by volatile or closed financial markets, capital constraints, liquidity concerns and inflation;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or availability of third-party assets upon which our operations depend and over which we have little or no control;</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exchange rate of the Canadian dollar to the United States dollar;</w:t>
      </w:r>
    </w:p>
    <w:p>
      <w:pPr>
        <w:spacing w:after="0" w:line="103"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under-utilization of our assets and facilities;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or lack of availability, of insurance;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debt and equity markets, including the price of our units at the time of vesting under our long-term incentive plans;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development and operation of our assets; and</w:t>
      </w:r>
    </w:p>
    <w:p>
      <w:pPr>
        <w:spacing w:after="0" w:line="103" w:lineRule="exact"/>
        <w:rPr>
          <w:rFonts w:ascii="Times New Roman" w:cs="Times New Roman" w:eastAsia="Times New Roman" w:hAnsi="Times New Roman"/>
          <w:sz w:val="18"/>
          <w:szCs w:val="18"/>
          <w:color w:val="auto"/>
        </w:rPr>
      </w:pPr>
    </w:p>
    <w:p>
      <w:pPr>
        <w:ind w:left="660" w:right="60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as well as in the processing, transportation, fractionation, storage and marketing of NGL as discussed in the Partnerships’ filings with the Securities and Exchange Commission.</w:t>
      </w:r>
    </w:p>
    <w:p>
      <w:pPr>
        <w:spacing w:after="0" w:line="13" w:lineRule="exact"/>
        <w:rPr>
          <w:rFonts w:ascii="Times New Roman" w:cs="Times New Roman" w:eastAsia="Times New Roman" w:hAnsi="Times New Roman"/>
          <w:sz w:val="18"/>
          <w:szCs w:val="18"/>
          <w:color w:val="auto"/>
        </w:rPr>
      </w:pPr>
    </w:p>
    <w:p>
      <w:pPr>
        <w:ind w:left="5440" w:hanging="106"/>
        <w:spacing w:after="0"/>
        <w:tabs>
          <w:tab w:leader="none" w:pos="544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180"/>
          </w:cols>
          <w:pgMar w:left="320" w:top="364"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auto"/>
        </w:rPr>
        <w:t>Page 24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Plains:</w:t>
      </w:r>
    </w:p>
    <w:p>
      <w:pPr>
        <w:spacing w:after="0" w:line="3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PAA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over 8 million barrels per day of crude oil and NGL.</w:t>
      </w:r>
    </w:p>
    <w:p>
      <w:pPr>
        <w:spacing w:after="0" w:line="20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PAA and PAGP are headquartered in Houston, Texas. For more information, please visit www.plains.com.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Contacts</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Blake Fernandez</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(866) 809-1291</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Gladstein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 Investor Relations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(866) 809-1291</w:t>
      </w:r>
    </w:p>
    <w:p>
      <w:pPr>
        <w:spacing w:after="0" w:line="16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71151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47"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sectPr>
      <w:pgSz w:w="11900" w:h="16838" w:orient="portrait"/>
      <w:cols w:equalWidth="0" w:num="1">
        <w:col w:w="11040"/>
      </w:cols>
      <w:pgMar w:left="320" w:top="36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decimal"/>
      <w:start w:val="104"/>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decimal"/>
      <w:start w:val="1"/>
    </w:lvl>
    <w:lvl w:ilvl="1">
      <w:lvlJc w:val="left"/>
      <w:lvlText w:val="-"/>
      <w:numFmt w:val="bullet"/>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lvl w:ilvl="1">
      <w:lvlJc w:val="left"/>
      <w:lvlText w:val="-"/>
      <w:numFmt w:val="bullet"/>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
    </w:lvl>
    <w:lvl w:ilvl="1">
      <w:lvlJc w:val="left"/>
      <w:lvlText w:val="-"/>
      <w:numFmt w:val="bullet"/>
      <w:start w:val="1"/>
    </w:lvl>
  </w:abstractNum>
  <w:abstractNum w:abstractNumId="12">
    <w:nsid w:val="7C83E458"/>
    <w:multiLevelType w:val="hybridMultilevel"/>
    <w:lvl w:ilvl="0">
      <w:lvlJc w:val="left"/>
      <w:lvlText w:val="(%1)"/>
      <w:numFmt w:val="decimal"/>
      <w:start w:val="1"/>
    </w:lvl>
    <w:lvl w:ilvl="1">
      <w:lvlJc w:val="left"/>
      <w:lvlText w:val="-"/>
      <w:numFmt w:val="bullet"/>
      <w:start w:val="1"/>
    </w:lvl>
  </w:abstractNum>
  <w:abstractNum w:abstractNumId="13">
    <w:nsid w:val="257130A3"/>
    <w:multiLevelType w:val="hybridMultilevel"/>
    <w:lvl w:ilvl="0">
      <w:lvlJc w:val="left"/>
      <w:lvlText w:val="(%1)"/>
      <w:numFmt w:val="decimal"/>
      <w:start w:val="1"/>
    </w:lvl>
    <w:lvl w:ilvl="1">
      <w:lvlJc w:val="left"/>
      <w:lvlText w:val="-"/>
      <w:numFmt w:val="bullet"/>
      <w:start w:val="1"/>
    </w:lvl>
  </w:abstractNum>
  <w:abstractNum w:abstractNumId="14">
    <w:nsid w:val="62BBD95A"/>
    <w:multiLevelType w:val="hybridMultilevel"/>
    <w:lvl w:ilvl="0">
      <w:lvlJc w:val="left"/>
      <w:lvlText w:val="(%1)"/>
      <w:numFmt w:val="decimal"/>
      <w:start w:val="1"/>
    </w:lvl>
    <w:lvl w:ilvl="1">
      <w:lvlJc w:val="left"/>
      <w:lvlText w:val="-"/>
      <w:numFmt w:val="bullet"/>
      <w:start w:val="1"/>
    </w:lvl>
  </w:abstractNum>
  <w:abstractNum w:abstractNumId="15">
    <w:nsid w:val="436C6125"/>
    <w:multiLevelType w:val="hybridMultilevel"/>
    <w:lvl w:ilvl="0">
      <w:lvlJc w:val="left"/>
      <w:lvlText w:val="(%1)"/>
      <w:numFmt w:val="decimal"/>
      <w:start w:val="1"/>
    </w:lvl>
    <w:lvl w:ilvl="1">
      <w:lvlJc w:val="left"/>
      <w:lvlText w:val="-"/>
      <w:numFmt w:val="bullet"/>
      <w:start w:val="1"/>
    </w:lvl>
  </w:abstractNum>
  <w:abstractNum w:abstractNumId="16">
    <w:nsid w:val="628C895D"/>
    <w:multiLevelType w:val="hybridMultilevel"/>
    <w:lvl w:ilvl="0">
      <w:lvlJc w:val="left"/>
      <w:lvlText w:val="(%1)"/>
      <w:numFmt w:val="decimal"/>
      <w:start w:val="3"/>
    </w:lvl>
    <w:lvl w:ilvl="1">
      <w:lvlJc w:val="left"/>
      <w:lvlText w:val="-"/>
      <w:numFmt w:val="bullet"/>
      <w:start w:val="1"/>
    </w:lvl>
  </w:abstractNum>
  <w:abstractNum w:abstractNumId="17">
    <w:nsid w:val="333AB105"/>
    <w:multiLevelType w:val="hybridMultilevel"/>
    <w:lvl w:ilvl="0">
      <w:lvlJc w:val="left"/>
      <w:lvlText w:val="(%1)"/>
      <w:numFmt w:val="decimal"/>
      <w:start w:val="3"/>
    </w:lvl>
    <w:lvl w:ilvl="1">
      <w:lvlJc w:val="left"/>
      <w:lvlText w:val="-"/>
      <w:numFmt w:val="bullet"/>
      <w:start w:val="1"/>
    </w:lvl>
  </w:abstractNum>
  <w:abstractNum w:abstractNumId="18">
    <w:nsid w:val="721DA317"/>
    <w:multiLevelType w:val="hybridMultilevel"/>
    <w:lvl w:ilvl="0">
      <w:lvlJc w:val="left"/>
      <w:lvlText w:val="(%1)"/>
      <w:numFmt w:val="decimal"/>
      <w:start w:val="1"/>
    </w:lvl>
    <w:lvl w:ilvl="1">
      <w:lvlJc w:val="left"/>
      <w:lvlText w:val="-"/>
      <w:numFmt w:val="bullet"/>
      <w:start w:val="1"/>
    </w:lvl>
  </w:abstractNum>
  <w:abstractNum w:abstractNumId="19">
    <w:nsid w:val="2443A858"/>
    <w:multiLevelType w:val="hybridMultilevel"/>
    <w:lvl w:ilvl="0">
      <w:lvlJc w:val="left"/>
      <w:lvlText w:val="(%1)"/>
      <w:numFmt w:val="decimal"/>
      <w:start w:val="1"/>
    </w:lvl>
    <w:lvl w:ilvl="1">
      <w:lvlJc w:val="left"/>
      <w:lvlText w:val="-"/>
      <w:numFmt w:val="bullet"/>
      <w:start w:val="1"/>
    </w:lvl>
  </w:abstractNum>
  <w:abstractNum w:abstractNumId="20">
    <w:nsid w:val="2D1D5AE9"/>
    <w:multiLevelType w:val="hybridMultilevel"/>
    <w:lvl w:ilvl="0">
      <w:lvlJc w:val="left"/>
      <w:lvlText w:val="(%1)"/>
      <w:numFmt w:val="decimal"/>
      <w:start w:val="1"/>
    </w:lvl>
    <w:lvl w:ilvl="1">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
      <w:numFmt w:val="bullet"/>
      <w:start w:val="1"/>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
      <w:numFmt w:val="bullet"/>
      <w:start w:val="1"/>
    </w:lvl>
    <w:lvl w:ilvl="1">
      <w:lvlJc w:val="left"/>
      <w:lvlText w:val="-"/>
      <w:numFmt w:val="bullet"/>
      <w:start w:val="1"/>
    </w:lvl>
  </w:abstractNum>
  <w:abstractNum w:abstractNumId="24">
    <w:nsid w:val="79838CB2"/>
    <w:multiLevelType w:val="hybridMultilevel"/>
    <w:lvl w:ilvl="0">
      <w:lvlJc w:val="left"/>
      <w:lvlText w:val="•"/>
      <w:numFmt w:val="bullet"/>
      <w:start w:val="1"/>
    </w:lvl>
    <w:lvl w:ilvl="1">
      <w:lvlJc w:val="left"/>
      <w:lvlText w:val="(%2)"/>
      <w:numFmt w:val="lowerRoman"/>
      <w:start w:val="3"/>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2025-02-07T07:41:51Z</dcterms:created>
  <dcterms:modified xsi:type="dcterms:W3CDTF">2025-02-07T07:41:51Z</dcterms:modified>
</cp:coreProperties>
</file>