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-230505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5267960</wp:posOffset>
            </wp:positionH>
            <wp:positionV relativeFrom="paragraph">
              <wp:posOffset>-591185</wp:posOffset>
            </wp:positionV>
            <wp:extent cx="8255" cy="5918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3957320</wp:posOffset>
            </wp:positionH>
            <wp:positionV relativeFrom="paragraph">
              <wp:posOffset>-598805</wp:posOffset>
            </wp:positionV>
            <wp:extent cx="8255" cy="5994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-574675</wp:posOffset>
            </wp:positionV>
            <wp:extent cx="1271270" cy="551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551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25400</wp:posOffset>
            </wp:positionV>
            <wp:extent cx="6971665" cy="17030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70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Goebel Jeremy L.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333 CLAY STREET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SUITE 1600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77002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20" w:type="dxa"/>
            <w:vAlign w:val="bottom"/>
          </w:tcPr>
          <w:p>
            <w:pPr>
              <w:ind w:left="60"/>
              <w:spacing w:after="0" w:line="135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PLAINS ALL AMERICAN PIPELINE LP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EVP -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08/13/2020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-2437130</wp:posOffset>
            </wp:positionH>
            <wp:positionV relativeFrom="paragraph">
              <wp:posOffset>201295</wp:posOffset>
            </wp:positionV>
            <wp:extent cx="6971665" cy="1687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687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08/14/2020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9,167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117,218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08/14/2020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3,608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7.97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113,610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08/14/2020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119,610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08/14/2020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2,361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7.97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117,249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08/14/2020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9,167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08/14/2020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9,167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08/14/2020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08/14/2020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6,000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08/13/2020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150,380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(4)(5)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150,380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150,380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-2094230</wp:posOffset>
            </wp:positionV>
            <wp:extent cx="7035165" cy="21907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3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3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3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hanging="2"/>
        <w:spacing w:after="0" w:line="310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These phantom units will vest as follows: (a) Tranche 1, consisting of 75,190 phantom units, will vest on the August 2023 distribution date assuming continued service through such date; (b) Tranche 2, consisting of 37,595 phantom units (assuming 100% payout at target), will potentially vest on the August 2023 distribution date at a scaled payout range of between 0% to 200% (0 units to 75,190 units) based on PAA's total shareholder return (TSR) over the three-year period ending June 30, 2023 compared to the TSR of a selected peer group; and (c) Tranche 3, consisting of 37,595 phantom units (assuming 100% payout at target), will potentially vest on the August 2023 distribution date at a scaled payout range of between 0% to 200% (0 units to 75,190 units) based on (i) PAA achieving cumulative distributable cash flow per common unit equivalent of $6.00 over the three-year period ending June 30, 2023 and (ii) PAA achieving a leverage ratio as of June 30, 2023 consistent with the leverage ratio assumed in its long term plan as of August 2020.</w:t>
      </w:r>
    </w:p>
    <w:p>
      <w:pPr>
        <w:ind w:left="40" w:right="280" w:hanging="2"/>
        <w:spacing w:after="0" w:line="233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DERs associated with Tranche 1 will accrue for the first year and be paid in cash in a lump sum on the August 2021 distribution date; beginning in November 2021, DERs associated with Tranche 1 will be paid quarterly until the phantom units vest. DERs associated with Tranches 2 and 3 will accrue during the three-year vesting period and be paid in cash in a lump sum on the August 2023 distribution date with respect to each phantom unit that vests on such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Jeremy L. Goebel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08/17/2020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9336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2020-08-17T19:14:14Z</dcterms:created>
  <dcterms:modified xsi:type="dcterms:W3CDTF">2020-08-17T19:14:14Z</dcterms:modified>
</cp:coreProperties>
</file>