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09/30/2019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00"/>
        <w:gridCol w:w="917"/>
        <w:gridCol w:w="786"/>
        <w:gridCol w:w="662"/>
        <w:gridCol w:w="294"/>
        <w:gridCol w:w="926"/>
        <w:gridCol w:w="441"/>
        <w:gridCol w:w="606"/>
        <w:gridCol w:w="1458"/>
        <w:gridCol w:w="98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5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9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0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5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0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 (Limited Partner Interests)</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09/30/2019</w:t>
            </w:r>
          </w:p>
        </w:tc>
        <w:tc>
          <w:tcPr>
            <w:tcW w:w="78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(1)(2)</w:t>
            </w:r>
            <w:r>
              <w:rPr/>
              <w:t xml:space="preserve"> </w:t>
            </w:r>
          </w:p>
        </w:tc>
        <w:tc>
          <w:tcPr>
            <w:tcW w:w="29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51,913</w:t>
            </w:r>
          </w:p>
        </w:tc>
        <w:tc>
          <w:tcPr>
            <w:tcW w:w="4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(1)(2)</w:t>
            </w:r>
            <w:r>
              <w:rPr/>
              <w:t xml:space="preserve"> </w:t>
            </w:r>
          </w:p>
        </w:tc>
        <w:tc>
          <w:tcPr>
            <w:tcW w:w="145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252,221,682</w:t>
            </w:r>
          </w:p>
        </w:tc>
        <w:tc>
          <w:tcPr>
            <w:tcW w:w="98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2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Plains AAP, L.P.</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Plains AAP,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Plains All American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PLAINS GP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Effective September 30, 2019, KAFU Holdings (QP), L.P. exercised the Redemption Right with respect to 51,913 AAP Class A units, resulting in the cancellation of such AAP Class A units and the distribution of 51,913 Common Units from AAP to the redeeming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Assistant Secretary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09/30/2019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581928"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hyperlink" Target="http://www.sec.gov/cgi-bin/browse-edgar?action=getcompany&amp;CIK=0001581928" TargetMode="External"/><Relationship Id="rId6" Type="http://schemas.openxmlformats.org/officeDocument/2006/relationships/hyperlink" Target="http://www.sec.gov/cgi-bin/browse-edgar?action=getcompany&amp;CIK=0001490401" TargetMode="External"/><Relationship Id="rId7" Type="http://schemas.openxmlformats.org/officeDocument/2006/relationships/hyperlink" Target="http://www.sec.gov/cgi-bin/browse-edgar?action=getcompany&amp;CIK=0001490402" TargetMode="External"/><Relationship Id="rId8" Type="http://schemas.openxmlformats.org/officeDocument/2006/relationships/hyperlink" Target="http://www.sec.gov/cgi-bin/browse-edgar?action=getcompany&amp;CIK=000158199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861</Words>
  <CharactersWithSpaces>5281</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