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780" w:right="100" w:hanging="441"/>
        <w:spacing w:after="0" w:line="262" w:lineRule="auto"/>
        <w:tabs>
          <w:tab w:leader="none" w:pos="78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2014</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780" w:right="80" w:hanging="441"/>
        <w:spacing w:after="0" w:line="262" w:lineRule="auto"/>
        <w:tabs>
          <w:tab w:leader="none" w:pos="7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1-14569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6"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66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500" w:type="dxa"/>
            <w:vAlign w:val="bottom"/>
          </w:tcPr>
          <w:p>
            <w:pPr>
              <w:spacing w:after="0"/>
              <w:rPr>
                <w:sz w:val="20"/>
                <w:szCs w:val="20"/>
                <w:color w:val="auto"/>
              </w:rPr>
            </w:pPr>
          </w:p>
        </w:tc>
      </w:tr>
      <w:tr>
        <w:trPr>
          <w:trHeight w:val="394"/>
        </w:trPr>
        <w:tc>
          <w:tcPr>
            <w:tcW w:w="6660" w:type="dxa"/>
            <w:vAlign w:val="bottom"/>
          </w:tcPr>
          <w:p>
            <w:pPr>
              <w:jc w:val="center"/>
              <w:ind w:right="32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76-0582150</w:t>
            </w:r>
          </w:p>
        </w:tc>
      </w:tr>
      <w:tr>
        <w:trPr>
          <w:trHeight w:val="216"/>
        </w:trPr>
        <w:tc>
          <w:tcPr>
            <w:tcW w:w="6660" w:type="dxa"/>
            <w:vAlign w:val="bottom"/>
          </w:tcPr>
          <w:p>
            <w:pPr>
              <w:jc w:val="center"/>
              <w:ind w:right="32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660" w:type="dxa"/>
            <w:vAlign w:val="bottom"/>
          </w:tcPr>
          <w:p>
            <w:pPr>
              <w:jc w:val="center"/>
              <w:ind w:right="32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6660" w:type="dxa"/>
            <w:vAlign w:val="bottom"/>
          </w:tcPr>
          <w:p>
            <w:pPr>
              <w:jc w:val="center"/>
              <w:ind w:right="3250"/>
              <w:spacing w:after="0"/>
              <w:rPr>
                <w:sz w:val="20"/>
                <w:szCs w:val="20"/>
                <w:color w:val="auto"/>
              </w:rPr>
            </w:pPr>
            <w:r>
              <w:rPr>
                <w:rFonts w:ascii="Times New Roman" w:cs="Times New Roman" w:eastAsia="Times New Roman" w:hAnsi="Times New Roman"/>
                <w:sz w:val="18"/>
                <w:szCs w:val="18"/>
                <w:b w:val="1"/>
                <w:bCs w:val="1"/>
                <w:color w:val="auto"/>
                <w:w w:val="99"/>
              </w:rPr>
              <w:t>333 Clay Street, Suite 1600, Houston, Texas</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234"/>
        </w:trPr>
        <w:tc>
          <w:tcPr>
            <w:tcW w:w="6660" w:type="dxa"/>
            <w:vAlign w:val="bottom"/>
          </w:tcPr>
          <w:p>
            <w:pPr>
              <w:jc w:val="center"/>
              <w:ind w:right="32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666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9"/>
              </w:rPr>
              <w:t>(713) 646-4100</w:t>
            </w:r>
          </w:p>
        </w:tc>
        <w:tc>
          <w:tcPr>
            <w:tcW w:w="1500" w:type="dxa"/>
            <w:vAlign w:val="bottom"/>
          </w:tcPr>
          <w:p>
            <w:pPr>
              <w:spacing w:after="0"/>
              <w:rPr>
                <w:sz w:val="24"/>
                <w:szCs w:val="24"/>
                <w:color w:val="auto"/>
              </w:rPr>
            </w:pPr>
          </w:p>
        </w:tc>
      </w:tr>
      <w:tr>
        <w:trPr>
          <w:trHeight w:val="234"/>
        </w:trPr>
        <w:tc>
          <w:tcPr>
            <w:tcW w:w="6660" w:type="dxa"/>
            <w:vAlign w:val="bottom"/>
          </w:tcPr>
          <w:p>
            <w:pPr>
              <w:jc w:val="center"/>
              <w:ind w:left="23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5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76" w:lineRule="exact"/>
        <w:rPr>
          <w:sz w:val="24"/>
          <w:szCs w:val="24"/>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76" w:lineRule="exact"/>
        <w:rPr>
          <w:sz w:val="24"/>
          <w:szCs w:val="24"/>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62" w:lineRule="exact"/>
        <w:rPr>
          <w:sz w:val="24"/>
          <w:szCs w:val="24"/>
          <w:color w:val="auto"/>
        </w:rPr>
      </w:pPr>
    </w:p>
    <w:p>
      <w:pPr>
        <w:ind w:left="1900"/>
        <w:spacing w:after="0"/>
        <w:tabs>
          <w:tab w:leader="none" w:pos="7920" w:val="left"/>
        </w:tabs>
        <w:rPr>
          <w:sz w:val="20"/>
          <w:szCs w:val="20"/>
          <w:color w:val="auto"/>
        </w:rPr>
      </w:pPr>
      <w:r>
        <w:rPr>
          <w:rFonts w:ascii="Times New Roman" w:cs="Times New Roman" w:eastAsia="Times New Roman" w:hAnsi="Times New Roman"/>
          <w:sz w:val="18"/>
          <w:szCs w:val="18"/>
          <w:color w:val="auto"/>
        </w:rPr>
        <w:t>Large accelerated filer x</w:t>
      </w:r>
      <w:r>
        <w:rPr>
          <w:sz w:val="20"/>
          <w:szCs w:val="20"/>
          <w:color w:val="auto"/>
        </w:rPr>
        <w:tab/>
      </w:r>
      <w:r>
        <w:rPr>
          <w:rFonts w:ascii="Times New Roman" w:cs="Times New Roman" w:eastAsia="Times New Roman" w:hAnsi="Times New Roman"/>
          <w:sz w:val="18"/>
          <w:szCs w:val="18"/>
          <w:color w:val="auto"/>
        </w:rPr>
        <w:t>Accelerated filer o</w:t>
      </w:r>
    </w:p>
    <w:p>
      <w:pPr>
        <w:spacing w:after="0" w:line="225" w:lineRule="exact"/>
        <w:rPr>
          <w:sz w:val="24"/>
          <w:szCs w:val="24"/>
          <w:color w:val="auto"/>
        </w:rPr>
      </w:pPr>
    </w:p>
    <w:p>
      <w:pPr>
        <w:ind w:left="1960"/>
        <w:spacing w:after="0"/>
        <w:tabs>
          <w:tab w:leader="none" w:pos="7540" w:val="left"/>
        </w:tabs>
        <w:rPr>
          <w:sz w:val="20"/>
          <w:szCs w:val="20"/>
          <w:color w:val="auto"/>
        </w:rPr>
      </w:pPr>
      <w:r>
        <w:rPr>
          <w:rFonts w:ascii="Times New Roman" w:cs="Times New Roman" w:eastAsia="Times New Roman" w:hAnsi="Times New Roman"/>
          <w:sz w:val="18"/>
          <w:szCs w:val="18"/>
          <w:color w:val="auto"/>
        </w:rPr>
        <w:t>Non-accelerated filer o</w:t>
      </w:r>
      <w:r>
        <w:rPr>
          <w:sz w:val="20"/>
          <w:szCs w:val="20"/>
          <w:color w:val="auto"/>
        </w:rPr>
        <w:tab/>
      </w:r>
      <w:r>
        <w:rPr>
          <w:rFonts w:ascii="Times New Roman" w:cs="Times New Roman" w:eastAsia="Times New Roman" w:hAnsi="Times New Roman"/>
          <w:sz w:val="18"/>
          <w:szCs w:val="18"/>
          <w:color w:val="auto"/>
        </w:rPr>
        <w:t>Smaller reporting company o</w:t>
      </w:r>
    </w:p>
    <w:p>
      <w:pPr>
        <w:spacing w:after="0" w:line="2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April 30, 2014, there were 363,873,690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ectPr>
          <w:pgSz w:w="11900" w:h="16838" w:orient="portrait"/>
          <w:cols w:equalWidth="0" w:num="1">
            <w:col w:w="11380"/>
          </w:cols>
          <w:pgMar w:left="240" w:top="229" w:right="279" w:bottom="0" w:gutter="0" w:footer="0" w:header="0"/>
        </w:sectPr>
      </w:pPr>
    </w:p>
    <w:p>
      <w:pPr>
        <w:spacing w:after="0" w:line="200" w:lineRule="exact"/>
        <w:rPr>
          <w:sz w:val="24"/>
          <w:szCs w:val="24"/>
          <w:color w:val="auto"/>
        </w:rPr>
      </w:pPr>
    </w:p>
    <w:p>
      <w:pPr>
        <w:ind w:left="10800"/>
        <w:spacing w:after="0"/>
        <w:rPr>
          <w:sz w:val="20"/>
          <w:szCs w:val="20"/>
          <w:color w:val="auto"/>
        </w:rPr>
      </w:pPr>
      <w:r>
        <w:rPr>
          <w:rFonts w:ascii="Times New Roman" w:cs="Times New Roman" w:eastAsia="Times New Roman" w:hAnsi="Times New Roman"/>
          <w:sz w:val="13"/>
          <w:szCs w:val="13"/>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6642735</wp:posOffset>
            </wp:positionH>
            <wp:positionV relativeFrom="paragraph">
              <wp:posOffset>15240</wp:posOffset>
            </wp:positionV>
            <wp:extent cx="608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ectPr>
          <w:pgSz w:w="11900" w:h="16838" w:orient="portrait"/>
          <w:cols w:equalWidth="0" w:num="1">
            <w:col w:w="11380"/>
          </w:cols>
          <w:pgMar w:left="240" w:top="229"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0000EE"/>
            </w:tcBorders>
            <w:gridSpan w:val="17"/>
          </w:tcPr>
          <w:p>
            <w:pPr>
              <w:spacing w:after="0"/>
              <w:rPr>
                <w:rFonts w:ascii="Times New Roman" w:cs="Times New Roman" w:eastAsia="Times New Roman" w:hAnsi="Times New Roman"/>
                <w:sz w:val="18"/>
                <w:szCs w:val="18"/>
                <w:b w:val="1"/>
                <w:bCs w:val="1"/>
                <w:color w:val="0000EE"/>
                <w:w w:val="98"/>
              </w:rPr>
            </w:pPr>
            <w:hyperlink w:anchor="page2">
              <w:r>
                <w:rPr>
                  <w:rFonts w:ascii="Times New Roman" w:cs="Times New Roman" w:eastAsia="Times New Roman" w:hAnsi="Times New Roman"/>
                  <w:sz w:val="18"/>
                  <w:szCs w:val="18"/>
                  <w:b w:val="1"/>
                  <w:bCs w:val="1"/>
                  <w:color w:val="0000EE"/>
                  <w:w w:val="98"/>
                </w:rPr>
                <w:t>PART I. FINANCIAL INFORMATION</w:t>
              </w:r>
            </w:hyperlink>
          </w:p>
        </w:tc>
        <w:tc>
          <w:tcPr>
            <w:tcW w:w="7680" w:type="dxa"/>
            <w:vAlign w:val="bottom"/>
            <w:gridSpan w:val="18"/>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64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w:anchor="page2">
              <w:r>
                <w:rPr>
                  <w:rFonts w:ascii="Times New Roman" w:cs="Times New Roman" w:eastAsia="Times New Roman" w:hAnsi="Times New Roman"/>
                  <w:sz w:val="18"/>
                  <w:szCs w:val="18"/>
                  <w:color w:val="0000EE"/>
                  <w:w w:val="98"/>
                </w:rPr>
                <w:t>Item 1. UNAUDITED CONDENSED CONSOLIDATED FINANCIAL STATEMENTS:</w:t>
              </w:r>
            </w:hyperlink>
          </w:p>
        </w:tc>
        <w:tc>
          <w:tcPr>
            <w:tcW w:w="434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0560" w:type="dxa"/>
            <w:vAlign w:val="bottom"/>
            <w:gridSpan w:val="34"/>
          </w:tcPr>
          <w:p>
            <w:pPr>
              <w:spacing w:after="0" w:line="196" w:lineRule="exact"/>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Condensed Consolidated Balance Sheets: As of March 31, 2014 and December 31, 2013</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6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Operations: For the three months ended March 31, 2014 and 2013</w:t>
              </w:r>
            </w:hyperlink>
          </w:p>
        </w:tc>
        <w:tc>
          <w:tcPr>
            <w:tcW w:w="2940" w:type="dxa"/>
            <w:vAlign w:val="bottom"/>
            <w:gridSpan w:val="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0" w:type="dxa"/>
            <w:vAlign w:val="bottom"/>
          </w:tcPr>
          <w:p>
            <w:pPr>
              <w:spacing w:after="0"/>
              <w:rPr>
                <w:sz w:val="17"/>
                <w:szCs w:val="17"/>
                <w:color w:val="auto"/>
              </w:rPr>
            </w:pPr>
          </w:p>
        </w:tc>
        <w:tc>
          <w:tcPr>
            <w:tcW w:w="10560" w:type="dxa"/>
            <w:vAlign w:val="bottom"/>
            <w:gridSpan w:val="34"/>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Comprehensive Income: For the three months ended March 31, 2014 and 2013</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0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560" w:type="dxa"/>
            <w:vAlign w:val="bottom"/>
            <w:gridSpan w:val="34"/>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 of Changes in Accumulated Other Comprehensive Income: For the three months ended March 31, 2014</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0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560" w:type="dxa"/>
            <w:vAlign w:val="bottom"/>
            <w:gridSpan w:val="34"/>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Cash Flows: For the three months ended March 31, 2014 and 2013</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8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 of Changes in Partners’ Capital: For the three months ended March 31, 2014 and 2013</w:t>
              </w:r>
            </w:hyperlink>
          </w:p>
        </w:tc>
        <w:tc>
          <w:tcPr>
            <w:tcW w:w="174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00" w:type="dxa"/>
            <w:vAlign w:val="bottom"/>
          </w:tcPr>
          <w:p>
            <w:pPr>
              <w:spacing w:after="0"/>
              <w:rPr>
                <w:sz w:val="17"/>
                <w:szCs w:val="17"/>
                <w:color w:val="auto"/>
              </w:rPr>
            </w:pPr>
          </w:p>
        </w:tc>
        <w:tc>
          <w:tcPr>
            <w:tcW w:w="10560" w:type="dxa"/>
            <w:vAlign w:val="bottom"/>
            <w:gridSpan w:val="34"/>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Notes to Condensed Consolidated Financial Statements:</w:t>
              </w:r>
            </w:hyperlink>
          </w:p>
        </w:tc>
        <w:tc>
          <w:tcPr>
            <w:tcW w:w="70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1.</w:t>
              </w:r>
            </w:hyperlink>
          </w:p>
        </w:tc>
        <w:tc>
          <w:tcPr>
            <w:tcW w:w="2840" w:type="dxa"/>
            <w:vAlign w:val="bottom"/>
            <w:tcBorders>
              <w:top w:val="single" w:sz="8" w:color="0000EE"/>
              <w:bottom w:val="single" w:sz="8" w:color="0000EE"/>
            </w:tcBorders>
            <w:gridSpan w:val="17"/>
          </w:tcPr>
          <w:p>
            <w:pPr>
              <w:ind w:left="20"/>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Organization and Basis of Presentation</w:t>
              </w:r>
            </w:hyperlink>
          </w:p>
        </w:tc>
        <w:tc>
          <w:tcPr>
            <w:tcW w:w="880" w:type="dxa"/>
            <w:vAlign w:val="bottom"/>
            <w:tcBorders>
              <w:top w:val="single" w:sz="8" w:color="0000EE"/>
            </w:tcBorders>
            <w:gridSpan w:val="3"/>
          </w:tcPr>
          <w:p>
            <w:pPr>
              <w:spacing w:after="0"/>
              <w:rPr>
                <w:sz w:val="17"/>
                <w:szCs w:val="17"/>
                <w:color w:val="auto"/>
              </w:rPr>
            </w:pPr>
          </w:p>
        </w:tc>
        <w:tc>
          <w:tcPr>
            <w:tcW w:w="6520" w:type="dxa"/>
            <w:vAlign w:val="bottom"/>
            <w:gridSpan w:val="1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380" w:type="dxa"/>
            <w:vAlign w:val="bottom"/>
            <w:gridSpan w:val="2"/>
          </w:tcPr>
          <w:p>
            <w:pPr>
              <w:spacing w:after="0"/>
              <w:rPr>
                <w:sz w:val="17"/>
                <w:szCs w:val="17"/>
                <w:color w:val="auto"/>
              </w:rPr>
            </w:pPr>
          </w:p>
        </w:tc>
        <w:tc>
          <w:tcPr>
            <w:tcW w:w="1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2.</w:t>
              </w:r>
            </w:hyperlink>
          </w:p>
        </w:tc>
        <w:tc>
          <w:tcPr>
            <w:tcW w:w="2660" w:type="dxa"/>
            <w:vAlign w:val="bottom"/>
            <w:tcBorders>
              <w:bottom w:val="single" w:sz="8" w:color="0000EE"/>
            </w:tcBorders>
            <w:gridSpan w:val="15"/>
          </w:tcPr>
          <w:p>
            <w:pPr>
              <w:ind w:left="20"/>
              <w:spacing w:after="0" w:line="196"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Recent Accounting Pronouncements</w:t>
              </w:r>
            </w:hyperlink>
          </w:p>
        </w:tc>
        <w:tc>
          <w:tcPr>
            <w:tcW w:w="7580" w:type="dxa"/>
            <w:vAlign w:val="bottom"/>
            <w:gridSpan w:val="1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80" w:type="dxa"/>
            <w:vAlign w:val="bottom"/>
            <w:gridSpan w:val="2"/>
          </w:tcPr>
          <w:p>
            <w:pPr>
              <w:spacing w:after="0"/>
              <w:rPr>
                <w:sz w:val="17"/>
                <w:szCs w:val="17"/>
                <w:color w:val="auto"/>
              </w:rPr>
            </w:pPr>
          </w:p>
        </w:tc>
        <w:tc>
          <w:tcPr>
            <w:tcW w:w="1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3.</w:t>
              </w:r>
            </w:hyperlink>
          </w:p>
        </w:tc>
        <w:tc>
          <w:tcPr>
            <w:tcW w:w="1560" w:type="dxa"/>
            <w:vAlign w:val="bottom"/>
            <w:tcBorders>
              <w:bottom w:val="single" w:sz="8" w:color="0000EE"/>
            </w:tcBorders>
            <w:gridSpan w:val="6"/>
          </w:tcPr>
          <w:p>
            <w:pPr>
              <w:ind w:left="20"/>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Accounts Receivable</w:t>
              </w:r>
            </w:hyperlink>
          </w:p>
        </w:tc>
        <w:tc>
          <w:tcPr>
            <w:tcW w:w="8680" w:type="dxa"/>
            <w:vAlign w:val="bottom"/>
            <w:gridSpan w:val="2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80" w:type="dxa"/>
            <w:vAlign w:val="bottom"/>
            <w:gridSpan w:val="2"/>
          </w:tcPr>
          <w:p>
            <w:pPr>
              <w:spacing w:after="0"/>
              <w:rPr>
                <w:sz w:val="17"/>
                <w:szCs w:val="17"/>
                <w:color w:val="auto"/>
              </w:rPr>
            </w:pPr>
          </w:p>
        </w:tc>
        <w:tc>
          <w:tcPr>
            <w:tcW w:w="1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4.</w:t>
              </w:r>
            </w:hyperlink>
          </w:p>
        </w:tc>
        <w:tc>
          <w:tcPr>
            <w:tcW w:w="4240" w:type="dxa"/>
            <w:vAlign w:val="bottom"/>
            <w:tcBorders>
              <w:bottom w:val="single" w:sz="8" w:color="0000EE"/>
            </w:tcBorders>
            <w:gridSpan w:val="21"/>
          </w:tcPr>
          <w:p>
            <w:pPr>
              <w:ind w:left="20"/>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Inventory, Linefill and Base Gas and Long-term Inventory</w:t>
              </w:r>
            </w:hyperlink>
          </w:p>
        </w:tc>
        <w:tc>
          <w:tcPr>
            <w:tcW w:w="6000" w:type="dxa"/>
            <w:vAlign w:val="bottom"/>
            <w:gridSpan w:val="1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380" w:type="dxa"/>
            <w:vAlign w:val="bottom"/>
            <w:gridSpan w:val="2"/>
          </w:tcPr>
          <w:p>
            <w:pPr>
              <w:spacing w:after="0"/>
              <w:rPr>
                <w:sz w:val="17"/>
                <w:szCs w:val="17"/>
                <w:color w:val="auto"/>
              </w:rPr>
            </w:pPr>
          </w:p>
        </w:tc>
        <w:tc>
          <w:tcPr>
            <w:tcW w:w="140" w:type="dxa"/>
            <w:vAlign w:val="bottom"/>
          </w:tcPr>
          <w:p>
            <w:pPr>
              <w:spacing w:after="0" w:line="196"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5.</w:t>
              </w:r>
            </w:hyperlink>
          </w:p>
        </w:tc>
        <w:tc>
          <w:tcPr>
            <w:tcW w:w="10240" w:type="dxa"/>
            <w:vAlign w:val="bottom"/>
            <w:gridSpan w:val="32"/>
          </w:tcPr>
          <w:p>
            <w:pPr>
              <w:ind w:left="20"/>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Goodwill</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380" w:type="dxa"/>
            <w:vAlign w:val="bottom"/>
            <w:gridSpan w:val="2"/>
          </w:tcPr>
          <w:p>
            <w:pPr>
              <w:spacing w:after="0"/>
              <w:rPr>
                <w:sz w:val="17"/>
                <w:szCs w:val="17"/>
                <w:color w:val="auto"/>
              </w:rPr>
            </w:pPr>
          </w:p>
        </w:tc>
        <w:tc>
          <w:tcPr>
            <w:tcW w:w="1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6.</w:t>
              </w:r>
            </w:hyperlink>
          </w:p>
        </w:tc>
        <w:tc>
          <w:tcPr>
            <w:tcW w:w="380" w:type="dxa"/>
            <w:vAlign w:val="bottom"/>
            <w:tcBorders>
              <w:top w:val="single" w:sz="8" w:color="0000EE"/>
              <w:bottom w:val="single" w:sz="8" w:color="0000EE"/>
            </w:tcBorders>
          </w:tcPr>
          <w:p>
            <w:pPr>
              <w:ind w:left="20"/>
              <w:spacing w:after="0" w:line="196" w:lineRule="exact"/>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Debt</w:t>
              </w:r>
            </w:hyperlink>
          </w:p>
        </w:tc>
        <w:tc>
          <w:tcPr>
            <w:tcW w:w="320" w:type="dxa"/>
            <w:vAlign w:val="bottom"/>
            <w:tcBorders>
              <w:top w:val="single" w:sz="8" w:color="0000EE"/>
            </w:tcBorders>
            <w:gridSpan w:val="2"/>
          </w:tcPr>
          <w:p>
            <w:pPr>
              <w:spacing w:after="0"/>
              <w:rPr>
                <w:sz w:val="17"/>
                <w:szCs w:val="17"/>
                <w:color w:val="auto"/>
              </w:rPr>
            </w:pPr>
          </w:p>
        </w:tc>
        <w:tc>
          <w:tcPr>
            <w:tcW w:w="9540" w:type="dxa"/>
            <w:vAlign w:val="bottom"/>
            <w:gridSpan w:val="2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380" w:type="dxa"/>
            <w:vAlign w:val="bottom"/>
            <w:gridSpan w:val="2"/>
          </w:tcPr>
          <w:p>
            <w:pPr>
              <w:spacing w:after="0"/>
              <w:rPr>
                <w:sz w:val="17"/>
                <w:szCs w:val="17"/>
                <w:color w:val="auto"/>
              </w:rPr>
            </w:pPr>
          </w:p>
        </w:tc>
        <w:tc>
          <w:tcPr>
            <w:tcW w:w="140" w:type="dxa"/>
            <w:vAlign w:val="bottom"/>
          </w:tcPr>
          <w:p>
            <w:pPr>
              <w:spacing w:after="0" w:line="196"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7.</w:t>
              </w:r>
            </w:hyperlink>
          </w:p>
        </w:tc>
        <w:tc>
          <w:tcPr>
            <w:tcW w:w="10240" w:type="dxa"/>
            <w:vAlign w:val="bottom"/>
            <w:gridSpan w:val="32"/>
          </w:tcPr>
          <w:p>
            <w:pPr>
              <w:ind w:left="20"/>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Net Income Per Limited Partner Unit</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380" w:type="dxa"/>
            <w:vAlign w:val="bottom"/>
            <w:gridSpan w:val="2"/>
          </w:tcPr>
          <w:p>
            <w:pPr>
              <w:spacing w:after="0"/>
              <w:rPr>
                <w:sz w:val="17"/>
                <w:szCs w:val="17"/>
                <w:color w:val="auto"/>
              </w:rPr>
            </w:pPr>
          </w:p>
        </w:tc>
        <w:tc>
          <w:tcPr>
            <w:tcW w:w="1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8.</w:t>
              </w:r>
            </w:hyperlink>
          </w:p>
        </w:tc>
        <w:tc>
          <w:tcPr>
            <w:tcW w:w="2540" w:type="dxa"/>
            <w:vAlign w:val="bottom"/>
            <w:tcBorders>
              <w:top w:val="single" w:sz="8" w:color="0000EE"/>
              <w:bottom w:val="single" w:sz="8" w:color="0000EE"/>
            </w:tcBorders>
            <w:gridSpan w:val="13"/>
          </w:tcPr>
          <w:p>
            <w:pPr>
              <w:ind w:left="20"/>
              <w:spacing w:after="0" w:line="196"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Partners’ Capital and Distributions</w:t>
              </w:r>
            </w:hyperlink>
          </w:p>
        </w:tc>
        <w:tc>
          <w:tcPr>
            <w:tcW w:w="160" w:type="dxa"/>
            <w:vAlign w:val="bottom"/>
            <w:tcBorders>
              <w:top w:val="single" w:sz="8" w:color="0000EE"/>
            </w:tcBorders>
            <w:gridSpan w:val="3"/>
          </w:tcPr>
          <w:p>
            <w:pPr>
              <w:spacing w:after="0"/>
              <w:rPr>
                <w:sz w:val="17"/>
                <w:szCs w:val="17"/>
                <w:color w:val="auto"/>
              </w:rPr>
            </w:pPr>
          </w:p>
        </w:tc>
        <w:tc>
          <w:tcPr>
            <w:tcW w:w="7540" w:type="dxa"/>
            <w:vAlign w:val="bottom"/>
            <w:gridSpan w:val="1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380" w:type="dxa"/>
            <w:vAlign w:val="bottom"/>
            <w:gridSpan w:val="2"/>
          </w:tcPr>
          <w:p>
            <w:pPr>
              <w:spacing w:after="0"/>
              <w:rPr>
                <w:sz w:val="17"/>
                <w:szCs w:val="17"/>
                <w:color w:val="auto"/>
              </w:rPr>
            </w:pPr>
          </w:p>
        </w:tc>
        <w:tc>
          <w:tcPr>
            <w:tcW w:w="140" w:type="dxa"/>
            <w:vAlign w:val="bottom"/>
          </w:tcPr>
          <w:p>
            <w:pPr>
              <w:spacing w:after="0" w:line="196" w:lineRule="exact"/>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9.</w:t>
              </w:r>
            </w:hyperlink>
          </w:p>
        </w:tc>
        <w:tc>
          <w:tcPr>
            <w:tcW w:w="10240" w:type="dxa"/>
            <w:vAlign w:val="bottom"/>
            <w:gridSpan w:val="32"/>
          </w:tcPr>
          <w:p>
            <w:pPr>
              <w:ind w:left="20"/>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Equity-Indexed Compensation Plans</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2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10. Derivatives and Risk Management Activities</w:t>
              </w:r>
            </w:hyperlink>
          </w:p>
        </w:tc>
        <w:tc>
          <w:tcPr>
            <w:tcW w:w="6880" w:type="dxa"/>
            <w:vAlign w:val="bottom"/>
            <w:gridSpan w:val="1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w:anchor="page15">
              <w:r>
                <w:rPr>
                  <w:rFonts w:ascii="Times New Roman" w:cs="Times New Roman" w:eastAsia="Times New Roman" w:hAnsi="Times New Roman"/>
                  <w:sz w:val="18"/>
                  <w:szCs w:val="18"/>
                  <w:color w:val="0000EE"/>
                  <w:w w:val="98"/>
                </w:rPr>
                <w:t>11. Commitments and Contingencies</w:t>
              </w:r>
            </w:hyperlink>
          </w:p>
        </w:tc>
        <w:tc>
          <w:tcPr>
            <w:tcW w:w="7720" w:type="dxa"/>
            <w:vAlign w:val="bottom"/>
            <w:gridSpan w:val="2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80" w:type="dxa"/>
            <w:vAlign w:val="bottom"/>
            <w:gridSpan w:val="33"/>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12. Operating Segments</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2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80" w:type="dxa"/>
            <w:vAlign w:val="bottom"/>
            <w:gridSpan w:val="33"/>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13. Related Party Transactions</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380" w:type="dxa"/>
            <w:vAlign w:val="bottom"/>
            <w:gridSpan w:val="2"/>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948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Item 2. MANAGEMENT’S DISCUSSION AND ANALYSIS OF FINANCIAL CONDITION AND RESULTS OF OPERATIONS</w:t>
              </w:r>
            </w:hyperlink>
          </w:p>
        </w:tc>
        <w:tc>
          <w:tcPr>
            <w:tcW w:w="1280" w:type="dxa"/>
            <w:vAlign w:val="bottom"/>
            <w:gridSpan w:val="2"/>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96"/>
        </w:trPr>
        <w:tc>
          <w:tcPr>
            <w:tcW w:w="10760" w:type="dxa"/>
            <w:vAlign w:val="bottom"/>
            <w:gridSpan w:val="35"/>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3. QUANTITATIVE AND QUALITATIVE DISCLOSURES ABOUT MARKET RISK</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670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4. CONTROLS AND PROCEDURES</w:t>
              </w:r>
            </w:hyperlink>
          </w:p>
        </w:tc>
        <w:tc>
          <w:tcPr>
            <w:tcW w:w="4060" w:type="dxa"/>
            <w:vAlign w:val="bottom"/>
            <w:gridSpan w:val="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412"/>
        </w:trPr>
        <w:tc>
          <w:tcPr>
            <w:tcW w:w="278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b w:val="1"/>
                <w:bCs w:val="1"/>
                <w:color w:val="0000EE"/>
                <w:w w:val="98"/>
              </w:rPr>
            </w:pPr>
            <w:hyperlink w:anchor="page31">
              <w:r>
                <w:rPr>
                  <w:rFonts w:ascii="Times New Roman" w:cs="Times New Roman" w:eastAsia="Times New Roman" w:hAnsi="Times New Roman"/>
                  <w:sz w:val="18"/>
                  <w:szCs w:val="18"/>
                  <w:b w:val="1"/>
                  <w:bCs w:val="1"/>
                  <w:color w:val="0000EE"/>
                  <w:w w:val="98"/>
                </w:rPr>
                <w:t>PART II. OTHER INFORMATION</w:t>
              </w:r>
            </w:hyperlink>
          </w:p>
        </w:tc>
        <w:tc>
          <w:tcPr>
            <w:tcW w:w="400" w:type="dxa"/>
            <w:vAlign w:val="bottom"/>
            <w:tcBorders>
              <w:top w:val="single" w:sz="8" w:color="0000EE"/>
            </w:tcBorders>
            <w:gridSpan w:val="5"/>
          </w:tcPr>
          <w:p>
            <w:pPr>
              <w:spacing w:after="0"/>
              <w:rPr>
                <w:sz w:val="24"/>
                <w:szCs w:val="24"/>
                <w:color w:val="auto"/>
              </w:rPr>
            </w:pPr>
          </w:p>
        </w:tc>
        <w:tc>
          <w:tcPr>
            <w:tcW w:w="7580" w:type="dxa"/>
            <w:vAlign w:val="bottom"/>
            <w:gridSpan w:val="17"/>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2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Item 1. LEGAL PROCEEDINGS</w:t>
              </w:r>
            </w:hyperlink>
          </w:p>
        </w:tc>
        <w:tc>
          <w:tcPr>
            <w:tcW w:w="8320" w:type="dxa"/>
            <w:vAlign w:val="bottom"/>
            <w:gridSpan w:val="2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0760" w:type="dxa"/>
            <w:vAlign w:val="bottom"/>
            <w:gridSpan w:val="35"/>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1A. RISK FACTORS</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412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6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Item 2. UNREGISTERED SALES OF EQUITY SECURITIES AND USE OF PROCEEDS</w:t>
              </w:r>
            </w:hyperlink>
          </w:p>
        </w:tc>
        <w:tc>
          <w:tcPr>
            <w:tcW w:w="4120" w:type="dxa"/>
            <w:vAlign w:val="bottom"/>
            <w:gridSpan w:val="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0760" w:type="dxa"/>
            <w:vAlign w:val="bottom"/>
            <w:gridSpan w:val="35"/>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3. DEFAULTS UPON SENIOR SECURITIES</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37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4. MINE SAFETY DISCLOSURES</w:t>
              </w:r>
            </w:hyperlink>
          </w:p>
        </w:tc>
        <w:tc>
          <w:tcPr>
            <w:tcW w:w="7020" w:type="dxa"/>
            <w:vAlign w:val="bottom"/>
            <w:gridSpan w:val="1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30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5. OTHER INFORMATION</w:t>
              </w:r>
            </w:hyperlink>
          </w:p>
        </w:tc>
        <w:tc>
          <w:tcPr>
            <w:tcW w:w="7760" w:type="dxa"/>
            <w:vAlign w:val="bottom"/>
            <w:gridSpan w:val="2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24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6. EXHIBITS</w:t>
              </w:r>
            </w:hyperlink>
          </w:p>
        </w:tc>
        <w:tc>
          <w:tcPr>
            <w:tcW w:w="8320" w:type="dxa"/>
            <w:vAlign w:val="bottom"/>
            <w:gridSpan w:val="2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3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SIGNATURES</w:t>
              </w:r>
            </w:hyperlink>
          </w:p>
        </w:tc>
        <w:tc>
          <w:tcPr>
            <w:tcW w:w="9380" w:type="dxa"/>
            <w:vAlign w:val="bottom"/>
            <w:gridSpan w:val="2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453"/>
        </w:trPr>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5320" w:type="dxa"/>
            <w:vAlign w:val="bottom"/>
            <w:gridSpan w:val="20"/>
          </w:tcPr>
          <w:p>
            <w:pPr>
              <w:jc w:val="right"/>
              <w:ind w:right="6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32"/>
        </w:trPr>
        <w:tc>
          <w:tcPr>
            <w:tcW w:w="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6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UNAUDITED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units)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3,703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2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12,865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2,485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Linefill and base gas</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inventory</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2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4,334</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879</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341</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net of unamortized discount of $14 and $15, respectively</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6,711</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under credit facilities and other</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PARTNERS’ CAPITAL</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unitholders (362,035,634 and 359,133,200 units outstanding, respectively)</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7,419</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305</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partners’ capital excluding noncontrolling interests</w:t>
            </w:r>
          </w:p>
        </w:tc>
        <w:tc>
          <w:tcPr>
            <w:tcW w:w="1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partners’ capital</w:t>
            </w:r>
          </w:p>
        </w:tc>
        <w:tc>
          <w:tcPr>
            <w:tcW w:w="1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110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unit data)</w:t>
      </w:r>
    </w:p>
    <w:p>
      <w:pPr>
        <w:spacing w:after="0" w:line="20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Supply and Logistics segment revenues</w:t>
            </w:r>
          </w:p>
        </w:tc>
        <w:tc>
          <w:tcPr>
            <w:tcW w:w="2440" w:type="dxa"/>
            <w:vAlign w:val="bottom"/>
            <w:gridSpan w:val="2"/>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11,346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segment revenues</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Facilities segment revenues</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15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10,670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493</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of capitalized interest of $11 and $9, respectively)</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433</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LIMITED PARTNERS</w:t>
            </w:r>
          </w:p>
        </w:tc>
        <w:tc>
          <w:tcPr>
            <w:tcW w:w="2440" w:type="dxa"/>
            <w:vAlign w:val="bottom"/>
            <w:gridSpan w:val="2"/>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GENERAL PARTNER</w:t>
            </w:r>
          </w:p>
        </w:tc>
        <w:tc>
          <w:tcPr>
            <w:tcW w:w="15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6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BASIC NET INCOME PER LIMITED PARTNER UNIT</w:t>
            </w:r>
          </w:p>
        </w:tc>
        <w:tc>
          <w:tcPr>
            <w:tcW w:w="2440" w:type="dxa"/>
            <w:vAlign w:val="bottom"/>
            <w:gridSpan w:val="2"/>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NET INCOME PER LIMITED PARTNER UNIT</w:t>
            </w:r>
          </w:p>
        </w:tc>
        <w:tc>
          <w:tcPr>
            <w:tcW w:w="2440" w:type="dxa"/>
            <w:vAlign w:val="bottom"/>
            <w:gridSpan w:val="2"/>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BASIC WEIGHTED AVERAGE UNITS OUTSTANDING</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70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7"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 WEIGHTED AVERAGE UNITS OUTSTANDING</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363</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CONDENSED CONSOLIDATED STATEMENTS OF COMPREHENSIVE INCOME (in millions)</w:t>
      </w:r>
    </w:p>
    <w:p>
      <w:pPr>
        <w:spacing w:after="0" w:line="382"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6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740" w:type="dxa"/>
            <w:vAlign w:val="bottom"/>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PAA</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ind w:left="260" w:right="2820"/>
        <w:spacing w:after="0" w:line="265"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CONDENSED CONSOLIDATED STATEMENT OF CHANGES IN ACCUMULATED OTHER COMPREHENSIVE INCOME (in millions)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Pr>
          <w:p>
            <w:pPr>
              <w:spacing w:after="0"/>
              <w:rPr>
                <w:sz w:val="13"/>
                <w:szCs w:val="13"/>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110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Deferred loss on cash flow hedges, net of tax</w:t>
            </w:r>
          </w:p>
        </w:tc>
        <w:tc>
          <w:tcPr>
            <w:tcW w:w="1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period activity</w:t>
            </w:r>
          </w:p>
        </w:tc>
        <w:tc>
          <w:tcPr>
            <w:tcW w:w="1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6"/>
              </w:rPr>
              <w:t>(12)</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2014</w:t>
            </w:r>
          </w:p>
        </w:tc>
        <w:tc>
          <w:tcPr>
            <w:tcW w:w="1100" w:type="dxa"/>
            <w:vAlign w:val="bottom"/>
            <w:tcBorders>
              <w:bottom w:val="single" w:sz="8" w:color="auto"/>
            </w:tcBorders>
            <w:shd w:val="clear" w:color="auto" w:fill="CCEEFF"/>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4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 valuation adjustments</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in connection with acquisitions, net of cash acquired</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equipment and other</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for sales of linefill and base gas</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purchases of linefill and base gas</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unconsolidated entities</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repayments under PAA senior secured hedged inventory facility (Note 6)</w:t>
            </w:r>
          </w:p>
        </w:tc>
        <w:tc>
          <w:tcPr>
            <w:tcW w:w="1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repayments under PAA senior unsecured revolving credit facility (Note 6)</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borrowings under PNG credit agreement</w:t>
            </w:r>
          </w:p>
        </w:tc>
        <w:tc>
          <w:tcPr>
            <w:tcW w:w="1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repayments under PAA commercial paper program (Note 6)</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the issuance of common units (Note 8)</w:t>
            </w:r>
          </w:p>
        </w:tc>
        <w:tc>
          <w:tcPr>
            <w:tcW w:w="1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151</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paid to common unitholders (Note 8)</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paid to general partner (Note 8)</w:t>
            </w:r>
          </w:p>
        </w:tc>
        <w:tc>
          <w:tcPr>
            <w:tcW w:w="1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paid to noncontrolling interests</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4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Effect of translation adjustment on cash</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34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190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net of amounts refunded</w:t>
            </w:r>
          </w:p>
        </w:tc>
        <w:tc>
          <w:tcPr>
            <w:tcW w:w="19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260" w:right="2080"/>
        <w:spacing w:after="0" w:line="27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CONDENSED CONSOLIDATED STATEMENTS OF CHANGES IN PARTNERS’ CAPITAL (in millions)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440" w:type="dxa"/>
            <w:vAlign w:val="bottom"/>
            <w:gridSpan w:val="6"/>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00" w:type="dxa"/>
            <w:vAlign w:val="bottom"/>
          </w:tcPr>
          <w:p>
            <w:pPr>
              <w:spacing w:after="0"/>
              <w:rPr>
                <w:sz w:val="12"/>
                <w:szCs w:val="12"/>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2440" w:type="dxa"/>
            <w:vAlign w:val="bottom"/>
            <w:gridSpan w:val="6"/>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740" w:type="dxa"/>
            <w:vAlign w:val="bottom"/>
            <w:tcBorders>
              <w:top w:val="single" w:sz="8" w:color="auto"/>
            </w:tcBorders>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Partner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6"/>
          </w:tcPr>
          <w:p>
            <w:pPr>
              <w:jc w:val="right"/>
              <w:ind w:right="116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359.1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7,349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268</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384</w:t>
            </w: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common units</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8"/>
        </w:trPr>
        <w:tc>
          <w:tcPr>
            <w:tcW w:w="45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units under LTIP, net of</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units tendered by employees to satisfy tax</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withholding obligations</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equivalent right payments</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2014</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362.0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440" w:type="dxa"/>
            <w:vAlign w:val="bottom"/>
            <w:gridSpan w:val="6"/>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00" w:type="dxa"/>
            <w:vAlign w:val="bottom"/>
          </w:tcPr>
          <w:p>
            <w:pPr>
              <w:spacing w:after="0"/>
              <w:rPr>
                <w:sz w:val="12"/>
                <w:szCs w:val="12"/>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2440" w:type="dxa"/>
            <w:vAlign w:val="bottom"/>
            <w:gridSpan w:val="6"/>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740" w:type="dxa"/>
            <w:vAlign w:val="bottom"/>
            <w:tcBorders>
              <w:top w:val="single" w:sz="8" w:color="auto"/>
            </w:tcBorders>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Partner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6"/>
          </w:tcPr>
          <w:p>
            <w:pPr>
              <w:jc w:val="right"/>
              <w:ind w:right="116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335.3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6,388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433</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528</w:t>
            </w: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common units</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 equivalent right payments</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2013</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337.7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260" w:right="2540"/>
        <w:spacing w:after="0" w:line="26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NOTES TO THE CONDENSED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Basis of Presentation</w:t>
      </w:r>
    </w:p>
    <w:p>
      <w:pPr>
        <w:sectPr>
          <w:pgSz w:w="11900" w:h="16838" w:orient="portrait"/>
          <w:cols w:equalWidth="0" w:num="1">
            <w:col w:w="11420"/>
          </w:cols>
          <w:pgMar w:left="240" w:top="117" w:right="2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Plains All American Pipeline, L.P. is a Delaware limited partnership formed in 1998. Our operations are conducted directly and indirectly through our primary operating subsidiaries. As used in this Form 10-Q and unless the context indicates otherwise, the terms “Partnership,” “Plains,” “PAA,” “we,” “us,” “our,” “ours” and similar terms refer to Plains All American Pipeline, L.P. and its subsidiaries.</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(“LPG”) such as propane and butane. When used in this Form 10-Q, NGL refers to all NGL products including LPG.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(i) Transportation, (ii) Facilities and (iii) Supply and Logistics. See Note 12 for further discussion of our operating segments.</w:t>
      </w:r>
    </w:p>
    <w:p>
      <w:pPr>
        <w:spacing w:after="0" w:line="18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2% general partner interest is held by PAA GP LLC, a Delaware limited liability company, whose sole member is Plains AAP, L.P. (“AAP”), a Delaware limited partnership. In addition to its ownership of PAA GP LLC, AAP also owns all of our incentive distribution rights. Plains All American GP LLC (“GP LLC”), a Delaware limited liability company, is AAP’s general partner. GP LLC manages our operations and activities and employs our domestic officers and personnel. Our Canadian officers and personnel are employed by our subsidiary, Plains Midstream Canada ULC (“PMC”). References to our “general partner,” as the context requires, include any or all of PAA GP LLC, AAP and GP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defined terms are used in this Form 10-Q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AOCI</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Bcf</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Billion cubic feet</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Btu</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British thermal unit</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CAD</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Canadian dollar</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DERs</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 equivalent rights</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Generally accepted accounting principles in the United States</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ICE</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IntercontinentalExchange</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LIBOR</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LTIP</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incentive plan</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Mcf</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Thousand cubic feet</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MLP</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Master limited partnership</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Natural gas liquids including ethane, natural gasoline products, propane and butane</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NYMEX</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PLA</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Pipeline loss allowance</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PNG</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PAA Natural Gas Storage, L.P.</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 dollar</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White Cliffs</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White Cliffs Pipeline, LLC</w:t>
            </w: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WTI</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West Texas Intermediate</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8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8</w:t>
            </w:r>
          </w:p>
        </w:tc>
      </w:tr>
      <w:tr>
        <w:trPr>
          <w:trHeight w:val="132"/>
        </w:trPr>
        <w:tc>
          <w:tcPr>
            <w:tcW w:w="13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92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Presentation</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and notes thereto should be read in conjunction with our 2013 Annual Report on Form 10-K.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Certain reclassifications have been made to information from previous years to conform to the current presentation. The condensed consolidated balance sheet data as of December 31, 2013 was derived from audited financial statements, but does not include all disclosures required by GAAP. The results of operations for the three months ended March 31, 2014 should not be taken as indicative of results to be expected for the entire year.</w:t>
      </w:r>
    </w:p>
    <w:p>
      <w:pPr>
        <w:spacing w:after="0" w:line="18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the financial statements issuance date and have been included in the following footnotes where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2—Recent Accounting Pronouncements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Other than as discussed below and in our 2013 Annual Report on Form 10-K, no new accounting pronouncements have become effective or have been issued during the three months ended March 31, 2014 that are of significance or potential significance to us.</w:t>
      </w:r>
    </w:p>
    <w:p>
      <w:pPr>
        <w:spacing w:after="0" w:line="162" w:lineRule="exact"/>
        <w:rPr>
          <w:sz w:val="20"/>
          <w:szCs w:val="20"/>
          <w:color w:val="auto"/>
        </w:rPr>
      </w:pPr>
    </w:p>
    <w:p>
      <w:pPr>
        <w:jc w:val="both"/>
        <w:ind w:right="300" w:firstLine="648"/>
        <w:spacing w:after="0" w:line="261" w:lineRule="auto"/>
        <w:rPr>
          <w:sz w:val="20"/>
          <w:szCs w:val="20"/>
          <w:color w:val="auto"/>
        </w:rPr>
      </w:pPr>
      <w:r>
        <w:rPr>
          <w:rFonts w:ascii="Times New Roman" w:cs="Times New Roman" w:eastAsia="Times New Roman" w:hAnsi="Times New Roman"/>
          <w:sz w:val="18"/>
          <w:szCs w:val="18"/>
          <w:color w:val="auto"/>
        </w:rPr>
        <w:t>In March 2013, the FASB issued guidance regarding the release of cumulative translation adjustments into net income when a parent either sells a part or all of its investment in a foreign entity or no longer holds a controlling financial interest in a subsidiary or group of assets that is a business within a foreign entity. This guidance became effective for interim and annual periods beginning after December 15, 2013. We adopted this guidance on January 1, 2014. Our adoption did not have a material impact on our financial position,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3—Accounts Receivable</w:t>
      </w:r>
    </w:p>
    <w:p>
      <w:pPr>
        <w:sectPr>
          <w:pgSz w:w="11900" w:h="16838" w:orient="portrait"/>
          <w:cols w:equalWidth="0" w:num="1">
            <w:col w:w="11460"/>
          </w:cols>
          <w:pgMar w:left="240" w:top="333" w:right="199" w:bottom="0" w:gutter="0" w:footer="0" w:header="0"/>
        </w:sectPr>
      </w:pPr>
    </w:p>
    <w:bookmarkStart w:id="6" w:name="page7"/>
    <w:bookmarkEnd w:id="6"/>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accounts receivable are primarily from purchasers and shippers of crude oil and, to a lesser extent, purchasers of NGL and natural gas storage.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 mitigate credit risk related to our accounts receivable, we have in place a rigorous credit review process. We closely monitor market conditions in order to make a determination with respect to the amount, if any, of credit to be extended to any given customer and the form and amount of financial performance assurances we require. Such financial assurances are commonly provided to us in the form of standby letters of credit, parental guarantees or advance cash payments. As of March 31, 2014 and December 31, 2013, we had received approximately $105 million and $117 million, respectively, of advance cash payments from third parties to mitigate credit risk. Furthermore, as of March 31, 2014 and December 31, 2013, we had received approximately $206 million and $426 million, respectively, of standby letters of credit to support obligations due from third parties, a portion of which applies to future business. In addition, in an effort to mitigate credit risk, a significant portion of our transactions with counterparties are settled on a net-cash basis. Further, we enter into netting agreements (contractual agreements that allow us to offset receivables and payables with those counterparties against each other on our balance sheet) for a majority of such arrangements.</w:t>
      </w:r>
    </w:p>
    <w:p>
      <w:pPr>
        <w:spacing w:after="0" w:line="18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March 31, 2014 and December 31, 2013, substantially all of our accounts receivable (net of allowance for doubtful accounts) were less than 30 days past their scheduled invoice date. Our allowance for doubtful accounts receivable totaled approximately $4 million and $5 million at March 31, 2014 and December 31, 2013, respectively. Although we consider our allowance for doubtful accounts receivable to be adequate, actual amounts could vary significantly from estimated amounts.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4—Inventory, Linefill and Base Gas and Long-term Inventory</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Inventory, linefill and base gas and long-term inventory consisted of the following as of the dates indicated (barrels and natural gas volumes in thousands and carrying value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0" w:type="dxa"/>
            <w:vAlign w:val="bottom"/>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Unit of</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60" w:type="dxa"/>
            <w:vAlign w:val="bottom"/>
          </w:tcPr>
          <w:p>
            <w:pPr>
              <w:spacing w:after="0"/>
              <w:rPr>
                <w:sz w:val="10"/>
                <w:szCs w:val="10"/>
                <w:color w:val="auto"/>
              </w:rPr>
            </w:pPr>
          </w:p>
        </w:tc>
        <w:tc>
          <w:tcPr>
            <w:tcW w:w="740" w:type="dxa"/>
            <w:vAlign w:val="bottom"/>
          </w:tcPr>
          <w:p>
            <w:pPr>
              <w:jc w:val="center"/>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Price/</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2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Unit of</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60" w:type="dxa"/>
            <w:vAlign w:val="bottom"/>
          </w:tcPr>
          <w:p>
            <w:pPr>
              <w:spacing w:after="0"/>
              <w:rPr>
                <w:sz w:val="10"/>
                <w:szCs w:val="10"/>
                <w:color w:val="auto"/>
              </w:rPr>
            </w:pPr>
          </w:p>
        </w:tc>
        <w:tc>
          <w:tcPr>
            <w:tcW w:w="760" w:type="dxa"/>
            <w:vAlign w:val="bottom"/>
          </w:tcPr>
          <w:p>
            <w:pPr>
              <w:jc w:val="center"/>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Price/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8"/>
                <w:szCs w:val="8"/>
                <w:b w:val="1"/>
                <w:bCs w:val="1"/>
                <w:color w:val="auto"/>
              </w:rPr>
              <w:t>(1)</w:t>
            </w: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Inventory</w:t>
            </w: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Crude oil</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7,274</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barrels</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88.67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barrels</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3,846</w:t>
            </w: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barrels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47.06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barrels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Natural gas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12,660</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Mcf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4.82</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40,505</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Mcf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Inventory subtotal</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right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Linefill and base gas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11,031</w:t>
            </w: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barrels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61.74</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10,966</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barrels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1,431</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barrels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42.63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barrels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25,612</w:t>
            </w: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Mcf</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4.76</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16,615</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Mcf</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00" w:type="dxa"/>
            <w:vAlign w:val="bottom"/>
          </w:tcPr>
          <w:p>
            <w:pPr>
              <w:ind w:left="160"/>
              <w:spacing w:after="0" w:line="178" w:lineRule="exact"/>
              <w:rPr>
                <w:sz w:val="20"/>
                <w:szCs w:val="20"/>
                <w:color w:val="auto"/>
              </w:rPr>
            </w:pPr>
            <w:r>
              <w:rPr>
                <w:rFonts w:ascii="Times New Roman" w:cs="Times New Roman" w:eastAsia="Times New Roman" w:hAnsi="Times New Roman"/>
                <w:sz w:val="18"/>
                <w:szCs w:val="18"/>
                <w:color w:val="auto"/>
              </w:rPr>
              <w:t>Linefill and base gas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inventory</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2,655</w:t>
            </w: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barrels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80.60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barrels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1,210</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barrels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41.32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barrels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00" w:type="dxa"/>
            <w:vAlign w:val="bottom"/>
            <w:tcBorders>
              <w:top w:val="single" w:sz="8" w:color="CCEEFF"/>
            </w:tcBorders>
            <w:shd w:val="clear" w:color="auto" w:fill="CCEEFF"/>
          </w:tcPr>
          <w:p>
            <w:pPr>
              <w:ind w:left="160"/>
              <w:spacing w:after="0" w:line="178" w:lineRule="exact"/>
              <w:rPr>
                <w:sz w:val="20"/>
                <w:szCs w:val="20"/>
                <w:color w:val="auto"/>
              </w:rPr>
            </w:pPr>
            <w:r>
              <w:rPr>
                <w:rFonts w:ascii="Times New Roman" w:cs="Times New Roman" w:eastAsia="Times New Roman" w:hAnsi="Times New Roman"/>
                <w:sz w:val="18"/>
                <w:szCs w:val="18"/>
                <w:color w:val="auto"/>
              </w:rPr>
              <w:t>Long-term inventory</w:t>
            </w:r>
          </w:p>
        </w:tc>
        <w:tc>
          <w:tcPr>
            <w:tcW w:w="9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240" w:hanging="652"/>
        <w:spacing w:after="0" w:line="229" w:lineRule="auto"/>
        <w:tabs>
          <w:tab w:leader="none" w:pos="64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Price per unit of measure represents a weighted average associated with various grades, qualities and locations. Accordingly, these prices may not coincide with any published benchmarks for such products.</w:t>
      </w:r>
    </w:p>
    <w:p>
      <w:pPr>
        <w:spacing w:after="0" w:line="19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At the end of each reporting period, we assess the carrying value of our inventory and make any adjustments necessary to reduce the carrying value to the applicable net realizable value. We recorded a charge of approximately $37 million during the three months ended March 31, 2014 related to the writedown of our natural gas inventory that was purchased in conjunction with managing natural gas storage deliverability requirements during the extended period of severe cold weather in the three months ended March 31, 2014. This adjustment is a component of “Purchases and related costs” in our accompanying condensed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5—Goodwill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our goodwill by segment and changes during the period indicated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40" w:type="dxa"/>
            <w:vAlign w:val="bottom"/>
          </w:tcPr>
          <w:p>
            <w:pPr>
              <w:spacing w:after="0"/>
              <w:rPr>
                <w:sz w:val="15"/>
                <w:szCs w:val="15"/>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20" w:type="dxa"/>
            <w:vAlign w:val="bottom"/>
          </w:tcPr>
          <w:p>
            <w:pPr>
              <w:spacing w:after="0"/>
              <w:rPr>
                <w:sz w:val="15"/>
                <w:szCs w:val="15"/>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Supply and Logistics</w:t>
            </w:r>
          </w:p>
        </w:tc>
        <w:tc>
          <w:tcPr>
            <w:tcW w:w="300" w:type="dxa"/>
            <w:vAlign w:val="bottom"/>
          </w:tcPr>
          <w:p>
            <w:pPr>
              <w:spacing w:after="0"/>
              <w:rPr>
                <w:sz w:val="15"/>
                <w:szCs w:val="15"/>
                <w:color w:val="auto"/>
              </w:rPr>
            </w:pPr>
          </w:p>
        </w:tc>
        <w:tc>
          <w:tcPr>
            <w:tcW w:w="11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2014 Goodwill Related Activity:</w:t>
            </w: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4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2014</w:t>
            </w:r>
          </w:p>
        </w:tc>
        <w:tc>
          <w:tcPr>
            <w:tcW w:w="7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consisted of the following as of the dates indicated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SHORT-TERM DEBT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PAA commercial paper notes, bearing a weighted-average interest rate of 0.30% and 0.33%, respectively </w:t>
            </w:r>
            <w:r>
              <w:rPr>
                <w:rFonts w:ascii="Times New Roman" w:cs="Times New Roman" w:eastAsia="Times New Roman" w:hAnsi="Times New Roman"/>
                <w:sz w:val="23"/>
                <w:szCs w:val="23"/>
                <w:color w:val="auto"/>
                <w:vertAlign w:val="superscript"/>
              </w:rPr>
              <w:t>(1) (2)</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short-term debt</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net of unamortized discounts of $14 and $15, respectively</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PAA commercial paper notes, bearing a weighted-average interest rate of 0.30%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shd w:val="clear" w:color="auto" w:fill="CCEEFF"/>
          </w:tcPr>
          <w:p>
            <w:pPr>
              <w:ind w:left="340"/>
              <w:spacing w:after="0" w:line="210" w:lineRule="exact"/>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3"/>
                <w:szCs w:val="23"/>
                <w:color w:val="auto"/>
                <w:vertAlign w:val="superscript"/>
              </w:rPr>
              <w:t>(1) (3)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160" w:hanging="652"/>
        <w:spacing w:after="0" w:line="235" w:lineRule="auto"/>
        <w:tabs>
          <w:tab w:leader="none" w:pos="64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At March 31, 2014 and December 31, 2013, we classified $876 million and $1.1 billion, respectively, of borrowings under our commercial paper program as short-term. These borrowings are primarily designated as working capital borrowings, must be repaid within one year and are primarily for hedged NGL and crude oil inventory and NYMEX and ICE margin deposits.</w:t>
      </w:r>
    </w:p>
    <w:p>
      <w:pPr>
        <w:spacing w:after="0" w:line="200" w:lineRule="exact"/>
        <w:rPr>
          <w:rFonts w:ascii="Times New Roman" w:cs="Times New Roman" w:eastAsia="Times New Roman" w:hAnsi="Times New Roman"/>
          <w:sz w:val="23"/>
          <w:szCs w:val="23"/>
          <w:color w:val="auto"/>
          <w:vertAlign w:val="superscript"/>
        </w:rPr>
      </w:pPr>
    </w:p>
    <w:p>
      <w:pPr>
        <w:ind w:left="660" w:right="80" w:hanging="652"/>
        <w:spacing w:after="0" w:line="239" w:lineRule="auto"/>
        <w:tabs>
          <w:tab w:leader="none" w:pos="64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PAA commercial paper notes are backstopped by the PAA senior unsecured revolving credit facility and the PAA senior secured hedged inventory facility, which mature in August 2018 and August 2016, respectively; as such, any borrowings under the PAA commercial paper program reduce the available capacity under these facilities. Although our PAA commercial paper notes generally have maturities of less than one year, we classified $102 million of such notes as long-term based on our ability and intent to refinance them on a long-term basis.</w:t>
      </w:r>
    </w:p>
    <w:p>
      <w:pPr>
        <w:spacing w:after="0" w:line="198" w:lineRule="exact"/>
        <w:rPr>
          <w:rFonts w:ascii="Times New Roman" w:cs="Times New Roman" w:eastAsia="Times New Roman" w:hAnsi="Times New Roman"/>
          <w:sz w:val="23"/>
          <w:szCs w:val="23"/>
          <w:color w:val="auto"/>
          <w:vertAlign w:val="superscript"/>
        </w:rPr>
      </w:pPr>
    </w:p>
    <w:p>
      <w:pPr>
        <w:ind w:left="660" w:right="40" w:hanging="652"/>
        <w:spacing w:after="0" w:line="243" w:lineRule="auto"/>
        <w:tabs>
          <w:tab w:leader="none" w:pos="64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fixed-rate senior notes had a face value of approximately $6.7 billion at both March 31, 2014 and December 31, 2013. We estimated the aggregate fair value of these notes as of March 31, 2014 and December 31, 2013 to be approximately $7.3 billion and $7.2 billion, respectively. Our fixed-rate senior notes are traded among institutions, and these trades are routinely published by a reporting service. Our determination of fair value is based on reported trading activity near quarter end. We estimate that the carrying value of outstanding borrowings under our credit facilities and agreements and commercial paper program approximates fair value as interest rates reflect current market rates. The fair value estimates for both our senior notes and credit facilities are based upon observable market data and are classified within Level 2 of the fair value hierarchy.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and Repayments</w:t>
      </w:r>
    </w:p>
    <w:p>
      <w:pPr>
        <w:spacing w:after="0" w:line="22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Total borrowings under our credit agreements and the commercial paper program for the three months ended March 31, 2014 and 2013 were approximately $19.2 billion and $3.2 billion, respectively. Total repayments under our credit agreements and the commercial paper program were approximately $19.3 billion and $3.6 billion for the three months ended March 31, 2014 and 2013, respectively. The variance in total gross borrowings and repayments is impacted by various business and financial factors including, but not limited to, the timing, average term and method of general partnership borrowing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and construction activities. At March 31, 2014 and December 31, 2013, we had outstanding letters of credit of approximately $70 million and $41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Issuance</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April 2014, we completed the issuance of $700 million, 4.70% senior notes due 2044 at a public offering price of 99.734%. Interest payments are due on June 15 and December 15 of each year, commencing on December 15, 2014. In anticipation of the issuance of these senior notes, we entered into $250 million notional principal amount of U.S. treasury locks in March and April 2014 to hedge the treasury rate portion of the interest rate on a portion of the notes. See Note 10 for additional disclosure.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7—Net Income Per Limited Partner Unit</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Basic and diluted net income per limited partner unit is determined pursuant to the two-class method for Master Limited Partnerships as prescribed in the FASB guidance. The two-class method is an earnings allocation formula that is used to determine earnings to our general partner, common unitholders and participating securities according to distributions pertaining to the current period’s net income and participation rights in undistributed earnings. Under this method, all earnings are allocated to our general partner, common unitholders and participating securities based on their respective rights to receive distributions, regardless of whether those earnings would actually be distributed during a particular period from an economic or practical perspective.</w:t>
      </w:r>
    </w:p>
    <w:p>
      <w:pPr>
        <w:sectPr>
          <w:pgSz w:w="11900" w:h="16838" w:orient="portrait"/>
          <w:cols w:equalWidth="0" w:num="1">
            <w:col w:w="11420"/>
          </w:cols>
          <w:pgMar w:left="240" w:top="337" w:right="239" w:bottom="35" w:gutter="0" w:footer="0" w:header="0"/>
        </w:sectPr>
      </w:pPr>
    </w:p>
    <w:bookmarkStart w:id="8" w:name="page9"/>
    <w:bookmarkEnd w:id="8"/>
    <w:p>
      <w:pPr>
        <w:spacing w:after="0" w:line="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Partnership calculates basic and diluted net income per limited partner unit by dividing net income attributable to Plains, after deducting the amount allocated to the general partner’s interest, incentive distribution rights (“IDRs”) and participating securities, by the basic and diluted weighted-average number of limited partner units outstanding during the period. Participating securities include LTIP awards that have vested DERs, which entitle the grantee to a cash payment equal to the cash distribution paid on our outstanding common units.</w:t>
      </w:r>
    </w:p>
    <w:p>
      <w:pPr>
        <w:spacing w:after="0" w:line="180"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Diluted net income per limited partner unit is computed based on the weighted average number of units plus the effect of dilutive potential units outstanding during the period using the two-class method. Our LTIP awards that contemplate the issuance of common units are considered dilutive unless</w:t>
      </w:r>
    </w:p>
    <w:p>
      <w:pPr>
        <w:ind w:right="40" w:firstLine="8"/>
        <w:spacing w:after="0" w:line="254"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See Note 15 to our Consolidated Financial Statements included in Part IV of our 2013 Annual Report on Form 10-K for a complete discussion of our LTIP awards including specific discussion regarding DERs.</w:t>
      </w:r>
    </w:p>
    <w:p>
      <w:pPr>
        <w:spacing w:after="0" w:line="18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limited partner unit for the three months ended March 31, 2014 and 2013 (in millions, except per unit data):</w:t>
      </w:r>
    </w:p>
    <w:p>
      <w:pPr>
        <w:spacing w:after="0" w:line="155"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Net Income per Limited Partner Unit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160" w:type="dxa"/>
            <w:vAlign w:val="bottom"/>
            <w:gridSpan w:val="2"/>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partner’s incentive distribution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 2% ownership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income available to limited partners</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Less: Undistributed earnings allocated and distributions to participating securities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available to limited partners in accordance with application of the two-class method for MLPs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weighted average number of limited partner units outstanding</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net income per limited partner unit</w:t>
            </w:r>
          </w:p>
        </w:tc>
        <w:tc>
          <w:tcPr>
            <w:tcW w:w="1160" w:type="dxa"/>
            <w:vAlign w:val="bottom"/>
            <w:gridSpan w:val="2"/>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Limited Partner Unit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160" w:type="dxa"/>
            <w:vAlign w:val="bottom"/>
            <w:gridSpan w:val="2"/>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partner’s incentive distribution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 2% ownership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income available to limited partners</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Less: Undistributed earnings allocated and distributions to participating securities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available to limited partners in accordance with application of the two-class method for MLPs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weighted average number of limited partner units outstanding</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dilutive securities: Weighted average LTIP units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weighted average number of limited partner units outstanding</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net income per limited partner unit</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0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right="120" w:hanging="652"/>
        <w:spacing w:after="0" w:line="239"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19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terms of our partnership agreement limit the general partner’s incentive distribution to the amount of available cash, which, as defined in the partnership agreement, is net of reserves deemed appropriate. As such, IDRs are not allocated undistributed earnings or distributions in excess of earnings in the calculation of net income per limited partner unit. If, however, undistributed earnings were allocated to our IDRs beyond amounts distributed to them under the terms of the partnership agreement, basic and diluted earnings per limited partner unit as reflected in the table above would be impacted as follows:</w:t>
      </w:r>
    </w:p>
    <w:p>
      <w:pPr>
        <w:spacing w:after="0" w:line="174"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96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limited partner unit impact</w:t>
            </w:r>
          </w:p>
        </w:tc>
        <w:tc>
          <w:tcPr>
            <w:tcW w:w="23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2"/>
              </w:rPr>
              <w:t>(0.05)</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2"/>
              </w:rPr>
              <w:t>(0.34)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limited partner unit impact</w:t>
            </w:r>
          </w:p>
        </w:tc>
        <w:tc>
          <w:tcPr>
            <w:tcW w:w="2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(0.05)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8—Partners’ Capital and Distributions</w:t>
            </w:r>
          </w:p>
        </w:tc>
        <w:tc>
          <w:tcPr>
            <w:tcW w:w="2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6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details the distributions paid during or pertaining to the first three months of 2014, net of reductions to the general partner’s incentive distributions (in millions, except per unit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Distributions Paid</w:t>
            </w: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Distributions</w:t>
            </w:r>
          </w:p>
        </w:tc>
      </w:tr>
      <w:tr>
        <w:trPr>
          <w:trHeight w:val="142"/>
        </w:trPr>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00" w:type="dxa"/>
            <w:vAlign w:val="bottom"/>
            <w:tcBorders>
              <w:bottom w:val="single" w:sz="8" w:color="auto"/>
            </w:tcBorders>
            <w:gridSpan w:val="3"/>
          </w:tcPr>
          <w:p>
            <w:pPr>
              <w:jc w:val="center"/>
              <w:ind w:left="728"/>
              <w:spacing w:after="0" w:line="142" w:lineRule="exact"/>
              <w:rPr>
                <w:sz w:val="20"/>
                <w:szCs w:val="20"/>
                <w:color w:val="auto"/>
              </w:rPr>
            </w:pPr>
            <w:r>
              <w:rPr>
                <w:rFonts w:ascii="Times New Roman" w:cs="Times New Roman" w:eastAsia="Times New Roman" w:hAnsi="Times New Roman"/>
                <w:sz w:val="14"/>
                <w:szCs w:val="14"/>
                <w:b w:val="1"/>
                <w:bCs w:val="1"/>
                <w:color w:val="auto"/>
              </w:rPr>
              <w:t>General Partner</w:t>
            </w:r>
          </w:p>
        </w:tc>
        <w:tc>
          <w:tcPr>
            <w:tcW w:w="8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per limited</w:t>
            </w:r>
          </w:p>
        </w:tc>
      </w:tr>
      <w:tr>
        <w:trPr>
          <w:trHeight w:val="142"/>
        </w:trPr>
        <w:tc>
          <w:tcPr>
            <w:tcW w:w="22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Date Declared</w:t>
            </w:r>
          </w:p>
        </w:tc>
        <w:tc>
          <w:tcPr>
            <w:tcW w:w="260" w:type="dxa"/>
            <w:vAlign w:val="bottom"/>
            <w:tcBorders>
              <w:bottom w:val="single" w:sz="8" w:color="CCEEFF"/>
            </w:tcBorders>
          </w:tcPr>
          <w:p>
            <w:pPr>
              <w:spacing w:after="0"/>
              <w:rPr>
                <w:sz w:val="12"/>
                <w:szCs w:val="12"/>
                <w:color w:val="auto"/>
              </w:rPr>
            </w:pPr>
          </w:p>
        </w:tc>
        <w:tc>
          <w:tcPr>
            <w:tcW w:w="196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Date Paid or To Be Paid</w:t>
            </w:r>
          </w:p>
        </w:tc>
        <w:tc>
          <w:tcPr>
            <w:tcW w:w="2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2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partner unit</w:t>
            </w:r>
          </w:p>
        </w:tc>
        <w:tc>
          <w:tcPr>
            <w:tcW w:w="120" w:type="dxa"/>
            <w:vAlign w:val="bottom"/>
            <w:tcBorders>
              <w:bottom w:val="single" w:sz="8" w:color="CCEEFF"/>
            </w:tcBorders>
          </w:tcPr>
          <w:p>
            <w:pPr>
              <w:spacing w:after="0"/>
              <w:rPr>
                <w:sz w:val="12"/>
                <w:szCs w:val="12"/>
                <w:color w:val="auto"/>
              </w:rPr>
            </w:pPr>
          </w:p>
        </w:tc>
      </w:tr>
    </w:tbl>
    <w:p>
      <w:pPr>
        <w:sectPr>
          <w:pgSz w:w="11900" w:h="16900" w:orient="portrait"/>
          <w:cols w:equalWidth="0" w:num="1">
            <w:col w:w="11460"/>
          </w:cols>
          <w:pgMar w:left="240" w:top="121" w:right="19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7,</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2014</w:t>
            </w:r>
          </w:p>
        </w:tc>
        <w:tc>
          <w:tcPr>
            <w:tcW w:w="2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xml:space="preserve">May 15, 2014 </w:t>
            </w:r>
            <w:r>
              <w:rPr>
                <w:rFonts w:ascii="Times New Roman" w:cs="Times New Roman" w:eastAsia="Times New Roman" w:hAnsi="Times New Roman"/>
                <w:sz w:val="23"/>
                <w:szCs w:val="23"/>
                <w:color w:val="auto"/>
                <w:vertAlign w:val="superscript"/>
              </w:rPr>
              <w:t>(1)</w:t>
            </w: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229</w:t>
            </w:r>
          </w:p>
        </w:tc>
        <w:tc>
          <w:tcPr>
            <w:tcW w:w="6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7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0.6300</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January</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9, 2014</w:t>
            </w:r>
          </w:p>
        </w:tc>
        <w:tc>
          <w:tcPr>
            <w:tcW w:w="2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February 14, 2014</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221</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7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9" w:lineRule="exact"/>
        <w:rPr>
          <w:sz w:val="20"/>
          <w:szCs w:val="20"/>
          <w:color w:val="auto"/>
        </w:rPr>
      </w:pPr>
    </w:p>
    <w:p>
      <w:pPr>
        <w:ind w:left="640" w:hanging="596"/>
        <w:spacing w:after="0"/>
        <w:tabs>
          <w:tab w:leader="none" w:pos="6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May 2, 2014 for the period January 1, 2014 through March 31, 2014.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Continuous Offering Program</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2014, we issued an aggregate of approximately 2.8 million common units under our continuous offering program, generating proceeds of approximately $151 million, including our general partner’s proportionate capital contribution, net of approximately $1 million of commissions to our sales agents.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in Subsidiaries</w:t>
      </w:r>
    </w:p>
    <w:p>
      <w:pPr>
        <w:spacing w:after="0" w:line="22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2014, noncontrolling interests in subsidiaries consisted of a 25% interest in SLC Pipeline LLC. On December 31, 2013, we purchased the noncontrolling interests in PNG, and PNG became our wholly-owned subsidiary (the “PNG Merger”).</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9—Equity-Indexed Compensation Plans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refer to the PAA LTIPs and AAP Management Units collectively as our “Equity-indexed compensation plans.” For additional discussion of our equity-indexed compensation plans and awards, see Note 15 to our Consolidated Financial Statements included in Part IV of our 2013 Annual Report on Form 10-K.</w:t>
      </w:r>
    </w:p>
    <w:p>
      <w:pPr>
        <w:spacing w:after="0" w:line="174"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PAA LTIP Awards. </w:t>
      </w:r>
      <w:r>
        <w:rPr>
          <w:rFonts w:ascii="Times New Roman" w:cs="Times New Roman" w:eastAsia="Times New Roman" w:hAnsi="Times New Roman"/>
          <w:sz w:val="18"/>
          <w:szCs w:val="18"/>
          <w:color w:val="auto"/>
        </w:rPr>
        <w:t>Our equity-indexed compensation activity for LTIP awards denominated in PAA units is summarized in the following table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9"/>
        </w:trPr>
        <w:tc>
          <w:tcPr>
            <w:tcW w:w="7380" w:type="dxa"/>
            <w:vAlign w:val="bottom"/>
          </w:tcPr>
          <w:p>
            <w:pPr>
              <w:spacing w:after="0"/>
              <w:rPr>
                <w:sz w:val="12"/>
                <w:szCs w:val="12"/>
                <w:color w:val="auto"/>
              </w:rPr>
            </w:pPr>
          </w:p>
        </w:tc>
        <w:tc>
          <w:tcPr>
            <w:tcW w:w="10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xml:space="preserve">Units </w:t>
            </w:r>
            <w:r>
              <w:rPr>
                <w:rFonts w:ascii="Times New Roman" w:cs="Times New Roman" w:eastAsia="Times New Roman" w:hAnsi="Times New Roman"/>
                <w:sz w:val="8"/>
                <w:szCs w:val="8"/>
                <w:b w:val="1"/>
                <w:bCs w:val="1"/>
                <w:color w:val="auto"/>
              </w:rPr>
              <w:t>(1)</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73"/>
        </w:trPr>
        <w:tc>
          <w:tcPr>
            <w:tcW w:w="73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 Value per Unit</w:t>
            </w:r>
          </w:p>
        </w:tc>
        <w:tc>
          <w:tcPr>
            <w:tcW w:w="0" w:type="dxa"/>
            <w:vAlign w:val="bottom"/>
          </w:tcPr>
          <w:p>
            <w:pPr>
              <w:spacing w:after="0"/>
              <w:rPr>
                <w:sz w:val="1"/>
                <w:szCs w:val="1"/>
                <w:color w:val="auto"/>
              </w:rPr>
            </w:pPr>
          </w:p>
        </w:tc>
      </w:tr>
      <w:tr>
        <w:trPr>
          <w:trHeight w:val="210"/>
        </w:trPr>
        <w:tc>
          <w:tcPr>
            <w:tcW w:w="7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45.02</w:t>
            </w:r>
          </w:p>
        </w:tc>
        <w:tc>
          <w:tcPr>
            <w:tcW w:w="0" w:type="dxa"/>
            <w:vAlign w:val="bottom"/>
          </w:tcPr>
          <w:p>
            <w:pPr>
              <w:spacing w:after="0" w:line="20" w:lineRule="exact"/>
              <w:rPr>
                <w:sz w:val="1"/>
                <w:szCs w:val="1"/>
                <w:color w:val="auto"/>
              </w:rPr>
            </w:pPr>
          </w:p>
        </w:tc>
      </w:tr>
      <w:tr>
        <w:trPr>
          <w:trHeight w:val="197"/>
        </w:trPr>
        <w:tc>
          <w:tcPr>
            <w:tcW w:w="73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2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3"/>
                <w:szCs w:val="23"/>
                <w:color w:val="auto"/>
                <w:vertAlign w:val="superscript"/>
              </w:rPr>
              <w:t>(2)</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34.78</w:t>
            </w:r>
          </w:p>
        </w:tc>
        <w:tc>
          <w:tcPr>
            <w:tcW w:w="0" w:type="dxa"/>
            <w:vAlign w:val="bottom"/>
          </w:tcPr>
          <w:p>
            <w:pPr>
              <w:spacing w:after="0"/>
              <w:rPr>
                <w:sz w:val="1"/>
                <w:szCs w:val="1"/>
                <w:color w:val="auto"/>
              </w:rPr>
            </w:pP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Cancelled or forfeited</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10"/>
        </w:trPr>
        <w:tc>
          <w:tcPr>
            <w:tcW w:w="7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2014</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37.55</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91" w:right="199" w:bottom="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do not include AAP Management Units.</w:t>
      </w:r>
    </w:p>
    <w:p>
      <w:pPr>
        <w:spacing w:after="0" w:line="225" w:lineRule="exact"/>
        <w:rPr>
          <w:sz w:val="20"/>
          <w:szCs w:val="20"/>
          <w:color w:val="auto"/>
        </w:rPr>
      </w:pPr>
    </w:p>
    <w:p>
      <w:pPr>
        <w:ind w:left="20" w:right="40" w:hanging="11"/>
        <w:spacing w:after="0" w:line="266" w:lineRule="auto"/>
        <w:rPr>
          <w:sz w:val="20"/>
          <w:szCs w:val="20"/>
          <w:color w:val="auto"/>
        </w:rPr>
      </w:pPr>
      <w:r>
        <w:rPr>
          <w:rFonts w:ascii="Times New Roman" w:cs="Times New Roman" w:eastAsia="Times New Roman" w:hAnsi="Times New Roman"/>
          <w:sz w:val="18"/>
          <w:szCs w:val="18"/>
          <w:color w:val="auto"/>
        </w:rPr>
        <w:t>Approximately 0.1 million PAA common units were issued, net of tax withholding of less than 0.1 million units, during the three months ended March 31, 2014 in connection with the settlement of vested awards. The remaining PAA awards that vested during the three months ended March 31, 2014 (less than 0.1 million units) were settled in cash.</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AAP Management Units. </w:t>
      </w:r>
      <w:r>
        <w:rPr>
          <w:rFonts w:ascii="Times New Roman" w:cs="Times New Roman" w:eastAsia="Times New Roman" w:hAnsi="Times New Roman"/>
          <w:sz w:val="18"/>
          <w:szCs w:val="18"/>
          <w:color w:val="auto"/>
        </w:rPr>
        <w:t>The following table contains a summary of AAP Management Units (in millions):</w:t>
      </w:r>
    </w:p>
    <w:p>
      <w:pPr>
        <w:spacing w:after="0" w:line="200" w:lineRule="exact"/>
        <w:rPr>
          <w:sz w:val="20"/>
          <w:szCs w:val="20"/>
          <w:color w:val="auto"/>
        </w:rPr>
      </w:pPr>
    </w:p>
    <w:p>
      <w:pPr>
        <w:sectPr>
          <w:pgSz w:w="11900" w:h="16838" w:orient="portrait"/>
          <w:cols w:equalWidth="0" w:num="2">
            <w:col w:w="140" w:space="500"/>
            <w:col w:w="10820"/>
          </w:cols>
          <w:pgMar w:left="240" w:top="91" w:right="199" w:bottom="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Reserved for Future</w:t>
            </w: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Outstanding Units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4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9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 Outstanding AAP</w:t>
            </w: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1480" w:type="dxa"/>
            <w:vAlign w:val="bottom"/>
            <w:gridSpan w:val="2"/>
            <w:vMerge w:val="continue"/>
          </w:tcPr>
          <w:p>
            <w:pPr>
              <w:spacing w:after="0"/>
              <w:rPr>
                <w:sz w:val="15"/>
                <w:szCs w:val="15"/>
                <w:color w:val="auto"/>
              </w:rPr>
            </w:pPr>
          </w:p>
        </w:tc>
        <w:tc>
          <w:tcPr>
            <w:tcW w:w="19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 xml:space="preserve">Management Units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2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w:t>
            </w:r>
          </w:p>
        </w:tc>
        <w:tc>
          <w:tcPr>
            <w:tcW w:w="280" w:type="dxa"/>
            <w:vAlign w:val="bottom"/>
            <w:vMerge w:val="continue"/>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w:t>
            </w:r>
          </w:p>
        </w:tc>
        <w:tc>
          <w:tcPr>
            <w:tcW w:w="240" w:type="dxa"/>
            <w:vAlign w:val="bottom"/>
            <w:vMerge w:val="continue"/>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w:t>
            </w:r>
          </w:p>
        </w:tc>
        <w:tc>
          <w:tcPr>
            <w:tcW w:w="194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17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2014</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2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120" w:hanging="652"/>
        <w:spacing w:after="0" w:line="229" w:lineRule="auto"/>
        <w:tabs>
          <w:tab w:leader="none" w:pos="64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the grant date fair value, approximately $1 million was recognized as expense during the three months ended March 31, 2014. Of the $62 million grant date fair value, approximately $50 million had been recognized through March 31, 2014.</w:t>
      </w:r>
    </w:p>
    <w:p>
      <w:pPr>
        <w:spacing w:after="0" w:line="196"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Equity-Indexed Compensation Information. </w:t>
      </w:r>
      <w:r>
        <w:rPr>
          <w:rFonts w:ascii="Times New Roman" w:cs="Times New Roman" w:eastAsia="Times New Roman" w:hAnsi="Times New Roman"/>
          <w:sz w:val="18"/>
          <w:szCs w:val="18"/>
          <w:color w:val="auto"/>
        </w:rPr>
        <w:t>The table below summarizes the expense recognized and the value of vesting (settled both in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cash) related to our equity-indexed compensation plans and includes both liability-classified and equity-classified awards (in millions):</w:t>
      </w:r>
    </w:p>
    <w:p>
      <w:pPr>
        <w:spacing w:after="0" w:line="154"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4200" w:type="dxa"/>
            <w:vAlign w:val="bottom"/>
            <w:tcBorders>
              <w:bottom w:val="single" w:sz="8" w:color="CCEEFF"/>
            </w:tcBorders>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4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LTIP unit-settled vestings</w:t>
            </w:r>
          </w:p>
        </w:tc>
        <w:tc>
          <w:tcPr>
            <w:tcW w:w="5120" w:type="dxa"/>
            <w:vAlign w:val="bottom"/>
            <w:gridSpan w:val="2"/>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 cash-settled vestings</w:t>
            </w:r>
          </w:p>
        </w:tc>
        <w:tc>
          <w:tcPr>
            <w:tcW w:w="5120" w:type="dxa"/>
            <w:vAlign w:val="bottom"/>
            <w:gridSpan w:val="2"/>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DER cash payments</w:t>
            </w:r>
          </w:p>
        </w:tc>
        <w:tc>
          <w:tcPr>
            <w:tcW w:w="5120" w:type="dxa"/>
            <w:vAlign w:val="bottom"/>
            <w:gridSpan w:val="2"/>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0"/>
                <w:szCs w:val="20"/>
                <w:color w:val="auto"/>
              </w:rPr>
            </w:pPr>
          </w:p>
        </w:tc>
      </w:tr>
      <w:tr>
        <w:trPr>
          <w:trHeight w:val="414"/>
        </w:trPr>
        <w:tc>
          <w:tcPr>
            <w:tcW w:w="4200" w:type="dxa"/>
            <w:vAlign w:val="bottom"/>
          </w:tcPr>
          <w:p>
            <w:pPr>
              <w:spacing w:after="0"/>
              <w:rPr>
                <w:sz w:val="24"/>
                <w:szCs w:val="24"/>
                <w:color w:val="auto"/>
              </w:rPr>
            </w:pPr>
          </w:p>
        </w:tc>
        <w:tc>
          <w:tcPr>
            <w:tcW w:w="4100" w:type="dxa"/>
            <w:vAlign w:val="bottom"/>
          </w:tcPr>
          <w:p>
            <w:pPr>
              <w:jc w:val="right"/>
              <w:ind w:right="241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200" w:type="dxa"/>
            <w:vAlign w:val="bottom"/>
            <w:tcBorders>
              <w:bottom w:val="single" w:sz="8" w:color="010101"/>
            </w:tcBorders>
          </w:tcPr>
          <w:p>
            <w:pPr>
              <w:spacing w:after="0"/>
              <w:rPr>
                <w:sz w:val="11"/>
                <w:szCs w:val="11"/>
                <w:color w:val="auto"/>
              </w:rPr>
            </w:pPr>
          </w:p>
        </w:tc>
        <w:tc>
          <w:tcPr>
            <w:tcW w:w="41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p>
    <w:p>
      <w:pPr>
        <w:sectPr>
          <w:pgSz w:w="11900" w:h="16838" w:orient="portrait"/>
          <w:cols w:equalWidth="0" w:num="1">
            <w:col w:w="11460"/>
          </w:cols>
          <w:pgMar w:left="240" w:top="91" w:right="199"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10—Derivatives and Risk Management Activities</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 Hedging</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78"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Commodity Purchases and Sales </w:t>
      </w:r>
      <w:r>
        <w:rPr>
          <w:rFonts w:ascii="Times New Roman" w:cs="Times New Roman" w:eastAsia="Times New Roman" w:hAnsi="Times New Roman"/>
          <w:sz w:val="18"/>
          <w:szCs w:val="18"/>
          <w:color w:val="auto"/>
        </w:rPr>
        <w:t>— In the normal course of our operations, we purchase and sell commodities. We use derivatives to manage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risks and to optimize profits. As of March 31, 2014, net derivative positions related to these activities included:</w:t>
      </w:r>
    </w:p>
    <w:p>
      <w:pPr>
        <w:spacing w:after="0" w:line="160" w:lineRule="exact"/>
        <w:rPr>
          <w:sz w:val="20"/>
          <w:szCs w:val="20"/>
          <w:color w:val="auto"/>
        </w:rPr>
      </w:pPr>
    </w:p>
    <w:p>
      <w:pPr>
        <w:ind w:left="1460" w:right="180" w:hanging="318"/>
        <w:spacing w:after="0" w:line="282" w:lineRule="auto"/>
        <w:tabs>
          <w:tab w:leader="none" w:pos="1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of 272,000 barrels per day net long position (total of 8.2 million barrels) associated with our crude oil purchases, which was unwound ratably during April 2014 to match monthly average pricing.</w:t>
      </w:r>
    </w:p>
    <w:p>
      <w:pPr>
        <w:spacing w:after="0" w:line="161" w:lineRule="exact"/>
        <w:rPr>
          <w:rFonts w:ascii="Times New Roman" w:cs="Times New Roman" w:eastAsia="Times New Roman" w:hAnsi="Times New Roman"/>
          <w:sz w:val="18"/>
          <w:szCs w:val="18"/>
          <w:color w:val="auto"/>
        </w:rPr>
      </w:pPr>
    </w:p>
    <w:p>
      <w:pPr>
        <w:ind w:left="1480" w:right="120" w:hanging="331"/>
        <w:spacing w:after="0" w:line="266" w:lineRule="auto"/>
        <w:tabs>
          <w:tab w:leader="none" w:pos="14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spread position averaging approximately 24,700 barrels per day (total of 9.8 million barrels), which hedges a portion of our anticipated crude oil lease gathering purchases through May 2015. These derivatives are time spreads consisting of offsetting purchases and sales between two different months. Our use of these derivatives does not expose us to outright price risk.</w:t>
      </w:r>
    </w:p>
    <w:p>
      <w:pPr>
        <w:spacing w:after="0" w:line="176" w:lineRule="exact"/>
        <w:rPr>
          <w:rFonts w:ascii="Times New Roman" w:cs="Times New Roman" w:eastAsia="Times New Roman" w:hAnsi="Times New Roman"/>
          <w:sz w:val="18"/>
          <w:szCs w:val="18"/>
          <w:color w:val="auto"/>
        </w:rPr>
      </w:pPr>
    </w:p>
    <w:p>
      <w:pPr>
        <w:ind w:left="1480" w:right="480" w:hanging="331"/>
        <w:spacing w:after="0" w:line="282" w:lineRule="auto"/>
        <w:tabs>
          <w:tab w:leader="none" w:pos="14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of 2,900 barrels per day (total of 1.1 million barrels) of butane/WTI spread positions, which hedge specific butane sales contracts that are priced as a percentage of WTI through March 2015.</w:t>
      </w:r>
    </w:p>
    <w:p>
      <w:pPr>
        <w:spacing w:after="0" w:line="161" w:lineRule="exact"/>
        <w:rPr>
          <w:rFonts w:ascii="Times New Roman" w:cs="Times New Roman" w:eastAsia="Times New Roman" w:hAnsi="Times New Roman"/>
          <w:sz w:val="18"/>
          <w:szCs w:val="18"/>
          <w:color w:val="auto"/>
        </w:rPr>
      </w:pPr>
    </w:p>
    <w:p>
      <w:pPr>
        <w:ind w:left="1480" w:right="180" w:hanging="331"/>
        <w:spacing w:after="0" w:line="282" w:lineRule="auto"/>
        <w:tabs>
          <w:tab w:leader="none" w:pos="14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of 19,000 barrels per day (total of 1.2 million barrels) of Brent/WTI spread positions, which hedge purchases based on WTI derived indices and sales based on Brent derived indices through June 2014.</w:t>
      </w:r>
    </w:p>
    <w:p>
      <w:pPr>
        <w:spacing w:after="0" w:line="161" w:lineRule="exact"/>
        <w:rPr>
          <w:rFonts w:ascii="Times New Roman" w:cs="Times New Roman" w:eastAsia="Times New Roman" w:hAnsi="Times New Roman"/>
          <w:sz w:val="18"/>
          <w:szCs w:val="18"/>
          <w:color w:val="auto"/>
        </w:rPr>
      </w:pPr>
    </w:p>
    <w:p>
      <w:pPr>
        <w:ind w:left="1440" w:hanging="298"/>
        <w:spacing w:after="0"/>
        <w:tabs>
          <w:tab w:leader="none" w:pos="1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long position of approximately 2.1 Bcf through April 2016 related to anticipated base gas requirements.</w:t>
      </w:r>
    </w:p>
    <w:p>
      <w:pPr>
        <w:spacing w:after="0" w:line="225" w:lineRule="exact"/>
        <w:rPr>
          <w:rFonts w:ascii="Times New Roman" w:cs="Times New Roman" w:eastAsia="Times New Roman" w:hAnsi="Times New Roman"/>
          <w:sz w:val="18"/>
          <w:szCs w:val="18"/>
          <w:color w:val="auto"/>
        </w:rPr>
      </w:pPr>
    </w:p>
    <w:p>
      <w:pPr>
        <w:ind w:left="1440" w:hanging="298"/>
        <w:spacing w:after="0"/>
        <w:tabs>
          <w:tab w:leader="none" w:pos="1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position of approximately 12.6 Bcf through July 2014 related to anticipated sales of natural gas inventory.</w:t>
      </w:r>
    </w:p>
    <w:p>
      <w:pPr>
        <w:spacing w:after="0" w:line="225" w:lineRule="exact"/>
        <w:rPr>
          <w:rFonts w:ascii="Times New Roman" w:cs="Times New Roman" w:eastAsia="Times New Roman" w:hAnsi="Times New Roman"/>
          <w:sz w:val="18"/>
          <w:szCs w:val="18"/>
          <w:color w:val="auto"/>
        </w:rPr>
      </w:pPr>
    </w:p>
    <w:p>
      <w:pPr>
        <w:ind w:left="1460" w:right="240" w:hanging="318"/>
        <w:spacing w:after="0" w:line="282" w:lineRule="auto"/>
        <w:tabs>
          <w:tab w:leader="none" w:pos="1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position of approximately 5.0 million barrels through March 2015 related to the anticipated sales of our crude oil, NGL and refined products inventory.</w:t>
      </w:r>
    </w:p>
    <w:p>
      <w:pPr>
        <w:spacing w:after="0" w:line="160"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Storage Capacity Utilization — </w:t>
      </w:r>
      <w:r>
        <w:rPr>
          <w:rFonts w:ascii="Times New Roman" w:cs="Times New Roman" w:eastAsia="Times New Roman" w:hAnsi="Times New Roman"/>
          <w:sz w:val="18"/>
          <w:szCs w:val="18"/>
          <w:color w:val="auto"/>
        </w:rPr>
        <w:t>We own a significant amount of crude oil, NGL and refined products storage capacity other than that used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operations. This storage may be leased to third parties or utilized in our own supply and logistics activities, including for the storage of inventory in a contango market. For capacity allocated to our supply and logistics operations, we have utilization risk in a backwardated market structure. As of March 31, 2014, we used derivatives to manage the risk of not utilizing approximately 0.5 million barrels of storage capacity through June 2014. These positions involve no outright price exposure, but instead enable us to profitably use the capacity to store hedged crude oil.</w:t>
      </w:r>
    </w:p>
    <w:p>
      <w:pPr>
        <w:spacing w:after="0" w:line="180"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Pipeline Loss Allowance Oil </w:t>
      </w:r>
      <w:r>
        <w:rPr>
          <w:rFonts w:ascii="Times New Roman" w:cs="Times New Roman" w:eastAsia="Times New Roman" w:hAnsi="Times New Roman"/>
          <w:sz w:val="18"/>
          <w:szCs w:val="18"/>
          <w:color w:val="auto"/>
        </w:rPr>
        <w:t>— As is common in the pipeline transportation industry, our tariffs incorporate a loss allowance factor that is intended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offset losses due to evaporation, measurement and other losses in transit. We utilize derivative instruments to hedge a portion of the anticipated sales of the allowance oil that is to be collected under our tariffs. As of March 31, 2014, our PLA hedges included a net short position for an average of approximately 1,800 barrels per day (total of 1.1 million barrels) through December 2015 and a long call option position of approximately 0.4 million barrels through December 2015.</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Natural Gas Processing/NGL Fractionation </w:t>
      </w:r>
      <w:r>
        <w:rPr>
          <w:rFonts w:ascii="Times New Roman" w:cs="Times New Roman" w:eastAsia="Times New Roman" w:hAnsi="Times New Roman"/>
          <w:sz w:val="18"/>
          <w:szCs w:val="18"/>
          <w:color w:val="auto"/>
        </w:rPr>
        <w:t>— As part of our supply and logistics activities, we purchase natural gas for processing and NGL mix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fractionation, and we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March 31, 2014, we had a long natural gas position of approximately 21.8 Bcf through December 2015, a short propane position of approximately 3.8 million barrels through December 2015, a short butane position of approximately 1.2 million barrels through December 2015 and a short WTI position of approximately 0.4 million barrels through December 2015. In addition, we had a long power position of 0.7 million megawatt hours which hedges a portion of our power supply requirements at our natural gas processing and fractionation plants through December 2016.</w:t>
      </w:r>
    </w:p>
    <w:p>
      <w:pPr>
        <w:spacing w:after="0" w:line="18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All of our commodity derivatives that qualify for hedge accounting are designated as cash flow hedges. We have determined that substantially all of our physical purchase and sale agreements qualify for the normal purchase normal sale scope exception. Physical commodity contracts that meet the definition of a derivative but are ineligible, or not designated, for the normal purchase normal sale scope exception are recorded on the balance sheet at fair value, with changes in fair value recognized in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Hedging</w:t>
      </w:r>
    </w:p>
    <w:p>
      <w:pPr>
        <w:sectPr>
          <w:pgSz w:w="11900" w:h="16838" w:orient="portrait"/>
          <w:cols w:equalWidth="0" w:num="1">
            <w:col w:w="11400"/>
          </w:cols>
          <w:pgMar w:left="240" w:top="117" w:right="259" w:bottom="0" w:gutter="0" w:footer="0" w:header="0"/>
        </w:sectPr>
      </w:pPr>
    </w:p>
    <w:bookmarkStart w:id="11" w:name="page12"/>
    <w:bookmarkEnd w:id="11"/>
    <w:p>
      <w:pPr>
        <w:spacing w:after="0" w:line="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use interest rate derivatives to hedge interest rate risk associated with anticipated debt issuances and outstanding debt instruments. The derivative instruments we use to manage this risk consist primarily of interest rate swaps and treasury locks. As of March 31, 2014, AOCI includes deferred losses of approximately $83 million that relate to open and terminated interest rate derivatives that were designated for hedge accounting.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8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forward starting interest rate swaps to hedge the underlying benchmark interest rate related to forecasted debt issuances through 2015. The following table summarizes the terms of our forward starting interest rate swaps as of March 31, 2014 (notional amounts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Hedged Transaction</w:t>
            </w:r>
          </w:p>
        </w:tc>
        <w:tc>
          <w:tcPr>
            <w:tcW w:w="2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and Types of</w:t>
            </w:r>
          </w:p>
        </w:tc>
        <w:tc>
          <w:tcPr>
            <w:tcW w:w="200" w:type="dxa"/>
            <w:vAlign w:val="bottom"/>
          </w:tcPr>
          <w:p>
            <w:pPr>
              <w:spacing w:after="0"/>
              <w:rPr>
                <w:sz w:val="13"/>
                <w:szCs w:val="13"/>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36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73"/>
        </w:trPr>
        <w:tc>
          <w:tcPr>
            <w:tcW w:w="3440" w:type="dxa"/>
            <w:vAlign w:val="bottom"/>
            <w:gridSpan w:val="2"/>
            <w:vMerge w:val="continue"/>
          </w:tcPr>
          <w:p>
            <w:pPr>
              <w:spacing w:after="0"/>
              <w:rPr>
                <w:sz w:val="15"/>
                <w:szCs w:val="15"/>
                <w:color w:val="auto"/>
              </w:rPr>
            </w:pPr>
          </w:p>
        </w:tc>
        <w:tc>
          <w:tcPr>
            <w:tcW w:w="2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Derivatives Employed</w:t>
            </w:r>
          </w:p>
        </w:tc>
        <w:tc>
          <w:tcPr>
            <w:tcW w:w="20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36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Locked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0" w:type="dxa"/>
            <w:vAlign w:val="bottom"/>
          </w:tcPr>
          <w:p>
            <w:pPr>
              <w:spacing w:after="0"/>
              <w:rPr>
                <w:sz w:val="1"/>
                <w:szCs w:val="1"/>
                <w:color w:val="auto"/>
              </w:rPr>
            </w:pPr>
          </w:p>
        </w:tc>
      </w:tr>
      <w:tr>
        <w:trPr>
          <w:trHeight w:val="191"/>
        </w:trPr>
        <w:tc>
          <w:tcPr>
            <w:tcW w:w="31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Anticipated debt offering</w:t>
            </w:r>
          </w:p>
        </w:tc>
        <w:tc>
          <w:tcPr>
            <w:tcW w:w="30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 forward starting swaps</w:t>
            </w:r>
          </w:p>
        </w:tc>
        <w:tc>
          <w:tcPr>
            <w:tcW w:w="3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250</w:t>
            </w: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6/15/2015</w:t>
            </w: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3.60</w:t>
            </w:r>
          </w:p>
        </w:tc>
        <w:tc>
          <w:tcPr>
            <w:tcW w:w="220" w:type="dxa"/>
            <w:vAlign w:val="bottom"/>
            <w:tcBorders>
              <w:top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Cash flow</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8"/>
              </w:rPr>
              <w:t>(30-year)</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hedge</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anticipation of our April 2014 issuance of senior notes, we entered into four treasury lock agreements in March 2014 for a combined notional amount of $200 million at a locked in rate of 3.64%. In addition, we entered into a treasury lock agreement in April 2014 for a notional amount of $50 million. The treasury locks were designated as cash flow hedges, thus changes in fair value are deferred in AOCI. In connection with our April 2014 senior notes issuance, these treasury locks were terminated prior to maturity for an aggregate cash payment of approximately $7 million. The effective portion of the treasury locks will be deferred in AOCI and amortized to interest expense over the life of the senior notes.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Rate Risk Hedging</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Because a significant portion of our Canadian business is conducted in CAD and, at times, a portion of our debt is denominated in CAD, we use foreign currency derivatives to minimize the risks of unfavorable changes in exchange rates. These instruments include foreign currency exchange contracts and forwards.</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As of March 31, 2014, our outstanding foreign currency derivatives include derivatives we use to (i) hedge currency exchange risk associated with USD-denominated commodity purchases and sales in Canada and (ii) hedge currency exchange risk created by the use of USD-denominated commodity derivatives to hedge commodity price risk associated with CAD-denominated commodity purchases and sales.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open forward exchange contracts as of March 31, 2014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CAD</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Exchange Rate USD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 CAD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Forward exchange contracts that exchange CAD for USD:</w:t>
            </w: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2014</w:t>
            </w:r>
          </w:p>
        </w:tc>
        <w:tc>
          <w:tcPr>
            <w:tcW w:w="940" w:type="dxa"/>
            <w:vAlign w:val="bottom"/>
            <w:gridSpan w:val="2"/>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265</w:t>
            </w:r>
          </w:p>
        </w:tc>
        <w:tc>
          <w:tcPr>
            <w:tcW w:w="7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c>
          <w:tcPr>
            <w:tcW w:w="2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$1.00 - $1.11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$1.00 - $1.11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Borders>
              <w:bottom w:val="single" w:sz="8" w:color="CCEEFF"/>
            </w:tcBorders>
          </w:tcPr>
          <w:p>
            <w:pPr>
              <w:spacing w:after="0"/>
              <w:rPr>
                <w:sz w:val="21"/>
                <w:szCs w:val="21"/>
                <w:color w:val="auto"/>
              </w:rPr>
            </w:pPr>
          </w:p>
        </w:tc>
        <w:tc>
          <w:tcPr>
            <w:tcW w:w="248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$1.00 - $1.11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Forward exchange contracts that exchange USD for CAD: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2014</w:t>
            </w:r>
          </w:p>
        </w:tc>
        <w:tc>
          <w:tcPr>
            <w:tcW w:w="940" w:type="dxa"/>
            <w:vAlign w:val="bottom"/>
            <w:gridSpan w:val="2"/>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265</w:t>
            </w: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24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$1.00 - $1.10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7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2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$1.00 - $1.06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80" w:type="dxa"/>
            <w:vAlign w:val="bottom"/>
            <w:tcBorders>
              <w:top w:val="single" w:sz="8" w:color="CCEEFF"/>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$1.00 - $1.10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position by currency:</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2014</w:t>
            </w:r>
          </w:p>
        </w:tc>
        <w:tc>
          <w:tcPr>
            <w:tcW w:w="940" w:type="dxa"/>
            <w:vAlign w:val="bottom"/>
            <w:gridSpan w:val="2"/>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Financial Impact</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cash flows from operating activities in our condensed consolidated statements of cash flows.</w:t>
      </w:r>
    </w:p>
    <w:p>
      <w:pPr>
        <w:spacing w:after="0" w:line="18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 summary of the impact of our derivative activities recognized in earnings for the three months ended March 31, 2014 and 2013 is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2014</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2013</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5"/>
          </w:tcPr>
          <w:p>
            <w:pPr>
              <w:jc w:val="center"/>
              <w:ind w:right="44"/>
              <w:spacing w:after="0" w:line="118" w:lineRule="exact"/>
              <w:rPr>
                <w:sz w:val="20"/>
                <w:szCs w:val="20"/>
                <w:color w:val="auto"/>
              </w:rPr>
            </w:pPr>
            <w:r>
              <w:rPr>
                <w:rFonts w:ascii="Times New Roman" w:cs="Times New Roman" w:eastAsia="Times New Roman" w:hAnsi="Times New Roman"/>
                <w:sz w:val="13"/>
                <w:szCs w:val="13"/>
                <w:b w:val="1"/>
                <w:bCs w:val="1"/>
                <w:color w:val="auto"/>
              </w:rPr>
              <w:t>Derivatives in Hedging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gridSpan w:val="5"/>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Derivatives in Hedging</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00" w:type="dxa"/>
            <w:vAlign w:val="bottom"/>
          </w:tcPr>
          <w:p>
            <w:pPr>
              <w:spacing w:after="0"/>
              <w:rPr>
                <w:sz w:val="15"/>
                <w:szCs w:val="15"/>
                <w:color w:val="auto"/>
              </w:rPr>
            </w:pPr>
          </w:p>
        </w:tc>
        <w:tc>
          <w:tcPr>
            <w:tcW w:w="10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Gain/(loss)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Gain/(loss)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7"/>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Designated</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7"/>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Designated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as a</w:t>
            </w:r>
          </w:p>
        </w:tc>
        <w:tc>
          <w:tcPr>
            <w:tcW w:w="8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7"/>
              <w:spacing w:after="0" w:line="149"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a</w:t>
            </w:r>
          </w:p>
        </w:tc>
        <w:tc>
          <w:tcPr>
            <w:tcW w:w="20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Hedge</w:t>
            </w: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 xml:space="preserve">income </w:t>
            </w:r>
            <w:r>
              <w:rPr>
                <w:rFonts w:ascii="Times New Roman" w:cs="Times New Roman" w:eastAsia="Times New Roman" w:hAnsi="Times New Roman"/>
                <w:sz w:val="8"/>
                <w:szCs w:val="8"/>
                <w:b w:val="1"/>
                <w:bCs w:val="1"/>
                <w:color w:val="auto"/>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Hedge</w:t>
            </w:r>
          </w:p>
        </w:tc>
        <w:tc>
          <w:tcPr>
            <w:tcW w:w="2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Commodity Derivatives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Supply and Logistics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right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12" w:name="page13"/>
    <w:bookmarkEnd w:id="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Facilities segment revenues</w:t>
            </w:r>
          </w:p>
        </w:tc>
        <w:tc>
          <w:tcPr>
            <w:tcW w:w="3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Field operating costs</w:t>
            </w:r>
          </w:p>
        </w:tc>
        <w:tc>
          <w:tcPr>
            <w:tcW w:w="3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Rate Derivatives</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Supply and Logistics segment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shd w:val="clear" w:color="auto" w:fill="CCEEFF"/>
          </w:tcPr>
          <w:p>
            <w:pPr>
              <w:spacing w:after="0"/>
              <w:rPr>
                <w:sz w:val="20"/>
                <w:szCs w:val="20"/>
                <w:color w:val="auto"/>
              </w:rPr>
            </w:pPr>
          </w:p>
        </w:tc>
        <w:tc>
          <w:tcPr>
            <w:tcW w:w="72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Gain/(Loss) on</w:t>
            </w: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Derivatives Recognized in</w:t>
            </w:r>
          </w:p>
        </w:tc>
        <w:tc>
          <w:tcPr>
            <w:tcW w:w="380" w:type="dxa"/>
            <w:vAlign w:val="bottom"/>
            <w:vMerge w:val="restart"/>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  $</w:t>
            </w:r>
          </w:p>
        </w:tc>
        <w:tc>
          <w:tcPr>
            <w:tcW w:w="1120" w:type="dxa"/>
            <w:vAlign w:val="bottom"/>
            <w:gridSpan w:val="3"/>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  $</w:t>
            </w:r>
          </w:p>
        </w:tc>
        <w:tc>
          <w:tcPr>
            <w:tcW w:w="7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vMerge w:val="continue"/>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1120" w:type="dxa"/>
            <w:vAlign w:val="bottom"/>
            <w:gridSpan w:val="3"/>
            <w:vMerge w:val="continue"/>
            <w:shd w:val="clear" w:color="auto" w:fill="CCEEFF"/>
          </w:tcPr>
          <w:p>
            <w:pPr>
              <w:spacing w:after="0"/>
              <w:rPr>
                <w:sz w:val="19"/>
                <w:szCs w:val="19"/>
                <w:color w:val="auto"/>
              </w:rPr>
            </w:pPr>
          </w:p>
        </w:tc>
        <w:tc>
          <w:tcPr>
            <w:tcW w:w="1100" w:type="dxa"/>
            <w:vAlign w:val="bottom"/>
            <w:gridSpan w:val="3"/>
            <w:vMerge w:val="continue"/>
            <w:shd w:val="clear" w:color="auto" w:fill="CCEEFF"/>
          </w:tcPr>
          <w:p>
            <w:pPr>
              <w:spacing w:after="0"/>
              <w:rPr>
                <w:sz w:val="19"/>
                <w:szCs w:val="19"/>
                <w:color w:val="auto"/>
              </w:rPr>
            </w:pPr>
          </w:p>
        </w:tc>
        <w:tc>
          <w:tcPr>
            <w:tcW w:w="720" w:type="dxa"/>
            <w:vAlign w:val="bottom"/>
            <w:tcBorders>
              <w:right w:val="single" w:sz="8" w:color="auto"/>
            </w:tcBorders>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80" w:type="dxa"/>
            <w:vAlign w:val="bottom"/>
            <w:gridSpan w:val="3"/>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right="180" w:hanging="652"/>
        <w:spacing w:after="0" w:line="235" w:lineRule="auto"/>
        <w:tabs>
          <w:tab w:leader="none" w:pos="64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March 31, 2013 we reclassified a gain of approximately $2 million from AOCI to Supply and Logistics segment revenues as a result of anticipated hedged transactions that are probable of not occurring. During the three months ended March 31, 2014, all of our hedged transactions were probable of occurring.</w:t>
      </w:r>
    </w:p>
    <w:p>
      <w:pPr>
        <w:spacing w:after="0" w:line="20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derivative assets and liabilities on our condensed consolidated balance sheet on a gross basis as of March 31, 2014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1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Borders>
              <w:bottom w:val="single" w:sz="8" w:color="auto"/>
            </w:tcBorders>
            <w:gridSpan w:val="3"/>
          </w:tcPr>
          <w:p>
            <w:pPr>
              <w:ind w:left="134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Balance Sheet</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0"/>
                <w:szCs w:val="10"/>
                <w:color w:val="auto"/>
              </w:rPr>
            </w:pPr>
          </w:p>
        </w:tc>
        <w:tc>
          <w:tcPr>
            <w:tcW w:w="2580" w:type="dxa"/>
            <w:vAlign w:val="bottom"/>
            <w:gridSpan w:val="2"/>
          </w:tcPr>
          <w:p>
            <w:pPr>
              <w:ind w:left="720"/>
              <w:spacing w:after="0" w:line="118" w:lineRule="exact"/>
              <w:rPr>
                <w:sz w:val="20"/>
                <w:szCs w:val="20"/>
                <w:color w:val="auto"/>
              </w:rPr>
            </w:pPr>
            <w:r>
              <w:rPr>
                <w:rFonts w:ascii="Times New Roman" w:cs="Times New Roman" w:eastAsia="Times New Roman" w:hAnsi="Times New Roman"/>
                <w:sz w:val="13"/>
                <w:szCs w:val="13"/>
                <w:b w:val="1"/>
                <w:bCs w:val="1"/>
                <w:color w:val="auto"/>
              </w:rPr>
              <w:t>Balance Sheet</w:t>
            </w:r>
          </w:p>
        </w:tc>
        <w:tc>
          <w:tcPr>
            <w:tcW w:w="220" w:type="dxa"/>
            <w:vAlign w:val="bottom"/>
          </w:tcPr>
          <w:p>
            <w:pPr>
              <w:spacing w:after="0"/>
              <w:rPr>
                <w:sz w:val="10"/>
                <w:szCs w:val="10"/>
                <w:color w:val="auto"/>
              </w:rPr>
            </w:pPr>
          </w:p>
        </w:tc>
        <w:tc>
          <w:tcPr>
            <w:tcW w:w="12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Derivatives designated as hedging</w:t>
            </w:r>
          </w:p>
        </w:tc>
        <w:tc>
          <w:tcPr>
            <w:tcW w:w="180" w:type="dxa"/>
            <w:vAlign w:val="bottom"/>
            <w:tcBorders>
              <w:top w:val="single" w:sz="8" w:color="CCEEFF"/>
            </w:tcBorders>
            <w:shd w:val="clear" w:color="auto" w:fill="CCEEFF"/>
          </w:tcPr>
          <w:p>
            <w:pPr>
              <w:spacing w:after="0"/>
              <w:rPr>
                <w:sz w:val="15"/>
                <w:szCs w:val="15"/>
                <w:color w:val="auto"/>
              </w:rPr>
            </w:pPr>
          </w:p>
        </w:tc>
        <w:tc>
          <w:tcPr>
            <w:tcW w:w="20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vMerge w:val="restart"/>
          </w:tcPr>
          <w:p>
            <w:pPr>
              <w:ind w:left="160"/>
              <w:spacing w:after="0" w:line="198" w:lineRule="exact"/>
              <w:rPr>
                <w:sz w:val="20"/>
                <w:szCs w:val="20"/>
                <w:color w:val="auto"/>
              </w:rPr>
            </w:pPr>
            <w:r>
              <w:rPr>
                <w:rFonts w:ascii="Times New Roman" w:cs="Times New Roman" w:eastAsia="Times New Roman" w:hAnsi="Times New Roman"/>
                <w:sz w:val="18"/>
                <w:szCs w:val="18"/>
                <w:color w:val="auto"/>
              </w:rPr>
              <w:t>Total derivatives designated as hedging</w:t>
            </w: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00" w:type="dxa"/>
            <w:vAlign w:val="bottom"/>
            <w:vMerge w:val="restart"/>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instruments</w:t>
            </w:r>
          </w:p>
        </w:tc>
        <w:tc>
          <w:tcPr>
            <w:tcW w:w="1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00" w:type="dxa"/>
            <w:vAlign w:val="bottom"/>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2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vMerge w:val="restart"/>
          </w:tcPr>
          <w:p>
            <w:pPr>
              <w:ind w:left="160"/>
              <w:spacing w:after="0" w:line="198" w:lineRule="exact"/>
              <w:rPr>
                <w:sz w:val="20"/>
                <w:szCs w:val="20"/>
                <w:color w:val="auto"/>
              </w:rPr>
            </w:pPr>
            <w:r>
              <w:rPr>
                <w:rFonts w:ascii="Times New Roman" w:cs="Times New Roman" w:eastAsia="Times New Roman" w:hAnsi="Times New Roman"/>
                <w:sz w:val="18"/>
                <w:szCs w:val="18"/>
                <w:color w:val="auto"/>
              </w:rPr>
              <w:t>Total derivatives not designated as</w:t>
            </w: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00" w:type="dxa"/>
            <w:vAlign w:val="bottom"/>
            <w:vMerge w:val="restart"/>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hedging instruments</w:t>
            </w:r>
          </w:p>
        </w:tc>
        <w:tc>
          <w:tcPr>
            <w:tcW w:w="1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00" w:type="dxa"/>
            <w:vAlign w:val="bottom"/>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derivatives</w:t>
            </w:r>
          </w:p>
        </w:tc>
        <w:tc>
          <w:tcPr>
            <w:tcW w:w="1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derivative assets and liabilities on our condensed consolidated balance sheet on a gross basis as of December 31, 2013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1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Balance Sheet</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0"/>
                <w:szCs w:val="10"/>
                <w:color w:val="auto"/>
              </w:rPr>
            </w:pPr>
          </w:p>
        </w:tc>
        <w:tc>
          <w:tcPr>
            <w:tcW w:w="2560" w:type="dxa"/>
            <w:vAlign w:val="bottom"/>
            <w:gridSpan w:val="2"/>
          </w:tcPr>
          <w:p>
            <w:pPr>
              <w:ind w:left="700"/>
              <w:spacing w:after="0" w:line="118" w:lineRule="exact"/>
              <w:rPr>
                <w:sz w:val="20"/>
                <w:szCs w:val="20"/>
                <w:color w:val="auto"/>
              </w:rPr>
            </w:pPr>
            <w:r>
              <w:rPr>
                <w:rFonts w:ascii="Times New Roman" w:cs="Times New Roman" w:eastAsia="Times New Roman" w:hAnsi="Times New Roman"/>
                <w:sz w:val="13"/>
                <w:szCs w:val="13"/>
                <w:b w:val="1"/>
                <w:bCs w:val="1"/>
                <w:color w:val="auto"/>
              </w:rPr>
              <w:t>Balance Sheet</w:t>
            </w:r>
          </w:p>
        </w:tc>
        <w:tc>
          <w:tcPr>
            <w:tcW w:w="220" w:type="dxa"/>
            <w:vAlign w:val="bottom"/>
          </w:tcPr>
          <w:p>
            <w:pPr>
              <w:spacing w:after="0"/>
              <w:rPr>
                <w:sz w:val="10"/>
                <w:szCs w:val="10"/>
                <w:color w:val="auto"/>
              </w:rPr>
            </w:pPr>
          </w:p>
        </w:tc>
        <w:tc>
          <w:tcPr>
            <w:tcW w:w="12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Derivatives designated as hedging</w:t>
            </w:r>
          </w:p>
        </w:tc>
        <w:tc>
          <w:tcPr>
            <w:tcW w:w="180" w:type="dxa"/>
            <w:vAlign w:val="bottom"/>
            <w:tcBorders>
              <w:top w:val="single" w:sz="8" w:color="CCEEFF"/>
            </w:tcBorders>
            <w:shd w:val="clear" w:color="auto" w:fill="CCEEFF"/>
          </w:tcPr>
          <w:p>
            <w:pPr>
              <w:spacing w:after="0"/>
              <w:rPr>
                <w:sz w:val="15"/>
                <w:szCs w:val="15"/>
                <w:color w:val="auto"/>
              </w:rPr>
            </w:pPr>
          </w:p>
        </w:tc>
        <w:tc>
          <w:tcPr>
            <w:tcW w:w="20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2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shd w:val="clear" w:color="auto" w:fill="CCEEFF"/>
          </w:tcPr>
          <w:p>
            <w:pPr>
              <w:ind w:left="160"/>
              <w:spacing w:after="0" w:line="178" w:lineRule="exact"/>
              <w:rPr>
                <w:sz w:val="20"/>
                <w:szCs w:val="20"/>
                <w:color w:val="auto"/>
              </w:rPr>
            </w:pPr>
            <w:r>
              <w:rPr>
                <w:rFonts w:ascii="Times New Roman" w:cs="Times New Roman" w:eastAsia="Times New Roman" w:hAnsi="Times New Roman"/>
                <w:sz w:val="18"/>
                <w:szCs w:val="18"/>
                <w:color w:val="auto"/>
              </w:rPr>
              <w:t>Total derivatives designated as hedging</w:t>
            </w:r>
          </w:p>
        </w:tc>
        <w:tc>
          <w:tcPr>
            <w:tcW w:w="18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instruments</w:t>
            </w: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30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1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60"/>
          </w:cols>
          <w:pgMar w:left="240" w:top="140" w:right="19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derivatives not designated as</w:t>
            </w:r>
          </w:p>
        </w:tc>
        <w:tc>
          <w:tcPr>
            <w:tcW w:w="15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220" w:type="dxa"/>
            <w:vAlign w:val="bottom"/>
            <w:vMerge w:val="continue"/>
            <w:shd w:val="clear" w:color="auto" w:fill="CCEEFF"/>
          </w:tcPr>
          <w:p>
            <w:pPr>
              <w:spacing w:after="0"/>
              <w:rPr>
                <w:sz w:val="15"/>
                <w:szCs w:val="15"/>
                <w:color w:val="auto"/>
              </w:rPr>
            </w:pPr>
          </w:p>
        </w:tc>
        <w:tc>
          <w:tcPr>
            <w:tcW w:w="1540" w:type="dxa"/>
            <w:vAlign w:val="bottom"/>
            <w:vMerge w:val="restart"/>
            <w:shd w:val="clear" w:color="auto" w:fill="CCEEFF"/>
          </w:tcPr>
          <w:p>
            <w:pPr>
              <w:spacing w:after="0"/>
              <w:rPr>
                <w:sz w:val="15"/>
                <w:szCs w:val="15"/>
                <w:color w:val="auto"/>
              </w:rPr>
            </w:pPr>
          </w:p>
        </w:tc>
        <w:tc>
          <w:tcPr>
            <w:tcW w:w="60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right w:val="single" w:sz="8" w:color="auto"/>
            </w:tcBorders>
            <w:vMerge w:val="restart"/>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1"/>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hedging instruments</w:t>
            </w:r>
          </w:p>
        </w:tc>
        <w:tc>
          <w:tcPr>
            <w:tcW w:w="154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vMerge w:val="continue"/>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derivatives</w:t>
            </w:r>
          </w:p>
        </w:tc>
        <w:tc>
          <w:tcPr>
            <w:tcW w:w="214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266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our performance obligations. If a default were to occur, both parties have the right to net amounts payable and receivable into a single net settlement between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March 31, 2014, we had a net broker receivable of approximately $43 million (consisting of initial margin of $65 million reduced by $22 million of variation margin that had been returned to us). As of December 31, 2013, we had a net broker receivable of approximately $161 million (consisting of initial margin of $85 million increased by $76 million of variation margin that had been posted by us).</w:t>
      </w:r>
    </w:p>
    <w:p>
      <w:pPr>
        <w:spacing w:after="0" w:line="1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derivatives and financial assets and liabilities that are subject to offsetting, including enforceable master netting arrangements at March 31, 2014 and December 31, 2013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4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Derivative</w:t>
            </w: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4"/>
              <w:spacing w:after="0" w:line="118" w:lineRule="exact"/>
              <w:rPr>
                <w:sz w:val="20"/>
                <w:szCs w:val="20"/>
                <w:color w:val="auto"/>
              </w:rPr>
            </w:pPr>
            <w:r>
              <w:rPr>
                <w:rFonts w:ascii="Times New Roman" w:cs="Times New Roman" w:eastAsia="Times New Roman" w:hAnsi="Times New Roman"/>
                <w:sz w:val="13"/>
                <w:szCs w:val="13"/>
                <w:b w:val="1"/>
                <w:bCs w:val="1"/>
                <w:color w:val="auto"/>
              </w:rPr>
              <w:t>Derivative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4"/>
              <w:spacing w:after="0" w:line="118" w:lineRule="exact"/>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Asset Positions</w:t>
            </w:r>
          </w:p>
        </w:tc>
        <w:tc>
          <w:tcPr>
            <w:tcW w:w="12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Liability Positions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Asset Positions</w:t>
            </w:r>
          </w:p>
        </w:tc>
        <w:tc>
          <w:tcPr>
            <w:tcW w:w="100" w:type="dxa"/>
            <w:vAlign w:val="bottom"/>
          </w:tcPr>
          <w:p>
            <w:pPr>
              <w:spacing w:after="0"/>
              <w:rPr>
                <w:sz w:val="15"/>
                <w:szCs w:val="15"/>
                <w:color w:val="auto"/>
              </w:rPr>
            </w:pP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Liability Positions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Netting Adjustments: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Gross position - asset/(liability)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Netting adjustment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9"/>
              </w:rPr>
              <w:t>(77)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Cash collateral paid/(received)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left="935"/>
              <w:spacing w:after="0"/>
              <w:rPr>
                <w:sz w:val="20"/>
                <w:szCs w:val="20"/>
                <w:color w:val="auto"/>
              </w:rPr>
            </w:pPr>
            <w:r>
              <w:rPr>
                <w:rFonts w:ascii="Times New Roman" w:cs="Times New Roman" w:eastAsia="Times New Roman" w:hAnsi="Times New Roman"/>
                <w:sz w:val="18"/>
                <w:szCs w:val="18"/>
                <w:color w:val="auto"/>
                <w:w w:val="99"/>
              </w:rPr>
              <w:t>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position - asset/(liability)</w:t>
            </w:r>
          </w:p>
        </w:tc>
        <w:tc>
          <w:tcPr>
            <w:tcW w:w="5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107</w:t>
            </w:r>
          </w:p>
        </w:tc>
        <w:tc>
          <w:tcPr>
            <w:tcW w:w="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 After Netting Adjustments: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ind w:left="935"/>
              <w:spacing w:after="0"/>
              <w:rPr>
                <w:sz w:val="20"/>
                <w:szCs w:val="20"/>
                <w:color w:val="auto"/>
              </w:rPr>
            </w:pPr>
            <w:r>
              <w:rPr>
                <w:rFonts w:ascii="Times New Roman" w:cs="Times New Roman" w:eastAsia="Times New Roman" w:hAnsi="Times New Roman"/>
                <w:sz w:val="18"/>
                <w:szCs w:val="18"/>
                <w:color w:val="auto"/>
                <w:w w:val="99"/>
              </w:rPr>
              <w:t>96</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955"/>
              <w:spacing w:after="0"/>
              <w:rPr>
                <w:sz w:val="20"/>
                <w:szCs w:val="20"/>
                <w:color w:val="auto"/>
              </w:rPr>
            </w:pPr>
            <w:r>
              <w:rPr>
                <w:rFonts w:ascii="Times New Roman" w:cs="Times New Roman" w:eastAsia="Times New Roman" w:hAnsi="Times New Roman"/>
                <w:sz w:val="18"/>
                <w:szCs w:val="18"/>
                <w:color w:val="auto"/>
                <w:w w:val="88"/>
              </w:rPr>
              <w:t>11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left="635"/>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107</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of March 31, 2014, there was a net loss of approximately $89 million deferred in AOCI including tax effects.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March 31, 2014, we expect to reclassify a net gain of approximately $1 million to earnings in the next twelve months. The remaining deferred loss of approximately $90 million is expected to be reclassified to earnings through 2045. A portion of these amounts are based on market prices as of March 31, 2014; thus, actual amounts to be reclassified will differ and could vary materially as a result of changes in market conditions.</w:t>
      </w:r>
    </w:p>
    <w:p>
      <w:pPr>
        <w:spacing w:after="0" w:line="18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net deferred gain/(loss), including tax effects, recognized in AOCI for derivatives for the three months ended March 31, 2014 and 2013 are as follows (in millions):</w:t>
      </w:r>
    </w:p>
    <w:p>
      <w:pPr>
        <w:spacing w:after="0" w:line="155"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16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derivatives, net</w:t>
            </w:r>
          </w:p>
        </w:tc>
        <w:tc>
          <w:tcPr>
            <w:tcW w:w="3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73"/>
              </w:rPr>
              <w:t>(12)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derivatives, net</w:t>
            </w:r>
          </w:p>
        </w:tc>
        <w:tc>
          <w:tcPr>
            <w:tcW w:w="3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1"/>
              </w:rPr>
              <w:t>(32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At March 31, 2014 and December 31, 2013,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as of March 31, 2014 and December 31, 2013 (in millions):</w:t>
      </w:r>
    </w:p>
    <w:p>
      <w:pPr>
        <w:sectPr>
          <w:pgSz w:w="11900" w:h="16838" w:orient="portrait"/>
          <w:cols w:equalWidth="0" w:num="1">
            <w:col w:w="11420"/>
          </w:cols>
          <w:pgMar w:left="240" w:top="140" w:right="239" w:bottom="0" w:gutter="0" w:footer="0" w:header="0"/>
        </w:sectPr>
      </w:pPr>
    </w:p>
    <w:bookmarkStart w:id="14" w:name="page15"/>
    <w:bookmarkEnd w:id="14"/>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Recurring Fair Value Measures </w:t>
            </w:r>
            <w:r>
              <w:rPr>
                <w:rFonts w:ascii="Times New Roman" w:cs="Times New Roman" w:eastAsia="Times New Roman" w:hAnsi="Times New Roman"/>
                <w:sz w:val="8"/>
                <w:szCs w:val="8"/>
                <w:b w:val="1"/>
                <w:bCs w:val="1"/>
                <w:color w:val="auto"/>
              </w:rPr>
              <w:t>(1)</w:t>
            </w:r>
          </w:p>
        </w:tc>
        <w:tc>
          <w:tcPr>
            <w:tcW w:w="180" w:type="dxa"/>
            <w:vAlign w:val="bottom"/>
            <w:vMerge w:val="restart"/>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Fair Value as of March 31, 2014</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10"/>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Fair Value as of December 31, 2013</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net derivative asset/(liability)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Derivative assets and liabilities are presented above on a net basis but do not include related cash margin deposits.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Level 1</w:t>
      </w:r>
    </w:p>
    <w:p>
      <w:pPr>
        <w:spacing w:after="0" w:line="229"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Level 2</w:t>
      </w:r>
    </w:p>
    <w:p>
      <w:pPr>
        <w:spacing w:after="0" w:line="229"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Level 2 of the fair value hierarchy includes exchange-cleared commodity derivatives and over-the-counter commodity, interest rate and foreign currency derivatives that are traded in active markets. The fair value of these derivatives is based on broker price quotations which are corroborated with market observable inputs.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Level 3</w:t>
      </w:r>
    </w:p>
    <w:p>
      <w:pPr>
        <w:spacing w:after="0" w:line="229" w:lineRule="exact"/>
        <w:rPr>
          <w:sz w:val="20"/>
          <w:szCs w:val="20"/>
          <w:color w:val="auto"/>
        </w:rPr>
      </w:pPr>
    </w:p>
    <w:p>
      <w:pPr>
        <w:ind w:left="660" w:right="60"/>
        <w:spacing w:after="0" w:line="256" w:lineRule="auto"/>
        <w:rPr>
          <w:sz w:val="20"/>
          <w:szCs w:val="20"/>
          <w:color w:val="auto"/>
        </w:rPr>
      </w:pPr>
      <w:r>
        <w:rPr>
          <w:rFonts w:ascii="Times New Roman" w:cs="Times New Roman" w:eastAsia="Times New Roman" w:hAnsi="Times New Roman"/>
          <w:sz w:val="18"/>
          <w:szCs w:val="18"/>
          <w:color w:val="auto"/>
        </w:rPr>
        <w:t>Level 3 of the fair value hierarchy includes over-the-counter commodity derivatives that are traded in markets that are active but not sufficiently active to warrant level 2 classification in our judgment and certain physical commodity contracts. The fair value of our level 3 over-the-counter commodity derivatives is based on broker price quotations.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(decrease) in these forward prices would result in a proportionately lower (higher) fair value measurement.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Rollforward of Level 3 Net Asset</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changes in fair value of the beginning and ending balances for our derivatives classified as level 3 (in millions):</w:t>
      </w:r>
    </w:p>
    <w:p>
      <w:pPr>
        <w:spacing w:after="0" w:line="155"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gains/(losses):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Included in earnings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Derivatives entered into during the period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Transfers out of level 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unrealized gains/(losses) included in earnings relating to level 3 derivatives still held at the end of</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periods</w:t>
            </w:r>
          </w:p>
        </w:tc>
        <w:tc>
          <w:tcPr>
            <w:tcW w:w="1260" w:type="dxa"/>
            <w:vAlign w:val="bottom"/>
            <w:gridSpan w:val="2"/>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60" w:type="dxa"/>
            <w:vAlign w:val="bottom"/>
            <w:gridSpan w:val="2"/>
          </w:tcPr>
          <w:p>
            <w:pPr>
              <w:jc w:val="right"/>
              <w:ind w:right="217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0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right="340" w:hanging="652"/>
        <w:spacing w:after="0" w:line="229" w:lineRule="auto"/>
        <w:tabs>
          <w:tab w:leader="none" w:pos="64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reported unrealized gains and losses associated with level 3 commodity derivatives in our condensed consolidated statements of operations as Supply and Logistics segment revenues.</w:t>
      </w:r>
    </w:p>
    <w:p>
      <w:pPr>
        <w:spacing w:after="0" w:line="198" w:lineRule="exact"/>
        <w:rPr>
          <w:sz w:val="20"/>
          <w:szCs w:val="20"/>
          <w:color w:val="auto"/>
        </w:rPr>
      </w:pPr>
    </w:p>
    <w:p>
      <w:pPr>
        <w:ind w:right="260" w:firstLine="648"/>
        <w:spacing w:after="0" w:line="313" w:lineRule="auto"/>
        <w:rPr>
          <w:sz w:val="20"/>
          <w:szCs w:val="20"/>
          <w:color w:val="auto"/>
        </w:rPr>
      </w:pPr>
      <w:r>
        <w:rPr>
          <w:rFonts w:ascii="Times New Roman" w:cs="Times New Roman" w:eastAsia="Times New Roman" w:hAnsi="Times New Roman"/>
          <w:sz w:val="17"/>
          <w:szCs w:val="17"/>
          <w:color w:val="auto"/>
        </w:rPr>
        <w:t>We believe that a proper analysis of our level 3 gains or losses must incorporate the understanding that these items are generally used to hedge our commodity price risk, interest rate risk and foreign currency exchange risk and will therefore be offset by gains or losses on the underlying transactions.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In the ordinary course of business, we are involved in various legal proceedings. To the extent we are able to assess the likelihood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 adverse effect on our financial condition, results of operations or cash flows. Although we believe that our operations are presently in material compliance with applicable requirements, as we acquire and incorporate additional assets it is possible that the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183" w:lineRule="exact"/>
        <w:rPr>
          <w:sz w:val="20"/>
          <w:szCs w:val="20"/>
          <w:color w:val="auto"/>
        </w:rPr>
      </w:pPr>
    </w:p>
    <w:p>
      <w:pPr>
        <w:ind w:right="16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Pemex Exploración y Producción v. Big Star Gathering Ltd L.L.P. et al (the “Big Star Lawsuit”) and Pemex Exploración y Producción v. Murphy Energy et al (the “Murphy Lawsuit”). </w:t>
      </w:r>
      <w:r>
        <w:rPr>
          <w:rFonts w:ascii="Times New Roman" w:cs="Times New Roman" w:eastAsia="Times New Roman" w:hAnsi="Times New Roman"/>
          <w:sz w:val="17"/>
          <w:szCs w:val="17"/>
          <w:color w:val="auto"/>
        </w:rPr>
        <w:t>In two cases filed in the Texas Southern District Court in May 2011 and April 2012, Pemex Exploración y Producción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(“PEP”) alleges that certain parties stole condensate from pipelines and gathering stations and conspired with U.S. companies (primarily in Texas) to import</w:t>
      </w:r>
    </w:p>
    <w:p>
      <w:pPr>
        <w:sectPr>
          <w:pgSz w:w="11900" w:h="16951" w:orient="portrait"/>
          <w:cols w:equalWidth="0" w:num="1">
            <w:col w:w="11460"/>
          </w:cols>
          <w:pgMar w:left="240" w:top="114" w:right="199" w:bottom="0" w:gutter="0" w:footer="0" w:header="0"/>
        </w:sectPr>
      </w:pPr>
    </w:p>
    <w:bookmarkStart w:id="15" w:name="page16"/>
    <w:bookmarkEnd w:id="15"/>
    <w:p>
      <w:pPr>
        <w:spacing w:after="0" w:line="3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In February 2013, the Court granted Plains Marketing, L.P.’s motion to be dismissed from the Murphy Lawsuit. In October 2013, the Court issued an order in the Big Star Lawsuit granting summary judgment in favor of Plains Marketing, L.P. with respect to all of PEP’s remaining claims against Plains Marketing, L.P. In February 2014, the Court affirmed its order granting summary judgment in favor of Plains Marketing, L.P. in the Big Star Lawsuit, denied PEP’s motion for reconsideration, severed the case against Plains from the other defendants and issued a final judgment dismissing all claims against Plains. The time for PEP to appeal the final judgment in the Big Star case has lapsed. Plains’ motion to sever Plains from the remainder of the defendants in the Murphy Lawsuit in order to obtain a final judgment is pending.</w:t>
      </w:r>
    </w:p>
    <w:p>
      <w:pPr>
        <w:spacing w:after="0" w:line="183"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PNG Merger. </w:t>
      </w:r>
      <w:r>
        <w:rPr>
          <w:rFonts w:ascii="Times New Roman" w:cs="Times New Roman" w:eastAsia="Times New Roman" w:hAnsi="Times New Roman"/>
          <w:sz w:val="18"/>
          <w:szCs w:val="18"/>
          <w:color w:val="auto"/>
        </w:rPr>
        <w:t>Purported class action lawsuits were filed on behalf of PNG unitholders challenging the PNG Merger. Two lawsuits were filed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Court of Chancery in September 2013 and were consolidated under the caption In re PAA Natural Gas Storage, Limited Partnership Unitholder Litigation, C.A. No. 8908-VCL (which we refer to as the Consolidated Delaware Action). Two lawsuits were filed in Texas state court in September 2013 and were consolidated under the caption Vicars v. PNGS GP, LLC, et al., Cause No. 2013-52687 (Tex. Dist. Ct. Harris County) (which we refer to as the Consolidated Texas Action). Four lawsuits were filed in Texas federal court in October 2013 and were consolidated under the caption The DuckPond Trust, et al., v. PAA Natural Gas Storage, LP., et al., 4:13-cv-03170 (S.D. Tex.) (which we refer to as the Consolidated Federal Action).</w:t>
      </w:r>
    </w:p>
    <w:p>
      <w:pPr>
        <w:spacing w:after="0" w:line="18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Plaintiffs in these Actions generally alleged that (i) the individual defendants breached fiduciary duties owed to PNG unitholders; (ii) the PNG Merger unfairly benefitted certain members of PNG’s board of directors; and (iii) PNG’s general partner, PNG and other of our affiliates aided and abetted the alleged fiduciary breaches by the individual defendants. In addition, the Consolidated Texas Action included purported derivative claims on behalf of PNG based on the alleged breaches of duties by the individual defendants. All of the PNG unitholder suits were voluntarily dismissed by the plaintiffs with no settlement payments or concessions by PNG.</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Although we believe that our efforts to enhance our leak prevention and detection capabilities have produced positive results,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experienced (and likely will experience future) releases of hydrocarbon products into the environment from our pipeline, rail and storage operations. These releases can result from unpredictable man-made or natural forces and may reach surface water bodies, groundwater aquifers or other sensitive environments. Whether current or past, damages and liabilities associated with any such releases from our assets may substantially affect our business.</w:t>
      </w:r>
    </w:p>
    <w:p>
      <w:pPr>
        <w:spacing w:after="0" w:line="18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At March 31, 2014, our estimated undiscounted reserve for environmental liabilities totaled approximately $91 million, of which approximately $12 million was classified as short-term and approximately $79 million was classified as long-term. At December 31, 2013, our estimated undiscounted reserve for environmental liabilities totaled approximately $93 million, of which approximately $11 million was classified as short-term and approximately $82 million was classified as long-term. The short- and long-term environmental liabilities referenced above are reflected in “Accounts payable and accrued liabilities” and “Other long-term liabilities and deferred credits,” respectively, on our condensed consolidated balance sheets. At both March 31, 2014 and December 31, 2013, we had recorded receivables totaling approximately $10 million for amounts probable of recovery under insurance and from third parties under indemnification agreements, which are predominantly reflected in “Trade accounts receivable and other receivables, net” on our condensed consolidated balance sheets.</w:t>
      </w:r>
    </w:p>
    <w:p>
      <w:pPr>
        <w:spacing w:after="0" w:line="185" w:lineRule="exact"/>
        <w:rPr>
          <w:sz w:val="20"/>
          <w:szCs w:val="20"/>
          <w:color w:val="auto"/>
        </w:rPr>
      </w:pPr>
    </w:p>
    <w:p>
      <w:pPr>
        <w:ind w:right="60" w:firstLine="492"/>
        <w:spacing w:after="0" w:line="256" w:lineRule="auto"/>
        <w:rPr>
          <w:sz w:val="20"/>
          <w:szCs w:val="20"/>
          <w:color w:val="auto"/>
        </w:rPr>
      </w:pPr>
      <w:r>
        <w:rPr>
          <w:rFonts w:ascii="Times New Roman" w:cs="Times New Roman" w:eastAsia="Times New Roman" w:hAnsi="Times New Roman"/>
          <w:sz w:val="18"/>
          <w:szCs w:val="18"/>
          <w:color w:val="auto"/>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Rainbow Pipeline Release. </w:t>
      </w:r>
      <w:r>
        <w:rPr>
          <w:rFonts w:ascii="Times New Roman" w:cs="Times New Roman" w:eastAsia="Times New Roman" w:hAnsi="Times New Roman"/>
          <w:sz w:val="18"/>
          <w:szCs w:val="18"/>
          <w:color w:val="auto"/>
        </w:rPr>
        <w:t>During April 2011, we experienced a crude oil release of approximately 28,000 barrels of crude oil on a remote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Rainbow Pipeline located in Alberta, Canada. Since the release and through March 31, 2014, we spent approximately $70 million, before insurance recoveries, in connection with site clean-up, reclamation and remediation activities, and as of March 31, 2014, we did not have any material outstanding liabilities or insurance receivables relating to this release. On February 26, 2013, the Alberta Energy Regulator (“AER”) issued four enforcement actions against PMC for failure to comply with certain regulatory requirements in connection with the release, including requirements related to operations and maintenance procedures, leak detection and response, backfill and compaction procedures and emergency response plan testing. PMC is in the process of taking appropriate actions necessary to respond to and comply with the enforcement actions set forth in the report, including the implementation of additional risk assessment procedures and the taking of other actions designed to minimize the risk that similar incidents occur in the future and enhance the effectiveness of PMC’s response to any such future incidents. In addition, on April 23, 2013, the Alberta Crown Prosecutor filed civil charges under the Environmental Protection and Enhancement Act against PMC relating to the release. To date, PMC has not been assessed any fines or penalties related to this release; however, such fines or penalties may be assessed in the future.</w:t>
      </w:r>
    </w:p>
    <w:p>
      <w:pPr>
        <w:spacing w:after="0" w:line="19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Rangeland Pipeline Release</w:t>
      </w:r>
      <w:r>
        <w:rPr>
          <w:rFonts w:ascii="Times New Roman" w:cs="Times New Roman" w:eastAsia="Times New Roman" w:hAnsi="Times New Roman"/>
          <w:sz w:val="18"/>
          <w:szCs w:val="18"/>
          <w:color w:val="auto"/>
        </w:rPr>
        <w:t>. During June 2012, we experienced a crude oil release on a section of our Rangeland Pipeline located near Sundre,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Alberta, Canada. Approximately 3,000 barrels were released into the Red Deer River and were contained downstream in the Gleniffer Reservoir. Remediation activities in the reservoir area were completed by June 30, 2012, remediation of the remaining impacted areas of government-owned lands was completed by September 30, 2012 and interim closure, in respect of those lands, was received from the applicable regulatory agencies. A long-term monitoring plan has been developed and implemented in accordance with regulatory requirements. Through March 31, 2014, we spent approximately $46 million, before insurance recoveries, in connection with site clean-up, reclamation and remediation activities. On July 4, 2013, the AER issued four enforcement actions against PMC citing failure to inspect water crossings, failure to complete an engineering assessment to determine suitability of continued operation of the Rangeland Pipeline, failure to maintain updated emergency response plans, and failure to conduct regular public awareness programs. To date, no charges, fines or penalties have been assessed against PMC with respect to this release; however, it is possible that fines or penalties may be assessed against PMC in the future.</w:t>
      </w:r>
    </w:p>
    <w:p>
      <w:pPr>
        <w:spacing w:after="0" w:line="186" w:lineRule="exact"/>
        <w:rPr>
          <w:sz w:val="20"/>
          <w:szCs w:val="20"/>
          <w:color w:val="auto"/>
        </w:rPr>
      </w:pPr>
    </w:p>
    <w:p>
      <w:pPr>
        <w:ind w:right="6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Bay Springs Pipeline Release. </w:t>
      </w:r>
      <w:r>
        <w:rPr>
          <w:rFonts w:ascii="Times New Roman" w:cs="Times New Roman" w:eastAsia="Times New Roman" w:hAnsi="Times New Roman"/>
          <w:sz w:val="17"/>
          <w:szCs w:val="17"/>
          <w:color w:val="auto"/>
        </w:rPr>
        <w:t>During February 2013, we experienced a crude oil release of approximately 120 barrels on a portion of one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pipelines near Bay Springs, Mississippi. Most of the released oil was contained within our pipeline right of way, but some of the released oil entered a nearby waterway where it was contained with booms. The EPA has issued an administrative order requiring us to take various actions in response to the release,</w:t>
      </w:r>
    </w:p>
    <w:p>
      <w:pPr>
        <w:sectPr>
          <w:pgSz w:w="11900" w:h="16870" w:orient="portrait"/>
          <w:cols w:equalWidth="0" w:num="1">
            <w:col w:w="11400"/>
          </w:cols>
          <w:pgMar w:left="240" w:top="121" w:right="259" w:bottom="0" w:gutter="0" w:footer="0" w:header="0"/>
        </w:sectPr>
      </w:pPr>
    </w:p>
    <w:bookmarkStart w:id="16" w:name="page17"/>
    <w:bookmarkEnd w:id="16"/>
    <w:p>
      <w:pPr>
        <w:ind w:right="440"/>
        <w:spacing w:after="0" w:line="282" w:lineRule="auto"/>
        <w:rPr>
          <w:sz w:val="20"/>
          <w:szCs w:val="20"/>
          <w:color w:val="auto"/>
        </w:rPr>
      </w:pPr>
      <w:r>
        <w:rPr>
          <w:rFonts w:ascii="Times New Roman" w:cs="Times New Roman" w:eastAsia="Times New Roman" w:hAnsi="Times New Roman"/>
          <w:sz w:val="18"/>
          <w:szCs w:val="18"/>
          <w:color w:val="auto"/>
        </w:rPr>
        <w:t>including remediation, reporting and other actions, and we may be subjected to a civil penalty. The aggregate cost to clean up and remediate the site was approximately $6 million.</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Kemp River Pipeline Release</w:t>
      </w:r>
      <w:r>
        <w:rPr>
          <w:rFonts w:ascii="Times New Roman" w:cs="Times New Roman" w:eastAsia="Times New Roman" w:hAnsi="Times New Roman"/>
          <w:sz w:val="18"/>
          <w:szCs w:val="18"/>
          <w:color w:val="auto"/>
        </w:rPr>
        <w:t>. During May and June 2013, two separate releases were discovered on our Kemp River pipeline in Northern Alberta,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Canada that, in the aggregate, resulted in the release of approximately 700 barrels of condensate and light crude oil. Clean-up and remediation activities are being conducted in cooperation with the applicable regulatory agencies. AER’s final investigation is not complete. To date, no charges, fines or penalties have been assessed against PMC with respect to this release; however, it is possible that fines or penalties may be assessed against PMC in the future. We estimate that the aggregate clean-up and remediation costs associated with these releases will be approximately $15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12—Operating Segments</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manage our operations through three operating segments: (i) Transportation, (ii) Facilities and (iii)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(i) purchases and related costs, (ii) field operating costs and (iii)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 The following table reflects certain financial data for each segment for the periods indicated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Supply and Logistics</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Three Months Ended March 31, 2014</w:t>
            </w:r>
          </w:p>
        </w:tc>
        <w:tc>
          <w:tcPr>
            <w:tcW w:w="1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External Customers</w:t>
            </w:r>
          </w:p>
        </w:tc>
        <w:tc>
          <w:tcPr>
            <w:tcW w:w="126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181</w:t>
            </w:r>
          </w:p>
        </w:tc>
        <w:tc>
          <w:tcPr>
            <w:tcW w:w="116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Intersegment </w:t>
            </w:r>
            <w:r>
              <w:rPr>
                <w:rFonts w:ascii="Times New Roman" w:cs="Times New Roman" w:eastAsia="Times New Roman" w:hAnsi="Times New Roman"/>
                <w:sz w:val="23"/>
                <w:szCs w:val="23"/>
                <w:color w:val="auto"/>
                <w:vertAlign w:val="superscript"/>
              </w:rPr>
              <w:t>(2)</w:t>
            </w:r>
          </w:p>
        </w:tc>
        <w:tc>
          <w:tcPr>
            <w:tcW w:w="126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206</w:t>
            </w:r>
          </w:p>
        </w:tc>
        <w:tc>
          <w:tcPr>
            <w:tcW w:w="116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1260" w:type="dxa"/>
            <w:vAlign w:val="bottom"/>
            <w:tcBorders>
              <w:top w:val="single" w:sz="8" w:color="auto"/>
              <w:bottom w:val="single" w:sz="8" w:color="auto"/>
            </w:tcBorders>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ind w:right="10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tcBorders>
              <w:bottom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7"/>
                <w:szCs w:val="17"/>
                <w:color w:val="auto"/>
              </w:rPr>
              <w:t xml:space="preserve">Segment profit </w:t>
            </w:r>
            <w:r>
              <w:rPr>
                <w:rFonts w:ascii="Times New Roman" w:cs="Times New Roman" w:eastAsia="Times New Roman" w:hAnsi="Times New Roman"/>
                <w:sz w:val="22"/>
                <w:szCs w:val="22"/>
                <w:color w:val="auto"/>
                <w:vertAlign w:val="superscript"/>
              </w:rPr>
              <w:t>(3) (4)</w:t>
            </w:r>
          </w:p>
        </w:tc>
        <w:tc>
          <w:tcPr>
            <w:tcW w:w="1260" w:type="dxa"/>
            <w:vAlign w:val="bottom"/>
            <w:tcBorders>
              <w:bottom w:val="single" w:sz="8" w:color="auto"/>
            </w:tcBorders>
            <w:shd w:val="clear" w:color="auto" w:fill="CCEEFF"/>
          </w:tcPr>
          <w:p>
            <w:pPr>
              <w:jc w:val="right"/>
              <w:ind w:right="10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206</w:t>
            </w: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ind w:right="10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3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2013</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External Customers</w:t>
            </w:r>
          </w:p>
        </w:tc>
        <w:tc>
          <w:tcPr>
            <w:tcW w:w="126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173</w:t>
            </w:r>
          </w:p>
        </w:tc>
        <w:tc>
          <w:tcPr>
            <w:tcW w:w="1160" w:type="dxa"/>
            <w:vAlign w:val="bottom"/>
          </w:tcPr>
          <w:p>
            <w:pPr>
              <w:jc w:val="right"/>
              <w:ind w:right="9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10,224</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Intersegment </w:t>
            </w:r>
            <w:r>
              <w:rPr>
                <w:rFonts w:ascii="Times New Roman" w:cs="Times New Roman" w:eastAsia="Times New Roman" w:hAnsi="Times New Roman"/>
                <w:sz w:val="23"/>
                <w:szCs w:val="23"/>
                <w:color w:val="auto"/>
                <w:vertAlign w:val="superscript"/>
              </w:rPr>
              <w:t>(2)</w:t>
            </w:r>
          </w:p>
        </w:tc>
        <w:tc>
          <w:tcPr>
            <w:tcW w:w="1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195</w:t>
            </w:r>
          </w:p>
        </w:tc>
        <w:tc>
          <w:tcPr>
            <w:tcW w:w="1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1260" w:type="dxa"/>
            <w:vAlign w:val="bottom"/>
            <w:tcBorders>
              <w:top w:val="single" w:sz="8" w:color="auto"/>
              <w:bottom w:val="single" w:sz="8" w:color="auto"/>
            </w:tcBorders>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99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260" w:type="dxa"/>
            <w:vAlign w:val="bottom"/>
            <w:tcBorders>
              <w:bottom w:val="single" w:sz="8" w:color="auto"/>
            </w:tcBorders>
            <w:shd w:val="clear" w:color="auto" w:fill="CCEEFF"/>
          </w:tcPr>
          <w:p>
            <w:pPr>
              <w:jc w:val="right"/>
              <w:ind w:right="10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 xml:space="preserve">Segment profit </w:t>
            </w:r>
            <w:r>
              <w:rPr>
                <w:rFonts w:ascii="Times New Roman" w:cs="Times New Roman" w:eastAsia="Times New Roman" w:hAnsi="Times New Roman"/>
                <w:sz w:val="23"/>
                <w:szCs w:val="23"/>
                <w:color w:val="auto"/>
                <w:vertAlign w:val="superscript"/>
              </w:rPr>
              <w:t>(3) (4)</w:t>
            </w: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ind w:right="10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300" w:type="dxa"/>
            <w:vAlign w:val="bottom"/>
            <w:tcBorders>
              <w:bottom w:val="single" w:sz="8" w:color="CCEEFF"/>
            </w:tcBorders>
            <w:vMerge w:val="continue"/>
          </w:tcPr>
          <w:p>
            <w:pPr>
              <w:spacing w:after="0"/>
              <w:rPr>
                <w:sz w:val="20"/>
                <w:szCs w:val="20"/>
                <w:color w:val="auto"/>
              </w:rPr>
            </w:pPr>
          </w:p>
        </w:tc>
        <w:tc>
          <w:tcPr>
            <w:tcW w:w="116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2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434</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Maintenance capital</w:t>
            </w:r>
          </w:p>
        </w:tc>
        <w:tc>
          <w:tcPr>
            <w:tcW w:w="1260" w:type="dxa"/>
            <w:vAlign w:val="bottom"/>
            <w:tcBorders>
              <w:bottom w:val="single" w:sz="8" w:color="auto"/>
            </w:tcBorders>
            <w:shd w:val="clear" w:color="auto" w:fill="CCEEFF"/>
          </w:tcPr>
          <w:p>
            <w:pPr>
              <w:jc w:val="right"/>
              <w:ind w:right="10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1" w:right="199" w:bottom="148"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right="340" w:hanging="11"/>
        <w:spacing w:after="0" w:line="282" w:lineRule="auto"/>
        <w:rPr>
          <w:sz w:val="20"/>
          <w:szCs w:val="20"/>
          <w:color w:val="auto"/>
        </w:rPr>
      </w:pPr>
      <w:r>
        <w:rPr>
          <w:rFonts w:ascii="Times New Roman" w:cs="Times New Roman" w:eastAsia="Times New Roman" w:hAnsi="Times New Roman"/>
          <w:sz w:val="18"/>
          <w:szCs w:val="18"/>
          <w:color w:val="auto"/>
        </w:rPr>
        <w:t>Effective January 1, 2014, our natural gas sales and costs, primarily attributable to the activities performed by our natural gas storage commercial optimization group, are reported in the Supply and Logistics segment. Such items were previously reported in the Facilities segment.</w:t>
      </w:r>
    </w:p>
    <w:p>
      <w:pPr>
        <w:spacing w:after="0" w:line="81" w:lineRule="exact"/>
        <w:rPr>
          <w:sz w:val="20"/>
          <w:szCs w:val="20"/>
          <w:color w:val="auto"/>
        </w:rPr>
      </w:pPr>
    </w:p>
    <w:p>
      <w:pPr>
        <w:ind w:right="60" w:hanging="11"/>
        <w:spacing w:after="0" w:line="266" w:lineRule="auto"/>
        <w:rPr>
          <w:sz w:val="20"/>
          <w:szCs w:val="20"/>
          <w:color w:val="auto"/>
        </w:rPr>
      </w:pPr>
      <w:r>
        <w:rPr>
          <w:rFonts w:ascii="Times New Roman" w:cs="Times New Roman" w:eastAsia="Times New Roman" w:hAnsi="Times New Roman"/>
          <w:sz w:val="18"/>
          <w:szCs w:val="18"/>
          <w:color w:val="auto"/>
        </w:rPr>
        <w:t>Segment revenues and purchases and related costs include intersegment amounts. Intersegment sales are conducted at posted tariff rates, rates similar to those charged to third parties or rates that we believe approximate market. For further discussion, see “Analysis of Operating Segments” under Item 7 of our 2013 Annual Report on Form 10-K.</w:t>
      </w:r>
    </w:p>
    <w:p>
      <w:pPr>
        <w:spacing w:after="0" w:line="176" w:lineRule="exact"/>
        <w:rPr>
          <w:sz w:val="20"/>
          <w:szCs w:val="20"/>
          <w:color w:val="auto"/>
        </w:rPr>
      </w:pPr>
    </w:p>
    <w:p>
      <w:pPr>
        <w:sectPr>
          <w:pgSz w:w="11900" w:h="16838" w:orient="portrait"/>
          <w:cols w:equalWidth="0" w:num="2">
            <w:col w:w="140" w:space="520"/>
            <w:col w:w="10800"/>
          </w:cols>
          <w:pgMar w:left="240" w:top="121" w:right="199" w:bottom="148"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ind w:left="20" w:right="40" w:hanging="11"/>
        <w:spacing w:after="0" w:line="282" w:lineRule="auto"/>
        <w:rPr>
          <w:sz w:val="20"/>
          <w:szCs w:val="20"/>
          <w:color w:val="auto"/>
        </w:rPr>
      </w:pPr>
      <w:r>
        <w:rPr>
          <w:rFonts w:ascii="Times New Roman" w:cs="Times New Roman" w:eastAsia="Times New Roman" w:hAnsi="Times New Roman"/>
          <w:sz w:val="18"/>
          <w:szCs w:val="18"/>
          <w:color w:val="auto"/>
        </w:rPr>
        <w:t>Supply and Logistics segment profit includes interest expense (related to hedged inventory purchases) of approximately $2 million and $5 million for the three months ended March 31, 2014 and 2013,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segment profit to net income attributable to PAA (in millions):</w:t>
      </w:r>
    </w:p>
    <w:p>
      <w:pPr>
        <w:spacing w:after="0" w:line="200" w:lineRule="exact"/>
        <w:rPr>
          <w:sz w:val="20"/>
          <w:szCs w:val="20"/>
          <w:color w:val="auto"/>
        </w:rPr>
      </w:pPr>
    </w:p>
    <w:p>
      <w:pPr>
        <w:sectPr>
          <w:pgSz w:w="11900" w:h="16838" w:orient="portrait"/>
          <w:cols w:equalWidth="0" w:num="2">
            <w:col w:w="140" w:space="500"/>
            <w:col w:w="10820"/>
          </w:cols>
          <w:pgMar w:left="240" w:top="121" w:right="199" w:bottom="148" w:gutter="0" w:footer="0" w:header="0"/>
          <w:type w:val="continuous"/>
        </w:sectPr>
      </w:pPr>
    </w:p>
    <w:p>
      <w:pPr>
        <w:spacing w:after="0" w:line="19"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430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2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24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60" w:type="dxa"/>
            <w:vAlign w:val="bottom"/>
            <w:vMerge w:val="restart"/>
          </w:tcPr>
          <w:p>
            <w:pPr>
              <w:jc w:val="right"/>
              <w:ind w:right="1530"/>
              <w:spacing w:after="0"/>
              <w:rPr>
                <w:sz w:val="20"/>
                <w:szCs w:val="20"/>
                <w:color w:val="auto"/>
              </w:rPr>
            </w:pPr>
            <w:r>
              <w:rPr>
                <w:rFonts w:ascii="Times New Roman" w:cs="Times New Roman" w:eastAsia="Times New Roman" w:hAnsi="Times New Roman"/>
                <w:sz w:val="18"/>
                <w:szCs w:val="18"/>
                <w:color w:val="auto"/>
              </w:rPr>
              <w:t>23</w:t>
            </w: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300" w:type="dxa"/>
            <w:vAlign w:val="bottom"/>
            <w:tcBorders>
              <w:bottom w:val="single" w:sz="8" w:color="010101"/>
            </w:tcBorders>
          </w:tcPr>
          <w:p>
            <w:pPr>
              <w:spacing w:after="0"/>
              <w:rPr>
                <w:sz w:val="11"/>
                <w:szCs w:val="11"/>
                <w:color w:val="auto"/>
              </w:rPr>
            </w:pPr>
          </w:p>
        </w:tc>
        <w:tc>
          <w:tcPr>
            <w:tcW w:w="24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13—Related Party Transactions</w:t>
      </w:r>
    </w:p>
    <w:p>
      <w:pPr>
        <w:sectPr>
          <w:pgSz w:w="11900" w:h="16838" w:orient="portrait"/>
          <w:cols w:equalWidth="0" w:num="1">
            <w:col w:w="11460"/>
          </w:cols>
          <w:pgMar w:left="240" w:top="121" w:right="199" w:bottom="148" w:gutter="0" w:footer="0" w:header="0"/>
          <w:type w:val="continuous"/>
        </w:sectPr>
      </w:pPr>
    </w:p>
    <w:bookmarkStart w:id="17" w:name="page18"/>
    <w:bookmarkEnd w:id="17"/>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See Note 14 to our Consolidated Financial Statements included in Part IV of our 2013 Annual Report on Form 10-K for a complete discussion of our 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Occidental Petroleum Corporation</w:t>
      </w:r>
    </w:p>
    <w:p>
      <w:pPr>
        <w:spacing w:after="0" w:line="22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As of March 31, 2014, a subsidiary of Occidental Petroleum Corporation (“Oxy”) owned approximately 25% of our general partner and had a representative on the board of directors of GP LLC. During the three months ended March 31, 2014 and 2013, we recognized sales and transportation revenues and purchased petroleum products from companies affiliated with Oxy. These transactions were conducted at posted tariff rates or prices that we believe approximate market. See detail below (in millions):</w:t>
      </w:r>
    </w:p>
    <w:p>
      <w:pPr>
        <w:spacing w:after="0" w:line="174"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88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9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4080" w:type="dxa"/>
            <w:vAlign w:val="bottom"/>
            <w:gridSpan w:val="2"/>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w:t>
            </w:r>
          </w:p>
        </w:tc>
        <w:tc>
          <w:tcPr>
            <w:tcW w:w="50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have a netting arrangement with Oxy. Our gross receivable and payable amounts with affiliates of Oxy were as follows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20" w:type="dxa"/>
            <w:vAlign w:val="bottom"/>
            <w:tcBorders>
              <w:bottom w:val="single" w:sz="8" w:color="CCEEFF"/>
            </w:tcBorders>
          </w:tcPr>
          <w:p>
            <w:pPr>
              <w:spacing w:after="0"/>
              <w:rPr>
                <w:sz w:val="15"/>
                <w:szCs w:val="15"/>
                <w:color w:val="auto"/>
              </w:rPr>
            </w:pPr>
          </w:p>
        </w:tc>
        <w:tc>
          <w:tcPr>
            <w:tcW w:w="33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 and other receivables</w:t>
            </w:r>
          </w:p>
        </w:tc>
        <w:tc>
          <w:tcPr>
            <w:tcW w:w="3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88"/>
              </w:rPr>
              <w:t>161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233</w:t>
            </w:r>
          </w:p>
        </w:tc>
        <w:tc>
          <w:tcPr>
            <w:tcW w:w="3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00" w:type="dxa"/>
            <w:vAlign w:val="bottom"/>
          </w:tcPr>
          <w:p>
            <w:pPr>
              <w:jc w:val="right"/>
              <w:ind w:right="195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520" w:type="dxa"/>
            <w:vAlign w:val="bottom"/>
            <w:tcBorders>
              <w:bottom w:val="single" w:sz="8" w:color="010101"/>
            </w:tcBorders>
          </w:tcPr>
          <w:p>
            <w:pPr>
              <w:spacing w:after="0"/>
              <w:rPr>
                <w:sz w:val="11"/>
                <w:szCs w:val="11"/>
                <w:color w:val="auto"/>
              </w:rPr>
            </w:pPr>
          </w:p>
        </w:tc>
        <w:tc>
          <w:tcPr>
            <w:tcW w:w="3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2013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discussion and analysis includes the following:</w:t>
      </w:r>
    </w:p>
    <w:p>
      <w:pPr>
        <w:spacing w:after="0" w:line="225" w:lineRule="exact"/>
        <w:rPr>
          <w:sz w:val="20"/>
          <w:szCs w:val="20"/>
          <w:color w:val="auto"/>
        </w:rPr>
      </w:pPr>
    </w:p>
    <w:p>
      <w:pPr>
        <w:ind w:left="940" w:hanging="28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Internal Growth Projects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own and operate midstream energy infrastructure and provide logistics services for crude oil, NGL, natural gas and refined products. The term NGL includes ethane and natural gasoline products as well as products commonly referred to as liquefied petroleum gas (“LPG”) such as propane and butane. When used in this Form 10-Q, NGL refers to all NGL products including LPG.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(i) Transportation, (ii) Facilities and (iii) Supply and Logistics.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Operating Results, Capital Investments and Significant Activities</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During the first three months of 2014, we recognized net income attributable to PAA of approximately $384 million, or $0.73 per diluted limited partner unit, as compared to net income attributable to PAA of approximately $528 million, or $1.27 per diluted limited partner unit, recognized during the first three months of 2013. These decreases were primarily driven by less favorable crude oil market conditions experienced during the comparable 2014 period, which provided fewer opportunities for above-baseline crude oil margins in our Supply and Logistics segment. In addition, our Facilities and Supply and Logistics segments were negatively impacted by costs incurred in our natural gas storage activities to manage deliverability requirements in conjunction with the severe cold weather experienced during the first quarter of 2014. However, such decreases were partially offset by favorable results from our</w:t>
      </w:r>
    </w:p>
    <w:p>
      <w:pPr>
        <w:sectPr>
          <w:pgSz w:w="11900" w:h="16838" w:orient="portrait"/>
          <w:cols w:equalWidth="0" w:num="1">
            <w:col w:w="11460"/>
          </w:cols>
          <w:pgMar w:left="240" w:top="121" w:right="199" w:bottom="0" w:gutter="0" w:footer="0" w:header="0"/>
        </w:sectPr>
      </w:pPr>
    </w:p>
    <w:bookmarkStart w:id="18" w:name="page19"/>
    <w:bookmarkEnd w:id="18"/>
    <w:p>
      <w:pPr>
        <w:spacing w:after="0" w:line="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Transportation segment, largely due to the continued increase in North American crude oil production and our related, recently completed capital expansion projects.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Internal Growth Projects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capital expenditures for acquisitions, internal growth projects and maintenance capital for the periods indicated (in millions):</w:t>
      </w:r>
    </w:p>
    <w:p>
      <w:pPr>
        <w:spacing w:after="0" w:line="155"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502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capital</w:t>
            </w:r>
          </w:p>
        </w:tc>
        <w:tc>
          <w:tcPr>
            <w:tcW w:w="3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Internal growth projects</w:t>
            </w:r>
          </w:p>
        </w:tc>
        <w:tc>
          <w:tcPr>
            <w:tcW w:w="3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3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r>
      <w:tr>
        <w:trPr>
          <w:trHeight w:val="21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Growth Projects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more notable projects in progress during 2014 and the forecasted expenditures for the year ending December 31, 2014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5"/>
                <w:szCs w:val="15"/>
                <w:color w:val="auto"/>
              </w:rPr>
            </w:pPr>
          </w:p>
        </w:tc>
      </w:tr>
      <w:tr>
        <w:trPr>
          <w:trHeight w:val="210"/>
        </w:trPr>
        <w:tc>
          <w:tcPr>
            <w:tcW w:w="9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Permian Basin Area Projects</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Cactus Pipeline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r>
      <w:tr>
        <w:trPr>
          <w:trHeight w:val="216"/>
        </w:trPr>
        <w:tc>
          <w:tcPr>
            <w:tcW w:w="96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Rail Terminal Projects </w:t>
            </w:r>
            <w:r>
              <w:rPr>
                <w:rFonts w:ascii="Times New Roman" w:cs="Times New Roman" w:eastAsia="Times New Roman" w:hAnsi="Times New Roman"/>
                <w:sz w:val="23"/>
                <w:szCs w:val="23"/>
                <w:color w:val="auto"/>
                <w:vertAlign w:val="superscript"/>
              </w:rPr>
              <w:t>(1)</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8"/>
                <w:szCs w:val="18"/>
                <w:color w:val="auto"/>
              </w:rPr>
            </w:pP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Ft. Sask Facility Projects / NGL Line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Eagle Ford JV Project</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shd w:val="clear" w:color="auto" w:fill="CCEEFF"/>
          </w:tcPr>
          <w:p>
            <w:pPr>
              <w:spacing w:after="0"/>
              <w:rPr>
                <w:sz w:val="18"/>
                <w:szCs w:val="18"/>
                <w:color w:val="auto"/>
              </w:rPr>
            </w:pP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Oklahoma Extension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18"/>
                <w:szCs w:val="18"/>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Mississippian Lime Pipeline</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CEEFF"/>
          </w:tcPr>
          <w:p>
            <w:pPr>
              <w:spacing w:after="0"/>
              <w:rPr>
                <w:sz w:val="18"/>
                <w:szCs w:val="18"/>
                <w:color w:val="auto"/>
              </w:rPr>
            </w:pP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White Cliffs Expansion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18"/>
                <w:szCs w:val="18"/>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 63 Reactivation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shd w:val="clear" w:color="auto" w:fill="CCEEFF"/>
          </w:tcPr>
          <w:p>
            <w:pPr>
              <w:spacing w:after="0"/>
              <w:rPr>
                <w:sz w:val="18"/>
                <w:szCs w:val="18"/>
                <w:color w:val="auto"/>
              </w:rPr>
            </w:pP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Natural Gas Storage Expansions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Pr>
          <w:p>
            <w:pPr>
              <w:spacing w:after="0"/>
              <w:rPr>
                <w:sz w:val="18"/>
                <w:szCs w:val="18"/>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Projects</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8"/>
                <w:szCs w:val="18"/>
                <w:color w:val="auto"/>
              </w:rPr>
            </w:pPr>
          </w:p>
        </w:tc>
      </w:tr>
      <w:tr>
        <w:trPr>
          <w:trHeight w:val="210"/>
        </w:trPr>
        <w:tc>
          <w:tcPr>
            <w:tcW w:w="9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$1,850</w:t>
            </w:r>
          </w:p>
        </w:tc>
        <w:tc>
          <w:tcPr>
            <w:tcW w:w="100" w:type="dxa"/>
            <w:vAlign w:val="bottom"/>
          </w:tcPr>
          <w:p>
            <w:pPr>
              <w:spacing w:after="0"/>
              <w:rPr>
                <w:sz w:val="18"/>
                <w:szCs w:val="18"/>
                <w:color w:val="auto"/>
              </w:rPr>
            </w:pPr>
          </w:p>
        </w:tc>
      </w:tr>
      <w:tr>
        <w:trPr>
          <w:trHeight w:val="216"/>
        </w:trPr>
        <w:tc>
          <w:tcPr>
            <w:tcW w:w="96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Potential Adjustments for Timing / Scope Refinement </w:t>
            </w:r>
            <w:r>
              <w:rPr>
                <w:rFonts w:ascii="Times New Roman" w:cs="Times New Roman" w:eastAsia="Times New Roman" w:hAnsi="Times New Roman"/>
                <w:sz w:val="23"/>
                <w:szCs w:val="23"/>
                <w:color w:val="auto"/>
                <w:vertAlign w:val="superscript"/>
              </w:rPr>
              <w:t>(2)</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 + $100</w:t>
            </w:r>
          </w:p>
        </w:tc>
        <w:tc>
          <w:tcPr>
            <w:tcW w:w="100" w:type="dxa"/>
            <w:vAlign w:val="bottom"/>
            <w:shd w:val="clear" w:color="auto" w:fill="CCEEFF"/>
          </w:tcPr>
          <w:p>
            <w:pPr>
              <w:spacing w:after="0"/>
              <w:rPr>
                <w:sz w:val="18"/>
                <w:szCs w:val="18"/>
                <w:color w:val="auto"/>
              </w:rPr>
            </w:pPr>
          </w:p>
        </w:tc>
      </w:tr>
      <w:tr>
        <w:trPr>
          <w:trHeight w:val="210"/>
        </w:trPr>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Projected Expansion Capital Expenditures</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$1,750 - $1,950</w:t>
            </w:r>
          </w:p>
        </w:tc>
        <w:tc>
          <w:tcPr>
            <w:tcW w:w="100" w:type="dxa"/>
            <w:vAlign w:val="bottom"/>
          </w:tcPr>
          <w:p>
            <w:pPr>
              <w:spacing w:after="0"/>
              <w:rPr>
                <w:sz w:val="18"/>
                <w:szCs w:val="18"/>
                <w:color w:val="auto"/>
              </w:rPr>
            </w:pPr>
          </w:p>
        </w:tc>
      </w:tr>
      <w:tr>
        <w:trPr>
          <w:trHeight w:val="20"/>
        </w:trPr>
        <w:tc>
          <w:tcPr>
            <w:tcW w:w="9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projects located in or near Bakersfield, CA; Carr, CO; Van Hook, ND; and Western Canada.</w:t>
      </w:r>
    </w:p>
    <w:p>
      <w:pPr>
        <w:spacing w:after="0" w:line="225" w:lineRule="exact"/>
        <w:rPr>
          <w:sz w:val="20"/>
          <w:szCs w:val="20"/>
          <w:color w:val="auto"/>
        </w:rPr>
      </w:pPr>
    </w:p>
    <w:p>
      <w:pPr>
        <w:ind w:left="20" w:right="620" w:hanging="11"/>
        <w:spacing w:after="0" w:line="282" w:lineRule="auto"/>
        <w:rPr>
          <w:sz w:val="20"/>
          <w:szCs w:val="20"/>
          <w:color w:val="auto"/>
        </w:rPr>
      </w:pPr>
      <w:r>
        <w:rPr>
          <w:rFonts w:ascii="Times New Roman" w:cs="Times New Roman" w:eastAsia="Times New Roman" w:hAnsi="Times New Roman"/>
          <w:sz w:val="18"/>
          <w:szCs w:val="18"/>
          <w:color w:val="auto"/>
        </w:rPr>
        <w:t>Potential variation to current capital costs estimates may result from changes to project design, final cost of materials and labor and timing of incurrence of costs due to uncontrollable factors such as permits, regulatory approvals and weather.</w:t>
      </w:r>
    </w:p>
    <w:p>
      <w:pPr>
        <w:spacing w:after="0" w:line="16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140" w:space="500"/>
            <w:col w:w="10780"/>
          </w:cols>
          <w:pgMar w:left="240" w:top="121" w:right="239" w:bottom="0" w:gutter="0" w:footer="0" w:header="0"/>
          <w:type w:val="continuous"/>
        </w:sectPr>
      </w:pPr>
    </w:p>
    <w:p>
      <w:pPr>
        <w:spacing w:after="0" w:line="30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Operating Segments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manage our operations through three operating segments: (i) Transportation, (ii) Facilities and (iii) Supply and Logistics. Our Chief Operating Decision Maker (our Chief Executive Officer) evaluates such segment performance based on a variety of measures including segment profit, segment volumes, segment profit per barrel and maintenance capital investment. See Note 18 to our Consolidated Financial Statements included in Part IV of our 2013 Annual Report on Form 10-K for further discussion of how we evaluate segment profit.</w:t>
      </w:r>
    </w:p>
    <w:p>
      <w:pPr>
        <w:spacing w:after="0" w:line="18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an overview of our consolidated financial results calculated in accordance with GAAP (in millions, except per unit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3"/>
          </w:tcPr>
          <w:p>
            <w:pPr>
              <w:jc w:val="center"/>
              <w:ind w:left="436"/>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segment profit</w:t>
            </w:r>
          </w:p>
        </w:tc>
        <w:tc>
          <w:tcPr>
            <w:tcW w:w="88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Facilities segment profit</w:t>
            </w:r>
          </w:p>
        </w:tc>
        <w:tc>
          <w:tcPr>
            <w:tcW w:w="8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154</w:t>
            </w:r>
          </w:p>
        </w:tc>
        <w:tc>
          <w:tcPr>
            <w:tcW w:w="38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and Logistics segment profit</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249</w:t>
            </w:r>
          </w:p>
        </w:tc>
        <w:tc>
          <w:tcPr>
            <w:tcW w:w="38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segment profit</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w:t>
            </w:r>
          </w:p>
        </w:tc>
        <w:tc>
          <w:tcPr>
            <w:tcW w:w="38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91"/>
        </w:trPr>
        <w:tc>
          <w:tcPr>
            <w:tcW w:w="482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6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CCEEFF"/>
              <w:right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96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type w:val="continuous"/>
        </w:sectPr>
      </w:pPr>
    </w:p>
    <w:bookmarkStart w:id="19" w:name="page20"/>
    <w:bookmarkEnd w:id="19"/>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385</w:t>
            </w:r>
          </w:p>
        </w:tc>
        <w:tc>
          <w:tcPr>
            <w:tcW w:w="50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5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1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580" w:type="dxa"/>
            <w:vAlign w:val="bottom"/>
            <w:tcBorders>
              <w:top w:val="single" w:sz="8" w:color="auto"/>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6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net income per limited partner unit</w:t>
            </w:r>
          </w:p>
        </w:tc>
        <w:tc>
          <w:tcPr>
            <w:tcW w:w="58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0.74</w:t>
            </w: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net income per limited partner unit</w:t>
            </w:r>
          </w:p>
        </w:tc>
        <w:tc>
          <w:tcPr>
            <w:tcW w:w="58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0.73</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(0.54)</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weighted average units outstanding</w:t>
            </w:r>
          </w:p>
        </w:tc>
        <w:tc>
          <w:tcPr>
            <w:tcW w:w="5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360</w:t>
            </w:r>
          </w:p>
        </w:tc>
        <w:tc>
          <w:tcPr>
            <w:tcW w:w="50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8"/>
                <w:szCs w:val="18"/>
                <w:color w:val="auto"/>
              </w:rPr>
            </w:pPr>
          </w:p>
        </w:tc>
        <w:tc>
          <w:tcPr>
            <w:tcW w:w="1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weighted average units outstanding</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363</w:t>
            </w:r>
          </w:p>
        </w:tc>
        <w:tc>
          <w:tcPr>
            <w:tcW w:w="50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339</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that are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adjustment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hereinafter as “Selected Items Impacting Comparability.” These additional financial measures are reconciled to the most directly comparable measures as reported in accordance with GAAP, and should be viewed in addition to, and not in lieu of, our condensed consolidated financial statements and footnotes.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non-GAAP financial measures that are reconciled to the most directly comparable GAAP measures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gridSpan w:val="3"/>
            <w:vMerge w:val="restart"/>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gridSpan w:val="3"/>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tcPr>
          <w:p>
            <w:pPr>
              <w:jc w:val="center"/>
              <w:ind w:left="453"/>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4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90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3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Items Impacting Comparability of EBITDA</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Gains/(losses) from derivative activities net of inventory</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shd w:val="clear" w:color="auto" w:fill="CCEEFF"/>
          </w:tcPr>
          <w:p>
            <w:pPr>
              <w:ind w:left="340"/>
              <w:spacing w:after="0" w:line="234" w:lineRule="exact"/>
              <w:rPr>
                <w:sz w:val="20"/>
                <w:szCs w:val="20"/>
                <w:color w:val="auto"/>
              </w:rPr>
            </w:pPr>
            <w:r>
              <w:rPr>
                <w:rFonts w:ascii="Times New Roman" w:cs="Times New Roman" w:eastAsia="Times New Roman" w:hAnsi="Times New Roman"/>
                <w:sz w:val="18"/>
                <w:szCs w:val="18"/>
                <w:color w:val="auto"/>
              </w:rPr>
              <w:t>valuation adjustments</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(2)</w:t>
            </w:r>
          </w:p>
        </w:tc>
        <w:tc>
          <w:tcPr>
            <w:tcW w:w="9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Net gain/(loss) on foreign currency revaluation </w:t>
            </w:r>
            <w:r>
              <w:rPr>
                <w:rFonts w:ascii="Times New Roman" w:cs="Times New Roman" w:eastAsia="Times New Roman" w:hAnsi="Times New Roman"/>
                <w:sz w:val="23"/>
                <w:szCs w:val="23"/>
                <w:color w:val="auto"/>
                <w:vertAlign w:val="superscript"/>
              </w:rPr>
              <w:t>(3)</w:t>
            </w:r>
          </w:p>
        </w:tc>
        <w:tc>
          <w:tcPr>
            <w:tcW w:w="9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(4)</w:t>
            </w:r>
          </w:p>
        </w:tc>
        <w:tc>
          <w:tcPr>
            <w:tcW w:w="9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Items Impacting Comparability of EBITDA</w:t>
            </w: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90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607</w:t>
            </w:r>
          </w:p>
        </w:tc>
        <w:tc>
          <w:tcPr>
            <w:tcW w:w="92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748</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Selected Items Impacting Comparability of EBITDA</w:t>
            </w:r>
          </w:p>
        </w:tc>
        <w:tc>
          <w:tcPr>
            <w:tcW w:w="9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9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567</w:t>
            </w:r>
          </w:p>
        </w:tc>
        <w:tc>
          <w:tcPr>
            <w:tcW w:w="92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739</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9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Maintenance capital </w:t>
            </w:r>
            <w:r>
              <w:rPr>
                <w:rFonts w:ascii="Times New Roman" w:cs="Times New Roman" w:eastAsia="Times New Roman" w:hAnsi="Times New Roman"/>
                <w:sz w:val="23"/>
                <w:szCs w:val="23"/>
                <w:color w:val="auto"/>
                <w:vertAlign w:val="superscript"/>
              </w:rPr>
              <w:t>(5)</w:t>
            </w:r>
          </w:p>
        </w:tc>
        <w:tc>
          <w:tcPr>
            <w:tcW w:w="9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9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9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3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Equity earnings in unconsolidated entities, net of</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distributions</w:t>
            </w:r>
          </w:p>
        </w:tc>
        <w:tc>
          <w:tcPr>
            <w:tcW w:w="9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noncontrolling interests </w:t>
            </w:r>
            <w:r>
              <w:rPr>
                <w:rFonts w:ascii="Times New Roman" w:cs="Times New Roman" w:eastAsia="Times New Roman" w:hAnsi="Times New Roman"/>
                <w:sz w:val="23"/>
                <w:szCs w:val="23"/>
                <w:color w:val="auto"/>
                <w:vertAlign w:val="superscript"/>
              </w:rPr>
              <w:t>(6)</w:t>
            </w:r>
          </w:p>
        </w:tc>
        <w:tc>
          <w:tcPr>
            <w:tcW w:w="9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DCF</w:t>
            </w: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0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Distributions paid </w:t>
            </w:r>
            <w:r>
              <w:rPr>
                <w:rFonts w:ascii="Times New Roman" w:cs="Times New Roman" w:eastAsia="Times New Roman" w:hAnsi="Times New Roman"/>
                <w:sz w:val="23"/>
                <w:szCs w:val="23"/>
                <w:color w:val="auto"/>
                <w:vertAlign w:val="superscript"/>
              </w:rPr>
              <w:t>(6)</w:t>
            </w:r>
          </w:p>
        </w:tc>
        <w:tc>
          <w:tcPr>
            <w:tcW w:w="9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(344)</w:t>
            </w:r>
          </w:p>
        </w:tc>
        <w:tc>
          <w:tcPr>
            <w:tcW w:w="9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DCF Excess/(Shortage) </w:t>
            </w:r>
            <w:r>
              <w:rPr>
                <w:rFonts w:ascii="Times New Roman" w:cs="Times New Roman" w:eastAsia="Times New Roman" w:hAnsi="Times New Roman"/>
                <w:sz w:val="23"/>
                <w:szCs w:val="23"/>
                <w:color w:val="auto"/>
                <w:vertAlign w:val="superscript"/>
              </w:rPr>
              <w:t>(7)</w:t>
            </w:r>
          </w:p>
        </w:tc>
        <w:tc>
          <w:tcPr>
            <w:tcW w:w="90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700" w:right="80" w:hanging="692"/>
        <w:spacing w:after="0" w:line="244" w:lineRule="auto"/>
        <w:tabs>
          <w:tab w:leader="none" w:pos="683"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We also exclude the impact of corresponding inventory valuation adjustments, as applicable. See Note 10 to our condensed consolidated financial statements for a comprehensive discussion regarding our derivatives and risk management activities.</w:t>
      </w:r>
    </w:p>
    <w:p>
      <w:pPr>
        <w:sectPr>
          <w:pgSz w:w="11900" w:h="16884" w:orient="portrait"/>
          <w:cols w:equalWidth="0" w:num="1">
            <w:col w:w="11420"/>
          </w:cols>
          <w:pgMar w:left="240" w:top="140" w:right="239" w:bottom="0" w:gutter="0" w:footer="0" w:header="0"/>
        </w:sectPr>
      </w:pPr>
    </w:p>
    <w:bookmarkStart w:id="20" w:name="page21"/>
    <w:bookmarkEnd w:id="20"/>
    <w:p>
      <w:pPr>
        <w:spacing w:after="0" w:line="62" w:lineRule="exact"/>
        <w:rPr>
          <w:sz w:val="20"/>
          <w:szCs w:val="20"/>
          <w:color w:val="auto"/>
        </w:rPr>
      </w:pPr>
    </w:p>
    <w:p>
      <w:pPr>
        <w:ind w:left="700" w:right="100" w:hanging="692"/>
        <w:spacing w:after="0" w:line="244" w:lineRule="auto"/>
        <w:tabs>
          <w:tab w:leader="none" w:pos="683"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is included in our diluted earnings per unit calculation and the majority of the awards are expected to be settled in units. The portion of compensation expense associated with awards that are certain to be settled in cash is not considered a selected item impacting comparability. See Note 15 to our Consolidated Financial Statements included in Part IV of our 2013 Annual Report on Form 10-K for a comprehensive discussion regarding our equity-indexed compensation plans.</w:t>
      </w:r>
    </w:p>
    <w:p>
      <w:pPr>
        <w:spacing w:after="0" w:line="1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700" w:right="280" w:hanging="692"/>
        <w:spacing w:after="0" w:line="239" w:lineRule="auto"/>
        <w:tabs>
          <w:tab w:leader="none" w:pos="689"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March 31, 2014 and 2013, there were fluctuations in the value of the Canadian dollar (“CAD”) to the U.S. dollar (“USD”), resulting in gains and losses that were not related to our core operating results for the period and were thus classified as selected items impacting comparability. See Note 10 to our condensed consolidated financial statements for further discussion regarding our currency exchange rate risk hedging activities.</w:t>
      </w:r>
    </w:p>
    <w:p>
      <w:pPr>
        <w:sectPr>
          <w:pgSz w:w="11900" w:h="16900" w:orient="portrait"/>
          <w:cols w:equalWidth="0" w:num="1">
            <w:col w:w="11460"/>
          </w:cols>
          <w:pgMar w:left="240" w:top="337" w:right="199" w:bottom="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Includes other immaterial selected items impacting comparability.</w:t>
      </w:r>
    </w:p>
    <w:p>
      <w:pPr>
        <w:spacing w:after="0" w:line="212" w:lineRule="exact"/>
        <w:rPr>
          <w:sz w:val="20"/>
          <w:szCs w:val="20"/>
          <w:color w:val="auto"/>
        </w:rPr>
      </w:pPr>
    </w:p>
    <w:p>
      <w:pPr>
        <w:ind w:left="40" w:right="160" w:hanging="10"/>
        <w:spacing w:after="0" w:line="282" w:lineRule="auto"/>
        <w:rPr>
          <w:sz w:val="20"/>
          <w:szCs w:val="20"/>
          <w:color w:val="auto"/>
        </w:rPr>
      </w:pPr>
      <w:r>
        <w:rPr>
          <w:rFonts w:ascii="Times New Roman" w:cs="Times New Roman" w:eastAsia="Times New Roman" w:hAnsi="Times New Roman"/>
          <w:sz w:val="18"/>
          <w:szCs w:val="18"/>
          <w:color w:val="auto"/>
        </w:rPr>
        <w:t>Maintenance capital expenditures are defined as capital expenditures for the replacement of partially or fully depreciated assets in order to maintain the operating and/or earnings capacity of our existing assets.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Includes distributions that pertain to the current period’s net income and are paid in the subsequent period.</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Excess DCF is retained to establish reserves for future distributions, capital expenditures and other partnership purposes.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Transportation Segment</w:t>
      </w:r>
    </w:p>
    <w:p>
      <w:pPr>
        <w:spacing w:after="0" w:line="200" w:lineRule="exact"/>
        <w:rPr>
          <w:sz w:val="20"/>
          <w:szCs w:val="20"/>
          <w:color w:val="auto"/>
        </w:rPr>
      </w:pPr>
    </w:p>
    <w:p>
      <w:pPr>
        <w:sectPr>
          <w:pgSz w:w="11900" w:h="16900" w:orient="portrait"/>
          <w:cols w:equalWidth="0" w:num="2">
            <w:col w:w="140" w:space="520"/>
            <w:col w:w="10800"/>
          </w:cols>
          <w:pgMar w:left="240" w:top="337" w:right="199" w:bottom="0" w:gutter="0" w:footer="0" w:header="0"/>
          <w:type w:val="continuous"/>
        </w:sectPr>
      </w:pPr>
    </w:p>
    <w:p>
      <w:pPr>
        <w:spacing w:after="0" w:line="1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leases of pipeline capacity and other transportation fees.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operating results from our Transportation segment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8"/>
                <w:szCs w:val="8"/>
                <w:b w:val="1"/>
                <w:bCs w:val="1"/>
                <w:color w:val="auto"/>
              </w:rPr>
              <w:t>(1)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20" w:type="dxa"/>
            <w:vAlign w:val="bottom"/>
            <w:gridSpan w:val="5"/>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0" w:type="dxa"/>
            <w:vAlign w:val="bottom"/>
            <w:gridSpan w:val="6"/>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Favorable/(Unfavorable)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6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6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barrel amounts)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Tariff activities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336</w:t>
            </w:r>
          </w:p>
        </w:tc>
        <w:tc>
          <w:tcPr>
            <w:tcW w:w="54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60" w:type="dxa"/>
            <w:vAlign w:val="bottom"/>
            <w:tcBorders>
              <w:right w:val="single" w:sz="8" w:color="auto"/>
            </w:tcBorders>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Trucking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Borders>
              <w:left w:val="single" w:sz="8" w:color="CCEEFF"/>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Total transportation revenues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Trucking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gridSpan w:val="4"/>
          </w:tcPr>
          <w:p>
            <w:pPr>
              <w:ind w:left="160"/>
              <w:spacing w:after="0" w:line="198" w:lineRule="exact"/>
              <w:rPr>
                <w:sz w:val="20"/>
                <w:szCs w:val="20"/>
                <w:color w:val="auto"/>
              </w:rPr>
            </w:pPr>
            <w:r>
              <w:rPr>
                <w:rFonts w:ascii="Times New Roman" w:cs="Times New Roman" w:eastAsia="Times New Roman" w:hAnsi="Times New Roman"/>
                <w:sz w:val="18"/>
                <w:szCs w:val="18"/>
                <w:color w:val="auto"/>
              </w:rPr>
              <w:t>Field operating costs (excluding equity-indexed compensation</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expense)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Borders>
              <w:right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Equity-indexed compensation expense - operations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gridSpan w:val="4"/>
          </w:tcPr>
          <w:p>
            <w:pPr>
              <w:ind w:left="160"/>
              <w:spacing w:after="0" w:line="198"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(excluding equity-indexed compensation expense)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Borders>
              <w:right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w w:val="99"/>
              </w:rPr>
              <w:t xml:space="preserve">Equity-indexed compensation expense - general and administrative </w:t>
            </w:r>
            <w:r>
              <w:rPr>
                <w:rFonts w:ascii="Times New Roman" w:cs="Times New Roman" w:eastAsia="Times New Roman" w:hAnsi="Times New Roman"/>
                <w:sz w:val="23"/>
                <w:szCs w:val="23"/>
                <w:color w:val="auto"/>
                <w:w w:val="99"/>
                <w:vertAlign w:val="superscript"/>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auto"/>
            </w:tcBorders>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4"/>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Borders>
              <w:left w:val="single" w:sz="8" w:color="CCEEFF"/>
              <w:right w:val="single" w:sz="8" w:color="auto"/>
            </w:tcBorders>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2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gridSpan w:val="5"/>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right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1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tcBorders>
              <w:top w:val="single" w:sz="8" w:color="CCEEFF"/>
              <w:bottom w:val="single" w:sz="8" w:color="CCEE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Segment profit per barrel</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260" w:type="dxa"/>
            <w:vAlign w:val="bottom"/>
            <w:tcBorders>
              <w:top w:val="single" w:sz="8" w:color="CCEEFF"/>
              <w:left w:val="single" w:sz="8" w:color="CCEEFF"/>
              <w:bottom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top w:val="single" w:sz="8" w:color="CCEEFF"/>
              <w:bottom w:val="single" w:sz="8" w:color="CCEEFF"/>
            </w:tcBorders>
            <w:shd w:val="clear" w:color="auto" w:fill="CCEEFF"/>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29</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260" w:type="dxa"/>
            <w:vAlign w:val="bottom"/>
            <w:gridSpan w:val="5"/>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6"/>
            <w:vMerge w:val="restart"/>
          </w:tcPr>
          <w:p>
            <w:pPr>
              <w:jc w:val="center"/>
              <w:ind w:right="790"/>
              <w:spacing w:after="0"/>
              <w:rPr>
                <w:sz w:val="20"/>
                <w:szCs w:val="20"/>
                <w:color w:val="auto"/>
              </w:rPr>
            </w:pPr>
            <w:r>
              <w:rPr>
                <w:rFonts w:ascii="Times New Roman" w:cs="Times New Roman" w:eastAsia="Times New Roman" w:hAnsi="Times New Roman"/>
                <w:sz w:val="14"/>
                <w:szCs w:val="14"/>
                <w:b w:val="1"/>
                <w:bCs w:val="1"/>
                <w:color w:val="auto"/>
              </w:rPr>
              <w:t>Favorable/(Unfavorable)</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2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Daily Volumes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6"/>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26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4"/>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(in thousands of barrels per day) </w:t>
            </w:r>
            <w:r>
              <w:rPr>
                <w:rFonts w:ascii="Times New Roman" w:cs="Times New Roman" w:eastAsia="Times New Roman" w:hAnsi="Times New Roman"/>
                <w:sz w:val="8"/>
                <w:szCs w:val="8"/>
                <w:b w:val="1"/>
                <w:bCs w:val="1"/>
                <w:color w:val="auto"/>
              </w:rPr>
              <w:t>(4)</w:t>
            </w:r>
          </w:p>
        </w:tc>
        <w:tc>
          <w:tcPr>
            <w:tcW w:w="4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6"/>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Volumes</w:t>
            </w:r>
          </w:p>
        </w:tc>
        <w:tc>
          <w:tcPr>
            <w:tcW w:w="860" w:type="dxa"/>
            <w:vAlign w:val="bottom"/>
            <w:tcBorders>
              <w:top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Tariff activities</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left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Crude Oil Pipelines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 American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Bakken Area Systems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Basin / Mesa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745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725</w:t>
            </w:r>
          </w:p>
        </w:tc>
        <w:tc>
          <w:tcPr>
            <w:tcW w:w="20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Capline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Eagle Ford Area Systems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Line 63 / Line 2000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Manito</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Mid-Continent Area Systems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Permian Basin Area Systems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760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477</w:t>
            </w:r>
          </w:p>
        </w:tc>
        <w:tc>
          <w:tcPr>
            <w:tcW w:w="20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Rainbow</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3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60" w:type="dxa"/>
            <w:vAlign w:val="bottom"/>
            <w:tcBorders>
              <w:right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60" w:type="dxa"/>
            <w:vAlign w:val="bottom"/>
            <w:tcBorders>
              <w:left w:val="single" w:sz="8" w:color="CCEEFF"/>
              <w:right w:val="single" w:sz="8" w:color="CCEEFF"/>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-2533015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-2533015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37" w:right="199" w:bottom="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Rangeland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shd w:val="clear" w:color="auto" w:fill="CCEEFF"/>
          </w:tcPr>
          <w:p>
            <w:pPr>
              <w:spacing w:after="0"/>
              <w:rPr>
                <w:sz w:val="18"/>
                <w:szCs w:val="18"/>
                <w:color w:val="auto"/>
              </w:rPr>
            </w:pPr>
          </w:p>
        </w:tc>
        <w:tc>
          <w:tcPr>
            <w:tcW w:w="148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Salt Lake City Area Systems</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131</w:t>
            </w:r>
          </w:p>
        </w:tc>
        <w:tc>
          <w:tcPr>
            <w:tcW w:w="14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South Saskatchewan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shd w:val="clear" w:color="auto" w:fill="CCEEFF"/>
          </w:tcPr>
          <w:p>
            <w:pPr>
              <w:spacing w:after="0"/>
              <w:rPr>
                <w:sz w:val="18"/>
                <w:szCs w:val="18"/>
                <w:color w:val="auto"/>
              </w:rPr>
            </w:pPr>
          </w:p>
        </w:tc>
        <w:tc>
          <w:tcPr>
            <w:tcW w:w="148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White Cliffs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8"/>
                <w:szCs w:val="18"/>
                <w:color w:val="auto"/>
              </w:rPr>
            </w:pPr>
          </w:p>
        </w:tc>
        <w:tc>
          <w:tcPr>
            <w:tcW w:w="14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661</w:t>
            </w:r>
          </w:p>
        </w:tc>
        <w:tc>
          <w:tcPr>
            <w:tcW w:w="148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734</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Pipelines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shd w:val="clear" w:color="auto" w:fill="CCEEFF"/>
          </w:tcPr>
          <w:p>
            <w:pPr>
              <w:spacing w:after="0"/>
              <w:rPr>
                <w:sz w:val="18"/>
                <w:szCs w:val="18"/>
                <w:color w:val="auto"/>
              </w:rPr>
            </w:pPr>
          </w:p>
        </w:tc>
        <w:tc>
          <w:tcPr>
            <w:tcW w:w="148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w:t>
            </w:r>
          </w:p>
        </w:tc>
        <w:tc>
          <w:tcPr>
            <w:tcW w:w="14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Refined Products Pipelines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Tariff activities total</w:t>
            </w:r>
          </w:p>
        </w:tc>
        <w:tc>
          <w:tcPr>
            <w:tcW w:w="13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30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260" w:type="dxa"/>
            <w:vAlign w:val="bottom"/>
            <w:tcBorders>
              <w:right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vMerge w:val="continue"/>
          </w:tcPr>
          <w:p>
            <w:pPr>
              <w:spacing w:after="0"/>
              <w:rPr>
                <w:sz w:val="18"/>
                <w:szCs w:val="18"/>
                <w:color w:val="auto"/>
              </w:rPr>
            </w:pPr>
          </w:p>
        </w:tc>
        <w:tc>
          <w:tcPr>
            <w:tcW w:w="1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Trucking</w:t>
            </w:r>
          </w:p>
        </w:tc>
        <w:tc>
          <w:tcPr>
            <w:tcW w:w="1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130</w:t>
            </w:r>
          </w:p>
        </w:tc>
        <w:tc>
          <w:tcPr>
            <w:tcW w:w="148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segment total</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3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144" w:lineRule="exact"/>
        <w:rPr>
          <w:sz w:val="20"/>
          <w:szCs w:val="20"/>
          <w:color w:val="auto"/>
        </w:rPr>
      </w:pPr>
    </w:p>
    <w:p>
      <w:pPr>
        <w:ind w:left="20" w:right="160" w:hanging="11"/>
        <w:spacing w:after="0" w:line="266" w:lineRule="auto"/>
        <w:rPr>
          <w:sz w:val="20"/>
          <w:szCs w:val="20"/>
          <w:color w:val="auto"/>
        </w:rPr>
      </w:pPr>
      <w:r>
        <w:rPr>
          <w:rFonts w:ascii="Times New Roman" w:cs="Times New Roman" w:eastAsia="Times New Roman" w:hAnsi="Times New Roman"/>
          <w:sz w:val="18"/>
          <w:szCs w:val="18"/>
          <w:color w:val="auto"/>
        </w:rPr>
        <w:t>Equity-indexed compensation expense shown in the table above includes expenses associated with awards that will or may be settled in units and awards that will or may be settled in cash. See Note 15 to our Consolidated Financial Statements included in Part IV of our 2013 Annual Report on Form 10-K for additional discussion regarding our equity-indexed compensation plans.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ind w:left="20" w:right="200" w:hanging="11"/>
        <w:spacing w:after="0" w:line="282" w:lineRule="auto"/>
        <w:rPr>
          <w:sz w:val="20"/>
          <w:szCs w:val="20"/>
          <w:color w:val="auto"/>
        </w:rPr>
      </w:pPr>
      <w:r>
        <w:rPr>
          <w:rFonts w:ascii="Times New Roman" w:cs="Times New Roman" w:eastAsia="Times New Roman" w:hAnsi="Times New Roman"/>
          <w:sz w:val="18"/>
          <w:szCs w:val="18"/>
          <w:color w:val="auto"/>
        </w:rPr>
        <w:t>Volumes associated with assets employed through acquisitions and internal growth projects represent total volumes (attributable to our interest) for the number of days we employed the assets divided by the number of days in the period.</w:t>
      </w:r>
    </w:p>
    <w:p>
      <w:pPr>
        <w:spacing w:after="0" w:line="94" w:lineRule="exact"/>
        <w:rPr>
          <w:sz w:val="20"/>
          <w:szCs w:val="20"/>
          <w:color w:val="auto"/>
        </w:rPr>
      </w:pPr>
    </w:p>
    <w:p>
      <w:pPr>
        <w:sectPr>
          <w:pgSz w:w="11900" w:h="16838" w:orient="portrait"/>
          <w:cols w:equalWidth="0" w:num="2">
            <w:col w:w="140" w:space="500"/>
            <w:col w:w="10780"/>
          </w:cols>
          <w:pgMar w:left="240" w:top="140" w:right="239" w:bottom="0" w:gutter="0" w:footer="0" w:header="0"/>
          <w:type w:val="continuous"/>
        </w:sect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leases generally reflects a negotiated amount.</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discussion of items impacting Transportation segment profit and segment profit per barrel for the periods indicated.</w:t>
      </w:r>
    </w:p>
    <w:p>
      <w:pPr>
        <w:spacing w:after="0" w:line="156" w:lineRule="exact"/>
        <w:rPr>
          <w:sz w:val="20"/>
          <w:szCs w:val="20"/>
          <w:color w:val="auto"/>
        </w:rPr>
      </w:pPr>
    </w:p>
    <w:p>
      <w:pPr>
        <w:jc w:val="both"/>
        <w:ind w:right="5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Revenues and Volumes. </w:t>
      </w:r>
      <w:r>
        <w:rPr>
          <w:rFonts w:ascii="Times New Roman" w:cs="Times New Roman" w:eastAsia="Times New Roman" w:hAnsi="Times New Roman"/>
          <w:sz w:val="18"/>
          <w:szCs w:val="18"/>
          <w:color w:val="auto"/>
        </w:rPr>
        <w:t>As noted in the table above, our total Transportation segment revenues, net of trucking costs, and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for the three months ended March 31, 2014 compared to the three months ended March 31, 2013. Our Transportation segment results for the comparative periods were impacted by the following:</w:t>
      </w:r>
    </w:p>
    <w:p>
      <w:pPr>
        <w:spacing w:after="0" w:line="108" w:lineRule="exact"/>
        <w:rPr>
          <w:sz w:val="20"/>
          <w:szCs w:val="20"/>
          <w:color w:val="auto"/>
        </w:rPr>
      </w:pPr>
    </w:p>
    <w:p>
      <w:pPr>
        <w:ind w:left="660" w:right="80" w:hanging="328"/>
        <w:spacing w:after="0" w:line="256" w:lineRule="auto"/>
        <w:tabs>
          <w:tab w:leader="none" w:pos="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American Crude Oil Production and Related Expansion Projects — For the three months ended March 31, 2014, we experienced favorable volume and revenue variances due to increased producer drilling activities as well as the completion of certain of our expansion projects, most notably on our Permian Basin and Eagle Ford Area Systems and our Basin and Mesa pipelines. The Permian Basin Area Systems also benefited from increased movements to a new third-party pipeline connected to Gulf Coast markets. We estimate that increased production combined with our phased-in expansion projects increased revenues by approximately $22 million for the three months ended March 31, 2014 compared to the three months ended March 31, 2013.</w:t>
      </w:r>
    </w:p>
    <w:p>
      <w:pPr>
        <w:spacing w:after="0" w:line="120"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Allowance Revenue — As is common in the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increased by approximately $10 million for the three months ended March 31, 2014 compared to three months ended March 31, 2013 driven by higher volumes, as well as a higher average realized price per barrel (including the impact of gains and losses from derivative-related activities).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right="160" w:hanging="328"/>
        <w:spacing w:after="0" w:line="266" w:lineRule="auto"/>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Refined Products Pipelines — We sold certain refined products pipeline systems and related assets in July 2013 and November 2013. As we did not own these assets during the three months ended March 31, 2014, our revenues and volumes were lower by approximately $10 million and 101,000 barrels per day, respectively, as compared to the three months ended March 31, 2013.</w:t>
      </w:r>
    </w:p>
    <w:p>
      <w:pPr>
        <w:spacing w:after="0" w:line="108" w:lineRule="exact"/>
        <w:rPr>
          <w:rFonts w:ascii="Times New Roman" w:cs="Times New Roman" w:eastAsia="Times New Roman" w:hAnsi="Times New Roman"/>
          <w:sz w:val="18"/>
          <w:szCs w:val="18"/>
          <w:color w:val="auto"/>
        </w:rPr>
      </w:pPr>
    </w:p>
    <w:p>
      <w:pPr>
        <w:ind w:left="660" w:right="300" w:hanging="328"/>
        <w:spacing w:after="0" w:line="258" w:lineRule="auto"/>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Impact — Revenues and expenses from our Canadian based subsidiaries, which use the Canadian dollar as their functional currency, are translated at the prevailing average exchange rates for each month. The average CAD to USD exchange rates for the three months ended March 31, 2014 and 2013 were $1.10 CAD: $1.00 USD and $1.01 CAD: $1.00 USD, respectively. Therefore, revenues from our Canadian pipeline systems and trucking operations were unfavorably impacted by approximately $8 million for the three months ended March 31, 2014 compared to the three months ended March 31, 2013 due to the depreciation of the Canadian dollar relative to the U.S. dollar.</w:t>
      </w:r>
    </w:p>
    <w:p>
      <w:pPr>
        <w:spacing w:after="0" w:line="116" w:lineRule="exact"/>
        <w:rPr>
          <w:sz w:val="20"/>
          <w:szCs w:val="20"/>
          <w:color w:val="auto"/>
        </w:rPr>
      </w:pPr>
    </w:p>
    <w:p>
      <w:pPr>
        <w:ind w:right="340" w:firstLine="648"/>
        <w:spacing w:after="0" w:line="257" w:lineRule="auto"/>
        <w:rPr>
          <w:sz w:val="20"/>
          <w:szCs w:val="20"/>
          <w:color w:val="auto"/>
        </w:rPr>
      </w:pPr>
      <w:r>
        <w:rPr>
          <w:rFonts w:ascii="Times New Roman" w:cs="Times New Roman" w:eastAsia="Times New Roman" w:hAnsi="Times New Roman"/>
          <w:sz w:val="18"/>
          <w:szCs w:val="18"/>
          <w:color w:val="auto"/>
        </w:rPr>
        <w:t>Additional noteworthy volume and revenue variances on our pipelines for the three months ended March 31, 2014 compared to the three months ended March 31, 2013 are (i) decreased volumes and revenues on certain of our NGL pipelines due to the discontinuation of an agreement in 2014 to transport volumes on such pipelines and netting joint venture related volumes to our share on a certain pipeline in 2014, which did not impact revenues,</w:t>
      </w:r>
    </w:p>
    <w:p>
      <w:pPr>
        <w:spacing w:after="0" w:line="2" w:lineRule="exact"/>
        <w:rPr>
          <w:sz w:val="20"/>
          <w:szCs w:val="20"/>
          <w:color w:val="auto"/>
        </w:rPr>
      </w:pPr>
    </w:p>
    <w:p>
      <w:pPr>
        <w:ind w:right="20" w:firstLine="8"/>
        <w:spacing w:after="0" w:line="252" w:lineRule="auto"/>
        <w:tabs>
          <w:tab w:leader="none" w:pos="2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volumes and revenues from our new Mississippian Lime pipeline, which was placed into service in the third quarter of 2013, (iii) decreased volumes and revenues on our Capline pipeline due to refinery turnaround in the first quarter of 2014, (iv) decreased volumes and revenues on our All American pipeline due to maintenance issues and (v) a net decrease in volumes on our crude oil pipelines included in “Other” in the table above, a majority of which is related to (a) pipelines subject to long-term lease commitments with annual service payments whereby volumes may fluctuate, but such fluctuations do not have a meaningful impact on revenue and (b) pipelines impacted by third-party connection shut-downs and line repairs, which also did not have a significant impact on revenues for the period.</w:t>
      </w:r>
    </w:p>
    <w:p>
      <w:pPr>
        <w:spacing w:after="0" w:line="12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Equity-Indexed Compensation Expense. </w:t>
      </w:r>
      <w:r>
        <w:rPr>
          <w:rFonts w:ascii="Times New Roman" w:cs="Times New Roman" w:eastAsia="Times New Roman" w:hAnsi="Times New Roman"/>
          <w:sz w:val="18"/>
          <w:szCs w:val="18"/>
          <w:color w:val="auto"/>
        </w:rPr>
        <w:t>On a consolidated basis across all segments, equity-indexed compensation expense decreased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2014 compared to the three months ended March 31, 2013, primarily due to a less significant impact of the increase in unit price during the three months ended March 31, 2014 compared to the three months ended March 31, 2013. See Note 15 to our Consolidated Financial Statements included in Part IV of our 2013 Annual Report on Form 10-K for additional information regarding our equity-indexed compensation plans.</w:t>
      </w:r>
    </w:p>
    <w:p>
      <w:pPr>
        <w:sectPr>
          <w:pgSz w:w="11900" w:h="16838" w:orient="portrait"/>
          <w:cols w:equalWidth="0" w:num="1">
            <w:col w:w="11420"/>
          </w:cols>
          <w:pgMar w:left="240" w:top="140" w:right="239" w:bottom="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both"/>
        <w:ind w:right="5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Equity Earnings in Unconsolidated Entities</w:t>
      </w:r>
      <w:r>
        <w:rPr>
          <w:rFonts w:ascii="Times New Roman" w:cs="Times New Roman" w:eastAsia="Times New Roman" w:hAnsi="Times New Roman"/>
          <w:sz w:val="18"/>
          <w:szCs w:val="18"/>
          <w:color w:val="auto"/>
        </w:rPr>
        <w:t>. The favorable variance in equity earnings in unconsolidated entities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2014 compared to the three months ended March 31, 2013 was largely due to increased throughput on the Eagle Ford pipeline as a result of increased production, as discussed above.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Facilities Segment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operating results from our Facilities segment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8"/>
                <w:szCs w:val="8"/>
                <w:b w:val="1"/>
                <w:bCs w:val="1"/>
                <w:color w:val="auto"/>
              </w:rPr>
              <w:t>(1)</w:t>
            </w:r>
          </w:p>
        </w:tc>
        <w:tc>
          <w:tcPr>
            <w:tcW w:w="320" w:type="dxa"/>
            <w:vAlign w:val="bottom"/>
          </w:tcPr>
          <w:p>
            <w:pPr>
              <w:spacing w:after="0"/>
              <w:rPr>
                <w:sz w:val="13"/>
                <w:szCs w:val="13"/>
                <w:color w:val="auto"/>
              </w:rPr>
            </w:pPr>
          </w:p>
        </w:tc>
        <w:tc>
          <w:tcPr>
            <w:tcW w:w="1820" w:type="dxa"/>
            <w:vAlign w:val="bottom"/>
            <w:gridSpan w:val="3"/>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40" w:type="dxa"/>
            <w:vAlign w:val="bottom"/>
            <w:gridSpan w:val="5"/>
          </w:tcPr>
          <w:p>
            <w:pPr>
              <w:jc w:val="center"/>
              <w:ind w:right="430"/>
              <w:spacing w:after="0"/>
              <w:rPr>
                <w:sz w:val="20"/>
                <w:szCs w:val="20"/>
                <w:color w:val="auto"/>
              </w:rPr>
            </w:pPr>
            <w:r>
              <w:rPr>
                <w:rFonts w:ascii="Times New Roman" w:cs="Times New Roman" w:eastAsia="Times New Roman" w:hAnsi="Times New Roman"/>
                <w:sz w:val="14"/>
                <w:szCs w:val="14"/>
                <w:b w:val="1"/>
                <w:bCs w:val="1"/>
                <w:color w:val="auto"/>
              </w:rPr>
              <w:t>Favorable/(Unfavorable)</w:t>
            </w:r>
          </w:p>
        </w:tc>
        <w:tc>
          <w:tcPr>
            <w:tcW w:w="0" w:type="dxa"/>
            <w:vAlign w:val="bottom"/>
          </w:tcPr>
          <w:p>
            <w:pPr>
              <w:spacing w:after="0"/>
              <w:rPr>
                <w:sz w:val="1"/>
                <w:szCs w:val="1"/>
                <w:color w:val="auto"/>
              </w:rPr>
            </w:pPr>
          </w:p>
        </w:tc>
      </w:tr>
      <w:tr>
        <w:trPr>
          <w:trHeight w:val="173"/>
        </w:trPr>
        <w:tc>
          <w:tcPr>
            <w:tcW w:w="4640" w:type="dxa"/>
            <w:vAlign w:val="bottom"/>
            <w:gridSpan w:val="2"/>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ind w:left="675"/>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barrel amounts)</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Natural gas sales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w:t>
            </w:r>
          </w:p>
        </w:tc>
        <w:tc>
          <w:tcPr>
            <w:tcW w:w="3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Storage related costs (natural gas related)</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Natural gas sales costs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w:t>
            </w:r>
          </w:p>
        </w:tc>
        <w:tc>
          <w:tcPr>
            <w:tcW w:w="36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4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Field operating costs (excluding equity-indexed</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w:t>
            </w:r>
          </w:p>
        </w:tc>
        <w:tc>
          <w:tcPr>
            <w:tcW w:w="46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Equity-indexed compensation expense - operations </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(4)</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(excluding equity-indexed compensation expense)</w:t>
            </w: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4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 general and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gridSpan w:val="2"/>
          </w:tcPr>
          <w:p>
            <w:pPr>
              <w:ind w:left="180"/>
              <w:spacing w:after="0" w:line="234" w:lineRule="exact"/>
              <w:rPr>
                <w:sz w:val="20"/>
                <w:szCs w:val="20"/>
                <w:color w:val="auto"/>
              </w:rPr>
            </w:pPr>
            <w:r>
              <w:rPr>
                <w:rFonts w:ascii="Times New Roman" w:cs="Times New Roman" w:eastAsia="Times New Roman" w:hAnsi="Times New Roman"/>
                <w:sz w:val="18"/>
                <w:szCs w:val="18"/>
                <w:color w:val="auto"/>
              </w:rPr>
              <w:t xml:space="preserve">administrative </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0"/>
                <w:szCs w:val="20"/>
                <w:color w:val="auto"/>
              </w:rPr>
            </w:pP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6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gridSpan w:val="2"/>
            <w:vMerge w:val="continue"/>
          </w:tcPr>
          <w:p>
            <w:pPr>
              <w:spacing w:after="0"/>
              <w:rPr>
                <w:sz w:val="20"/>
                <w:szCs w:val="20"/>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0"/>
                <w:szCs w:val="20"/>
                <w:color w:val="auto"/>
              </w:rPr>
            </w:pP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right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20"/>
                <w:szCs w:val="20"/>
                <w:color w:val="auto"/>
              </w:rPr>
            </w:pPr>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7"/>
        </w:trPr>
        <w:tc>
          <w:tcPr>
            <w:tcW w:w="464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Segment profit per barrel</w:t>
            </w: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2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jc w:val="right"/>
              <w:ind w:right="50"/>
              <w:spacing w:after="0" w:line="195"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3"/>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5"/>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rPr>
              <w:t>Favorable/(Unfavorable)</w:t>
            </w:r>
          </w:p>
        </w:tc>
        <w:tc>
          <w:tcPr>
            <w:tcW w:w="0" w:type="dxa"/>
            <w:vAlign w:val="bottom"/>
          </w:tcPr>
          <w:p>
            <w:pPr>
              <w:spacing w:after="0"/>
              <w:rPr>
                <w:sz w:val="1"/>
                <w:szCs w:val="1"/>
                <w:color w:val="auto"/>
              </w:rPr>
            </w:pPr>
          </w:p>
        </w:tc>
      </w:tr>
      <w:tr>
        <w:trPr>
          <w:trHeight w:val="173"/>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Volumes </w:t>
            </w:r>
            <w:r>
              <w:rPr>
                <w:rFonts w:ascii="Times New Roman" w:cs="Times New Roman" w:eastAsia="Times New Roman" w:hAnsi="Times New Roman"/>
                <w:sz w:val="8"/>
                <w:szCs w:val="8"/>
                <w:b w:val="1"/>
                <w:bCs w:val="1"/>
                <w:color w:val="auto"/>
              </w:rPr>
              <w:t>(5)</w:t>
            </w:r>
          </w:p>
        </w:tc>
        <w:tc>
          <w:tcPr>
            <w:tcW w:w="200" w:type="dxa"/>
            <w:vAlign w:val="bottom"/>
            <w:vMerge w:val="restart"/>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ind w:left="655"/>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Volumes</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4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Crude oil, refined products and NGL terminalling and</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storage (average monthly capacity in millions of barrels)</w:t>
            </w:r>
          </w:p>
        </w:tc>
        <w:tc>
          <w:tcPr>
            <w:tcW w:w="3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vMerge w:val="continue"/>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2"/>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Rail load / unload volumes (average volumes in thousands of</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6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00" w:type="dxa"/>
            <w:vAlign w:val="bottom"/>
            <w:vMerge w:val="restart"/>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tcBorders>
              <w:right w:val="single" w:sz="8" w:color="auto"/>
            </w:tcBorders>
            <w:vMerge w:val="restart"/>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13"/>
                <w:szCs w:val="13"/>
                <w:color w:val="auto"/>
              </w:rPr>
            </w:pPr>
          </w:p>
        </w:tc>
        <w:tc>
          <w:tcPr>
            <w:tcW w:w="12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1"/>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barrels per day)</w:t>
            </w:r>
          </w:p>
        </w:tc>
        <w:tc>
          <w:tcPr>
            <w:tcW w:w="3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40" w:type="dxa"/>
            <w:vAlign w:val="bottom"/>
            <w:tcBorders>
              <w:right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gridSpan w:val="2"/>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Natural gas storage (average monthly capacity in billions of</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64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Borders>
              <w:right w:val="single" w:sz="8" w:color="auto"/>
            </w:tcBorders>
            <w:vMerge w:val="restart"/>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1"/>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cubic feet)</w:t>
            </w:r>
          </w:p>
        </w:tc>
        <w:tc>
          <w:tcPr>
            <w:tcW w:w="3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40" w:type="dxa"/>
            <w:vAlign w:val="bottom"/>
            <w:tcBorders>
              <w:right w:val="single" w:sz="8" w:color="auto"/>
            </w:tcBorders>
            <w:vMerge w:val="continue"/>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2"/>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NGL fractionation (average volumes in thousands of barrels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6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right w:val="single" w:sz="8" w:color="auto"/>
            </w:tcBorders>
            <w:vMerge w:val="restart"/>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spacing w:after="0"/>
              <w:rPr>
                <w:sz w:val="13"/>
                <w:szCs w:val="13"/>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1"/>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 day)</w:t>
            </w:r>
          </w:p>
        </w:tc>
        <w:tc>
          <w:tcPr>
            <w:tcW w:w="3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40" w:type="dxa"/>
            <w:vAlign w:val="bottom"/>
            <w:tcBorders>
              <w:right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gridSpan w:val="2"/>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Facilities segment total (average monthly volumes in</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64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00" w:type="dxa"/>
            <w:vAlign w:val="bottom"/>
            <w:vMerge w:val="restart"/>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Borders>
              <w:right w:val="single" w:sz="8" w:color="auto"/>
            </w:tcBorders>
            <w:vMerge w:val="restart"/>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1"/>
        </w:trPr>
        <w:tc>
          <w:tcPr>
            <w:tcW w:w="4640" w:type="dxa"/>
            <w:vAlign w:val="bottom"/>
            <w:gridSpan w:val="2"/>
            <w:shd w:val="clear" w:color="auto" w:fill="CCEEFF"/>
          </w:tcPr>
          <w:p>
            <w:pPr>
              <w:ind w:left="180"/>
              <w:spacing w:after="0" w:line="221" w:lineRule="exact"/>
              <w:rPr>
                <w:sz w:val="20"/>
                <w:szCs w:val="20"/>
                <w:color w:val="auto"/>
              </w:rPr>
            </w:pPr>
            <w:r>
              <w:rPr>
                <w:rFonts w:ascii="Times New Roman" w:cs="Times New Roman" w:eastAsia="Times New Roman" w:hAnsi="Times New Roman"/>
                <w:sz w:val="18"/>
                <w:szCs w:val="18"/>
                <w:color w:val="auto"/>
              </w:rPr>
              <w:t xml:space="preserve">millions of barrels) </w:t>
            </w:r>
            <w:r>
              <w:rPr>
                <w:rFonts w:ascii="Times New Roman" w:cs="Times New Roman" w:eastAsia="Times New Roman" w:hAnsi="Times New Roman"/>
                <w:sz w:val="23"/>
                <w:szCs w:val="23"/>
                <w:color w:val="auto"/>
                <w:vertAlign w:val="superscript"/>
              </w:rPr>
              <w:t>(6)</w:t>
            </w:r>
          </w:p>
        </w:tc>
        <w:tc>
          <w:tcPr>
            <w:tcW w:w="3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40" w:type="dxa"/>
            <w:vAlign w:val="bottom"/>
            <w:tcBorders>
              <w:right w:val="single" w:sz="8" w:color="auto"/>
            </w:tcBorders>
            <w:vMerge w:val="continue"/>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225" w:lineRule="exact"/>
        <w:rPr>
          <w:sz w:val="20"/>
          <w:szCs w:val="20"/>
          <w:color w:val="auto"/>
        </w:rPr>
      </w:pPr>
    </w:p>
    <w:p>
      <w:pPr>
        <w:ind w:left="20" w:right="300" w:hanging="11"/>
        <w:spacing w:after="0" w:line="282" w:lineRule="auto"/>
        <w:rPr>
          <w:sz w:val="20"/>
          <w:szCs w:val="20"/>
          <w:color w:val="auto"/>
        </w:rPr>
      </w:pPr>
      <w:r>
        <w:rPr>
          <w:rFonts w:ascii="Times New Roman" w:cs="Times New Roman" w:eastAsia="Times New Roman" w:hAnsi="Times New Roman"/>
          <w:sz w:val="18"/>
          <w:szCs w:val="18"/>
          <w:color w:val="auto"/>
        </w:rPr>
        <w:t>Effective January 1, 2014, our natural gas sales and costs, primarily attributable to the activities performed by our natural gas storage commercial optimization group, are reported in the Supply and Logistics segment.</w:t>
      </w:r>
    </w:p>
    <w:p>
      <w:pPr>
        <w:spacing w:after="0" w:line="16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83820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337" w:right="239" w:bottom="0" w:gutter="0" w:footer="0" w:header="0"/>
          <w:type w:val="continuous"/>
        </w:sectPr>
      </w:pPr>
    </w:p>
    <w:p>
      <w:pPr>
        <w:spacing w:after="0" w:line="30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right="160" w:hanging="652"/>
        <w:spacing w:after="0" w:line="235" w:lineRule="auto"/>
        <w:tabs>
          <w:tab w:leader="none" w:pos="64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Equity-indexed compensation expense shown in the table above includes expenses associated with awards that will or may be settled in units and awards that will or may be settled in cash. See Note 15 to our Consolidated Financial Statements included in Part IV of our 2013 Annual Report on Form 10-K for additional discussion regarding our equity-indexed compensation plans.</w:t>
      </w:r>
    </w:p>
    <w:p>
      <w:pPr>
        <w:sectPr>
          <w:pgSz w:w="11900" w:h="16838" w:orient="portrait"/>
          <w:cols w:equalWidth="0" w:num="1">
            <w:col w:w="11420"/>
          </w:cols>
          <w:pgMar w:left="240" w:top="337" w:right="239"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207" w:lineRule="exact"/>
        <w:rPr>
          <w:sz w:val="20"/>
          <w:szCs w:val="20"/>
          <w:color w:val="auto"/>
        </w:rPr>
      </w:pPr>
    </w:p>
    <w:p>
      <w:pPr>
        <w:ind w:left="20" w:right="340" w:hanging="11"/>
        <w:spacing w:after="0" w:line="282" w:lineRule="auto"/>
        <w:rPr>
          <w:sz w:val="20"/>
          <w:szCs w:val="20"/>
          <w:color w:val="auto"/>
        </w:rPr>
      </w:pPr>
      <w:r>
        <w:rPr>
          <w:rFonts w:ascii="Times New Roman" w:cs="Times New Roman" w:eastAsia="Times New Roman" w:hAnsi="Times New Roman"/>
          <w:sz w:val="18"/>
          <w:szCs w:val="18"/>
          <w:color w:val="auto"/>
        </w:rPr>
        <w:t>Volumes associated with assets employed through acquisitions and internal growth projects represent total volumes for the number of months we employed the assets divided by the number of months in the period.</w:t>
      </w:r>
    </w:p>
    <w:p>
      <w:pPr>
        <w:spacing w:after="0" w:line="162" w:lineRule="exact"/>
        <w:rPr>
          <w:sz w:val="20"/>
          <w:szCs w:val="20"/>
          <w:color w:val="auto"/>
        </w:rPr>
      </w:pPr>
    </w:p>
    <w:p>
      <w:pPr>
        <w:ind w:left="20" w:hanging="7"/>
        <w:spacing w:after="0" w:line="261" w:lineRule="auto"/>
        <w:rPr>
          <w:sz w:val="20"/>
          <w:szCs w:val="20"/>
          <w:color w:val="auto"/>
        </w:rPr>
      </w:pPr>
      <w:r>
        <w:rPr>
          <w:rFonts w:ascii="Times New Roman" w:cs="Times New Roman" w:eastAsia="Times New Roman" w:hAnsi="Times New Roman"/>
          <w:sz w:val="18"/>
          <w:szCs w:val="18"/>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sectPr>
          <w:pgSz w:w="11900" w:h="16838" w:orient="portrait"/>
          <w:cols w:equalWidth="0" w:num="2">
            <w:col w:w="160" w:space="480"/>
            <w:col w:w="10780"/>
          </w:cols>
          <w:pgMar w:left="240" w:top="337" w:right="239" w:bottom="0" w:gutter="0" w:footer="0" w:header="0"/>
          <w:type w:val="continuous"/>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The following is a discussion of items impacting Facilities segment profit and segment profit per barrel for the periods indicated.</w:t>
      </w:r>
    </w:p>
    <w:p>
      <w:pPr>
        <w:spacing w:after="0" w:line="223"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Revenues and Volumes. </w:t>
      </w:r>
      <w:r>
        <w:rPr>
          <w:rFonts w:ascii="Times New Roman" w:cs="Times New Roman" w:eastAsia="Times New Roman" w:hAnsi="Times New Roman"/>
          <w:sz w:val="18"/>
          <w:szCs w:val="18"/>
          <w:color w:val="auto"/>
        </w:rPr>
        <w:t>As noted in the table above, our Facilities segment revenues, less storage related costs, and volumes increased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comparative period presented. The significant variances in revenues and average monthly volumes between the comparative periods are primarily due to our ongoing acquisition and expansion activities as discussed below:</w:t>
      </w:r>
    </w:p>
    <w:p>
      <w:pPr>
        <w:spacing w:after="0" w:line="176" w:lineRule="exact"/>
        <w:rPr>
          <w:sz w:val="20"/>
          <w:szCs w:val="20"/>
          <w:color w:val="auto"/>
        </w:rPr>
      </w:pPr>
    </w:p>
    <w:p>
      <w:pPr>
        <w:ind w:left="660" w:right="220" w:hanging="328"/>
        <w:spacing w:after="0" w:line="258" w:lineRule="auto"/>
        <w:tabs>
          <w:tab w:leader="none" w:pos="6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Fractionation, NGL Storage and Gas Processing Activities —Revenues from our NGL fractionation and storage and gas processing activities increased by approximately $23 million for the three months ended March 31, 2014 compared to the three months ended March 31, 2013. This increase was largely driven by increased facility fees and higher processing gains related to the component mix of the products. NGL fractionation volumes, however, were lower during the first quarter of 2014 relative to the comparative period primarily related to reduced streams of NGL mix supply at certain of our facilities that resulted in decreased production rates.</w:t>
      </w:r>
    </w:p>
    <w:p>
      <w:pPr>
        <w:spacing w:after="0" w:line="184"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This favorable revenue variance was partially offset by unfavorable foreign exchange impact of approximately $6 million. The average CAD to USD exchange rates for the three months ended March 31, 2014 and 2013 were $1.10 CAD: $1.00 USD and $1.01 CAD: $1.00 USD, respectively. Therefore, revenues from our Canadian operations in our Facilities segment were unfavorably impacted for the three months ended March 31, 2014 compared to the three months ended March 31, 2013 due to the depreciation of the Canadian dollar relative to the U.S. dollar.</w:t>
      </w:r>
    </w:p>
    <w:p>
      <w:pPr>
        <w:spacing w:after="0" w:line="180" w:lineRule="exact"/>
        <w:rPr>
          <w:sz w:val="20"/>
          <w:szCs w:val="20"/>
          <w:color w:val="auto"/>
        </w:rPr>
      </w:pPr>
    </w:p>
    <w:p>
      <w:pPr>
        <w:ind w:left="660" w:right="180" w:hanging="328"/>
        <w:spacing w:after="0" w:line="261" w:lineRule="auto"/>
        <w:tabs>
          <w:tab w:leader="none" w:pos="6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Storage Operations — Net revenues from our natural gas storage operations decreased by approximately $12 million for the three months ended March 31, 2014 compared to the three months ended March 31, 2013, primarily due to costs incurred in our natural gas storage activities to manage deliverability requirements in conjunction with the extended period of severe cold weather experienced during the first quarter of 2014.</w:t>
      </w:r>
    </w:p>
    <w:p>
      <w:pPr>
        <w:spacing w:after="0" w:line="180"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Rail Terminals — Revenue and volumes from rail load and unload activities increased by approximately $3 million and 13,300 barrels per day, respectively, for the three months ended March 31, 2014 compared to the three months ended March 31, 2013. These increases were primarily due to new rail terminals that came online in the fourth quarter of 2013, partially offset by the unfavorable impact of weather-related issues at certain of our terminals.</w:t>
      </w:r>
    </w:p>
    <w:p>
      <w:pPr>
        <w:spacing w:after="0" w:line="178"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Field operating costs (excluding equity-indexed compensation expenses) increased during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compared to the three months ended March 31, 2013 due to (i) growth in our rail terminal operations, resulting in increased operating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increased utility costs due primarily to higher power and gas prices and (iii) a change in classification of costs from General and Administrative Expenses.</w:t>
      </w:r>
    </w:p>
    <w:p>
      <w:pPr>
        <w:spacing w:after="0" w:line="205" w:lineRule="exact"/>
        <w:rPr>
          <w:sz w:val="20"/>
          <w:szCs w:val="20"/>
          <w:color w:val="auto"/>
        </w:rPr>
      </w:pPr>
    </w:p>
    <w:p>
      <w:pPr>
        <w:ind w:right="2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(excluding equity-indexed compensation expenses) decreased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2014 compared to the three months ended March 31, 2013 primarily due to a change in classification of costs to Field Operating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4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Maintenance Capital. </w:t>
      </w:r>
      <w:r>
        <w:rPr>
          <w:rFonts w:ascii="Times New Roman" w:cs="Times New Roman" w:eastAsia="Times New Roman" w:hAnsi="Times New Roman"/>
          <w:sz w:val="18"/>
          <w:szCs w:val="18"/>
          <w:color w:val="auto"/>
        </w:rPr>
        <w:t>Maintenance capital consists of capital expenditures for the replacement of partially or fully depreciated assets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the operating and/or earnings capacity of our existing assets. The increase in maintenance capital for the three months ended March 31, 2014 compared to the three months ended March 31, 2013 is primarily due to increased investments on integrity-related projects.</w:t>
      </w:r>
    </w:p>
    <w:p>
      <w:pPr>
        <w:spacing w:after="0" w:line="174"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Equity-Indexed Compensation Expense. </w:t>
      </w:r>
      <w:r>
        <w:rPr>
          <w:rFonts w:ascii="Times New Roman" w:cs="Times New Roman" w:eastAsia="Times New Roman" w:hAnsi="Times New Roman"/>
          <w:sz w:val="18"/>
          <w:szCs w:val="18"/>
          <w:color w:val="auto"/>
        </w:rPr>
        <w:t>On a consolidated basis across all segments, equity-indexed compensation expense decreased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2014 compared to the three months ended March 31, 2013. See the discussion regarding such variances under “— Transportation Segment” above. Also, see Note 15 to our condensed consolidated financial statements included in Part IV of our 2013 Annual Report on Form 10-K for additional information regarding our equity-indexed compensation plans.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Supply and Logistics Segment</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We do not anticipate that future changes in revenues resulting from variances in commodity prices will be a primary driver of segment profit. Generally, we expect our segment profit to increase or decrease directionally with (i) increases or decreases in our Supply and Logistics segment volumes (which consist of lease gathering crude oil purchase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operating results from our Supply and Logistics segment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8"/>
                <w:szCs w:val="8"/>
                <w:b w:val="1"/>
                <w:bCs w:val="1"/>
                <w:color w:val="auto"/>
              </w:rPr>
              <w:t>(1)(2)</w:t>
            </w:r>
          </w:p>
        </w:tc>
        <w:tc>
          <w:tcPr>
            <w:tcW w:w="280" w:type="dxa"/>
            <w:vAlign w:val="bottom"/>
          </w:tcPr>
          <w:p>
            <w:pPr>
              <w:spacing w:after="0"/>
              <w:rPr>
                <w:sz w:val="13"/>
                <w:szCs w:val="13"/>
                <w:color w:val="auto"/>
              </w:rPr>
            </w:pPr>
          </w:p>
        </w:tc>
        <w:tc>
          <w:tcPr>
            <w:tcW w:w="172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8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Favorable/(Unfavorable)</w:t>
            </w:r>
          </w:p>
        </w:tc>
        <w:tc>
          <w:tcPr>
            <w:tcW w:w="0" w:type="dxa"/>
            <w:vAlign w:val="bottom"/>
          </w:tcPr>
          <w:p>
            <w:pPr>
              <w:spacing w:after="0"/>
              <w:rPr>
                <w:sz w:val="1"/>
                <w:szCs w:val="1"/>
                <w:color w:val="auto"/>
              </w:rPr>
            </w:pPr>
          </w:p>
        </w:tc>
      </w:tr>
      <w:tr>
        <w:trPr>
          <w:trHeight w:val="173"/>
        </w:trPr>
        <w:tc>
          <w:tcPr>
            <w:tcW w:w="5160" w:type="dxa"/>
            <w:vAlign w:val="bottom"/>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barrel amounts)</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2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(9,636)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(1,339)</w:t>
            </w:r>
          </w:p>
        </w:tc>
        <w:tc>
          <w:tcPr>
            <w:tcW w:w="360" w:type="dxa"/>
            <w:vAlign w:val="bottom"/>
          </w:tcPr>
          <w:p>
            <w:pPr>
              <w:spacing w:after="0"/>
              <w:rPr>
                <w:sz w:val="18"/>
                <w:szCs w:val="18"/>
                <w:color w:val="auto"/>
              </w:rPr>
            </w:pPr>
          </w:p>
        </w:tc>
        <w:tc>
          <w:tcPr>
            <w:tcW w:w="1140" w:type="dxa"/>
            <w:vAlign w:val="bottom"/>
            <w:gridSpan w:val="2"/>
          </w:tcPr>
          <w:p>
            <w:pPr>
              <w:jc w:val="center"/>
              <w:ind w:left="532"/>
              <w:spacing w:after="0"/>
              <w:rPr>
                <w:sz w:val="20"/>
                <w:szCs w:val="20"/>
                <w:color w:val="auto"/>
              </w:rPr>
            </w:pPr>
            <w:r>
              <w:rPr>
                <w:rFonts w:ascii="Times New Roman" w:cs="Times New Roman" w:eastAsia="Times New Roman" w:hAnsi="Times New Roman"/>
                <w:sz w:val="18"/>
                <w:szCs w:val="18"/>
                <w:color w:val="auto"/>
                <w:w w:val="97"/>
              </w:rPr>
              <w:t>(14)%</w:t>
            </w: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Field operating costs (excluding equity-indexed compensation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Equity-indexed compensation expense - operations </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center"/>
              <w:ind w:left="532"/>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7"/>
                <w:szCs w:val="17"/>
                <w:color w:val="auto"/>
              </w:rPr>
              <w:t xml:space="preserve"> (excluding equity-</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indexed compensation expense)</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auto"/>
              </w:rPr>
              <w:t>Equity-indexed compensation expense - general and administrative</w:t>
            </w:r>
          </w:p>
        </w:tc>
        <w:tc>
          <w:tcPr>
            <w:tcW w:w="280" w:type="dxa"/>
            <w:vAlign w:val="bottom"/>
          </w:tcPr>
          <w:p>
            <w:pPr>
              <w:spacing w:after="0"/>
              <w:rPr>
                <w:sz w:val="14"/>
                <w:szCs w:val="14"/>
                <w:color w:val="auto"/>
              </w:rPr>
            </w:pP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4"/>
                <w:szCs w:val="14"/>
                <w:color w:val="auto"/>
              </w:rPr>
            </w:pPr>
          </w:p>
        </w:tc>
        <w:tc>
          <w:tcPr>
            <w:tcW w:w="1140" w:type="dxa"/>
            <w:vAlign w:val="bottom"/>
            <w:gridSpan w:val="2"/>
            <w:vMerge w:val="restart"/>
          </w:tcPr>
          <w:p>
            <w:pPr>
              <w:jc w:val="center"/>
              <w:ind w:left="532"/>
              <w:spacing w:after="0"/>
              <w:rPr>
                <w:sz w:val="20"/>
                <w:szCs w:val="20"/>
                <w:color w:val="auto"/>
              </w:rPr>
            </w:pPr>
            <w:r>
              <w:rPr>
                <w:rFonts w:ascii="Times New Roman" w:cs="Times New Roman" w:eastAsia="Times New Roman" w:hAnsi="Times New Roman"/>
                <w:sz w:val="18"/>
                <w:szCs w:val="18"/>
                <w:color w:val="auto"/>
                <w:w w:val="96"/>
              </w:rPr>
              <w:t>15%</w:t>
            </w:r>
          </w:p>
        </w:tc>
        <w:tc>
          <w:tcPr>
            <w:tcW w:w="0" w:type="dxa"/>
            <w:vAlign w:val="bottom"/>
          </w:tcPr>
          <w:p>
            <w:pPr>
              <w:spacing w:after="0"/>
              <w:rPr>
                <w:sz w:val="1"/>
                <w:szCs w:val="1"/>
                <w:color w:val="auto"/>
              </w:rPr>
            </w:pPr>
          </w:p>
        </w:tc>
      </w:tr>
      <w:tr>
        <w:trPr>
          <w:trHeight w:val="189"/>
        </w:trPr>
        <w:tc>
          <w:tcPr>
            <w:tcW w:w="49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Borders>
              <w:right w:val="single" w:sz="8" w:color="auto"/>
            </w:tcBorders>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7"/>
              </w:rPr>
              <w:t>(43)%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gridSpan w:val="2"/>
            <w:vMerge w:val="continue"/>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6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6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right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center"/>
              <w:ind w:left="532"/>
              <w:spacing w:after="0" w:line="196" w:lineRule="exact"/>
              <w:rPr>
                <w:sz w:val="20"/>
                <w:szCs w:val="20"/>
                <w:color w:val="auto"/>
              </w:rPr>
            </w:pPr>
            <w:r>
              <w:rPr>
                <w:rFonts w:ascii="Times New Roman" w:cs="Times New Roman" w:eastAsia="Times New Roman" w:hAnsi="Times New Roman"/>
                <w:sz w:val="18"/>
                <w:szCs w:val="18"/>
                <w:color w:val="auto"/>
                <w:w w:val="96"/>
              </w:rPr>
              <w:t>60%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per barrel</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vMerge w:val="restart"/>
            <w:shd w:val="clear" w:color="auto" w:fill="CCEEFF"/>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2.37</w:t>
            </w:r>
          </w:p>
        </w:tc>
        <w:tc>
          <w:tcPr>
            <w:tcW w:w="16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4.21</w:t>
            </w:r>
          </w:p>
        </w:tc>
        <w:tc>
          <w:tcPr>
            <w:tcW w:w="240" w:type="dxa"/>
            <w:vAlign w:val="bottom"/>
            <w:tcBorders>
              <w:right w:val="single" w:sz="8" w:color="auto"/>
            </w:tcBorders>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c>
          <w:tcPr>
            <w:tcW w:w="26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left="532"/>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Daily Volumes</w:t>
            </w:r>
          </w:p>
        </w:tc>
        <w:tc>
          <w:tcPr>
            <w:tcW w:w="2000" w:type="dxa"/>
            <w:vAlign w:val="bottom"/>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2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Favorable/(Unfavorable)</w:t>
            </w:r>
          </w:p>
        </w:tc>
        <w:tc>
          <w:tcPr>
            <w:tcW w:w="0" w:type="dxa"/>
            <w:vAlign w:val="bottom"/>
          </w:tcPr>
          <w:p>
            <w:pPr>
              <w:spacing w:after="0"/>
              <w:rPr>
                <w:sz w:val="1"/>
                <w:szCs w:val="1"/>
                <w:color w:val="auto"/>
              </w:rPr>
            </w:pPr>
          </w:p>
        </w:tc>
      </w:tr>
      <w:tr>
        <w:trPr>
          <w:trHeight w:val="173"/>
        </w:trPr>
        <w:tc>
          <w:tcPr>
            <w:tcW w:w="5160" w:type="dxa"/>
            <w:vAlign w:val="bottom"/>
            <w:gridSpan w:val="2"/>
            <w:vMerge w:val="continue"/>
          </w:tcPr>
          <w:p>
            <w:pPr>
              <w:spacing w:after="0"/>
              <w:rPr>
                <w:sz w:val="15"/>
                <w:szCs w:val="15"/>
                <w:color w:val="auto"/>
              </w:rPr>
            </w:pPr>
          </w:p>
        </w:tc>
        <w:tc>
          <w:tcPr>
            <w:tcW w:w="2000" w:type="dxa"/>
            <w:vAlign w:val="bottom"/>
            <w:tcBorders>
              <w:bottom w:val="single" w:sz="8" w:color="auto"/>
            </w:tcBorders>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Borders>
              <w:bottom w:val="single" w:sz="8" w:color="auto"/>
            </w:tcBorders>
            <w:gridSpan w:val="3"/>
          </w:tcPr>
          <w:p>
            <w:pPr>
              <w:jc w:val="center"/>
              <w:ind w:left="818"/>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barrels per day)</w:t>
            </w:r>
          </w:p>
        </w:tc>
        <w:tc>
          <w:tcPr>
            <w:tcW w:w="24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Volumes</w:t>
            </w:r>
          </w:p>
        </w:tc>
        <w:tc>
          <w:tcPr>
            <w:tcW w:w="2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lease gathering purchases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NGL sales</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273</w:t>
            </w:r>
          </w:p>
        </w:tc>
        <w:tc>
          <w:tcPr>
            <w:tcW w:w="46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Waterborne cargos</w:t>
            </w:r>
          </w:p>
        </w:tc>
        <w:tc>
          <w:tcPr>
            <w:tcW w:w="20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Supply and Logistics segment total</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18" w:right="239" w:bottom="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costs include intersegment amounts.</w:t>
      </w:r>
    </w:p>
    <w:p>
      <w:pPr>
        <w:spacing w:after="0" w:line="225" w:lineRule="exact"/>
        <w:rPr>
          <w:sz w:val="20"/>
          <w:szCs w:val="20"/>
          <w:color w:val="auto"/>
        </w:rPr>
      </w:pPr>
    </w:p>
    <w:p>
      <w:pPr>
        <w:ind w:left="20" w:right="780" w:hanging="11"/>
        <w:spacing w:after="0" w:line="282" w:lineRule="auto"/>
        <w:rPr>
          <w:sz w:val="20"/>
          <w:szCs w:val="20"/>
          <w:color w:val="auto"/>
        </w:rPr>
      </w:pPr>
      <w:r>
        <w:rPr>
          <w:rFonts w:ascii="Times New Roman" w:cs="Times New Roman" w:eastAsia="Times New Roman" w:hAnsi="Times New Roman"/>
          <w:sz w:val="18"/>
          <w:szCs w:val="18"/>
          <w:color w:val="auto"/>
        </w:rPr>
        <w:t>Prior to January 1, 2014, natural gas sales revenues and costs attributable to the activities performed by our natural gas storage commercial optimization group were reported in the Facilities segment.</w:t>
      </w:r>
    </w:p>
    <w:p>
      <w:pPr>
        <w:spacing w:after="0" w:line="162" w:lineRule="exact"/>
        <w:rPr>
          <w:sz w:val="20"/>
          <w:szCs w:val="20"/>
          <w:color w:val="auto"/>
        </w:rPr>
      </w:pPr>
    </w:p>
    <w:p>
      <w:pPr>
        <w:ind w:left="20" w:right="60" w:hanging="11"/>
        <w:spacing w:after="0" w:line="282" w:lineRule="auto"/>
        <w:rPr>
          <w:sz w:val="20"/>
          <w:szCs w:val="20"/>
          <w:color w:val="auto"/>
        </w:rPr>
      </w:pPr>
      <w:r>
        <w:rPr>
          <w:rFonts w:ascii="Times New Roman" w:cs="Times New Roman" w:eastAsia="Times New Roman" w:hAnsi="Times New Roman"/>
          <w:sz w:val="18"/>
          <w:szCs w:val="18"/>
          <w:color w:val="auto"/>
        </w:rPr>
        <w:t>Purchases and related costs include interest expense (related to hedged inventory purchases) of approximately $2 million and $5 million for the three months ended March 31, 2014 and 2013, respectively.</w:t>
      </w:r>
    </w:p>
    <w:p>
      <w:pPr>
        <w:spacing w:after="0" w:line="16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83820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318" w:right="239" w:bottom="0" w:gutter="0" w:footer="0" w:header="0"/>
          <w:type w:val="continuous"/>
        </w:sectPr>
      </w:pPr>
    </w:p>
    <w:p>
      <w:pPr>
        <w:spacing w:after="0" w:line="30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right="120" w:hanging="652"/>
        <w:spacing w:after="0" w:line="235"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Equity-indexed compensation expense shown in the table above includes expenses associated with awards that will or may be settled in units and awards that will or may be settled in cash. See Note 15 to our Consolidated Financial Statements included in Part IV of our 2013 Annual Report on Form 10-K for additional discussion regarding our equity-indexed compensation plans.</w:t>
      </w:r>
    </w:p>
    <w:p>
      <w:pPr>
        <w:spacing w:after="0" w:line="200" w:lineRule="exact"/>
        <w:rPr>
          <w:rFonts w:ascii="Times New Roman" w:cs="Times New Roman" w:eastAsia="Times New Roman" w:hAnsi="Times New Roman"/>
          <w:sz w:val="23"/>
          <w:szCs w:val="23"/>
          <w:color w:val="auto"/>
          <w:vertAlign w:val="superscript"/>
        </w:rPr>
      </w:pPr>
    </w:p>
    <w:p>
      <w:pPr>
        <w:ind w:left="660" w:right="280" w:hanging="634"/>
        <w:spacing w:after="0" w:line="242" w:lineRule="auto"/>
        <w:tabs>
          <w:tab w:leader="none" w:pos="652" w:val="left"/>
        </w:tabs>
        <w:numPr>
          <w:ilvl w:val="1"/>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96"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NYMEX West Texas Intermediate benchmark price of crude oil ranged from approximately $92 to $105 per barrel and $89 to $98 per barrel during the three months ended March 31, 2014 and 2013, respectively. 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months ended March 31, 2014 relative to the comparative period, resulting from increases in prices and volumes in 2014.</w:t>
      </w:r>
    </w:p>
    <w:p>
      <w:pPr>
        <w:spacing w:after="0" w:line="18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marketing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discussion of items impacting Supply and Logistics segment profit and segment profit per barrel for the periods indicated.</w:t>
      </w:r>
    </w:p>
    <w:p>
      <w:pPr>
        <w:spacing w:after="0" w:line="223"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Operating Revenues and Volumes. </w:t>
      </w:r>
      <w:r>
        <w:rPr>
          <w:rFonts w:ascii="Times New Roman" w:cs="Times New Roman" w:eastAsia="Times New Roman" w:hAnsi="Times New Roman"/>
          <w:sz w:val="18"/>
          <w:szCs w:val="18"/>
          <w:color w:val="auto"/>
        </w:rPr>
        <w:t>Our Supply and Logistics segment revenues, net of purchases and related costs and excluding gains and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derivative activities (see the “Impact from Derivative Activities” section below), decreased year-over-year for the comparative periods presented. The increasing production of oil and liquids-rich gas in North America over the last several years generally created supply and demand imbalances that increased the volatility of historical differentials for various grades of crude oil and also impacted the historical pricing relationship between NGL and crude oil. Lack of existing pipeline takeaway capacity and associated logistical challenges in certain of these producing regions created market conditions and opportunities that were favorable to our supply and logistics activities. During the first quarter of 2013, these conditions provided opportunities for increased margins. However, infrastructure additions in many of these resource plays during 2013 began to relieve certain of the transportation constraints that had created opportunities for these favorable crude oil margins. Therefore, although we experienced higher crude oil lease gathering volumes in the first quarter of 2014 compared to the first quarter of 2013, we experienced fewer opportunities to capture favorable location differentials. Additionally, our natural gas storage commercial optimization activities were unfavorably impacted by costs incurred to manage deliverability requirements in conjunction with the extended period of severe cold weather experienced during the first quarter of 2014.</w:t>
      </w:r>
    </w:p>
    <w:p>
      <w:pPr>
        <w:spacing w:after="0" w:line="195"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We believe the fundamentals of our business remain strong; however, as the midstream infrastructure in these producing regions continues to be developed, we believe a normalization of margins will continue to occur as the logistics challenges are addressed. (See Items 1 and 2 “Business and Properties—Description of Segments and Associated Assets—Supply and Logistics Segment—Impact of Commodity Price Volatility and Dynamic Market Conditions on Our Business Model” included in Part I of our 2013 Annual Report on Form 10-K for further discussion regarding our business model, including diversification and utilization of our asset base among varying demand- and supply-driven markets.)</w:t>
      </w:r>
    </w:p>
    <w:p>
      <w:pPr>
        <w:spacing w:after="0" w:line="182"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Impact from Derivative Activities</w:t>
      </w:r>
      <w:r>
        <w:rPr>
          <w:rFonts w:ascii="Times New Roman" w:cs="Times New Roman" w:eastAsia="Times New Roman" w:hAnsi="Times New Roman"/>
          <w:sz w:val="18"/>
          <w:szCs w:val="18"/>
          <w:color w:val="auto"/>
        </w:rPr>
        <w:t>. The mark-to-market valuation of our derivative activities impacted our net revenues as shown in the table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millions):</w:t>
      </w:r>
    </w:p>
    <w:p>
      <w:pPr>
        <w:spacing w:after="0" w:line="154"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4"/>
          <w:szCs w:val="14"/>
          <w:b w:val="1"/>
          <w:bCs w:val="1"/>
          <w:color w:val="auto"/>
        </w:rPr>
        <w:t>Three Months</w:t>
      </w:r>
    </w:p>
    <w:p>
      <w:pPr>
        <w:jc w:val="center"/>
        <w:ind w:left="490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1020" w:type="dxa"/>
            <w:vAlign w:val="bottom"/>
            <w:tcBorders>
              <w:top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Variance</w:t>
            </w:r>
          </w:p>
        </w:tc>
      </w:tr>
      <w:tr>
        <w:trPr>
          <w:trHeight w:val="210"/>
        </w:trPr>
        <w:tc>
          <w:tcPr>
            <w:tcW w:w="66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Gains from derivative activities </w:t>
            </w:r>
            <w:r>
              <w:rPr>
                <w:rFonts w:ascii="Times New Roman" w:cs="Times New Roman" w:eastAsia="Times New Roman" w:hAnsi="Times New Roman"/>
                <w:sz w:val="23"/>
                <w:szCs w:val="23"/>
                <w:color w:val="auto"/>
                <w:vertAlign w:val="superscript"/>
              </w:rPr>
              <w:t>(1)</w:t>
            </w:r>
          </w:p>
        </w:tc>
        <w:tc>
          <w:tcPr>
            <w:tcW w:w="1020" w:type="dxa"/>
            <w:vAlign w:val="bottom"/>
            <w:tcBorders>
              <w:top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100" w:hanging="652"/>
        <w:spacing w:after="0" w:line="241" w:lineRule="auto"/>
        <w:tabs>
          <w:tab w:leader="none" w:pos="64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mark-to-market and other gains and losses resulting from derivative instruments that are related to underlying activities in future periods or the reversal of mark-to-market gains and losses from the prior period. These amounts are reduced by the net impact of inventory valuation adjustments attributable to inventory hedged by the related derivative and gains recognized in later periods on physical sales of inventory that was previously written down. See Note 10 to our condensed consolidated financial statements for a comprehensive discussion regarding our derivatives and risk management activities.</w:t>
      </w:r>
    </w:p>
    <w:p>
      <w:pPr>
        <w:sectPr>
          <w:pgSz w:w="11900" w:h="16838" w:orient="portrait"/>
          <w:cols w:equalWidth="0" w:num="1">
            <w:col w:w="11420"/>
          </w:cols>
          <w:pgMar w:left="240" w:top="318" w:right="239" w:bottom="0" w:gutter="0" w:footer="0" w:header="0"/>
          <w:type w:val="continuous"/>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2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The decrease in field operating costs (excluding equity-indexed compensation expenses)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2014 compared to the three months ended March 31, 2013 was primarily due to lower third-party transportation costs as we shift our volumes to pipelines.</w:t>
      </w:r>
    </w:p>
    <w:p>
      <w:pPr>
        <w:spacing w:after="0" w:line="17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Equity-Indexed Compensation Expense. </w:t>
      </w:r>
      <w:r>
        <w:rPr>
          <w:rFonts w:ascii="Times New Roman" w:cs="Times New Roman" w:eastAsia="Times New Roman" w:hAnsi="Times New Roman"/>
          <w:sz w:val="18"/>
          <w:szCs w:val="18"/>
          <w:color w:val="auto"/>
        </w:rPr>
        <w:t>On a consolidated basis across all segments, equity-indexed compensation expense decreased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2014 as compared to the three months ended March 31, 2013. See the discussion regarding such variances under “— Transportation Segment” above. Also, see Note 15 to our Consolidated Financial Statements included in Part IV of our 2013 Annual Report on Form 10-K for additional information regarding our equity-indexed compensation plans.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was approximately $96 million for the three months ended March 31, 2014 compared to approximately $82 million for the three months ended March 31, 2013. The increase in depreciation and amortization expense during the 2014 period over the comparable 2013 was primarily due to an acceleration of depreciation on certain pipeline assets to reflect a change in their estimated useful lives, as well as various internal growth projects completed since March 31, 2013.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decreased by approximately $5 million for the three months ended March 31, 2014, compared to the three months ended March 31, 2013, primarily as a result of higher taxable income in the prior period.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decreased for the three months ended March 31, 2014 compared to the three months ended March 31, 2013 as a result of our completion of the PNG Merger on December 31, 2013, pursuant to which we acquired all of the noncontrolling interests in PNG.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(i) cash flow from operating activities, (ii) borrowings under the commercial paper program or the credit facilities and (iii) funds received from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long-term debt and</w:t>
      </w:r>
    </w:p>
    <w:p>
      <w:pPr>
        <w:spacing w:after="0" w:line="3" w:lineRule="exact"/>
        <w:rPr>
          <w:sz w:val="20"/>
          <w:szCs w:val="20"/>
          <w:color w:val="auto"/>
        </w:rPr>
      </w:pPr>
    </w:p>
    <w:p>
      <w:pPr>
        <w:ind w:right="220" w:firstLine="8"/>
        <w:spacing w:after="0" w:line="252"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unitholders and general partner. We generally expect to fund our short-term cash requirements through cash flow generated from operating activities and/or borrowings under the commercial paper program or the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As of March 31, 2014, we had a working capital deficit of approximately $622 million and approximately $2.0 billion of liquidity available to meet our ongoing operating, investing and financing needs as noted below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Availability under PAA senior unsecured revolving credit facility </w:t>
            </w:r>
            <w:r>
              <w:rPr>
                <w:rFonts w:ascii="Times New Roman" w:cs="Times New Roman" w:eastAsia="Times New Roman" w:hAnsi="Times New Roman"/>
                <w:sz w:val="23"/>
                <w:szCs w:val="23"/>
                <w:color w:val="auto"/>
                <w:vertAlign w:val="superscript"/>
              </w:rPr>
              <w:t>(1)</w:t>
            </w:r>
          </w:p>
        </w:tc>
        <w:tc>
          <w:tcPr>
            <w:tcW w:w="4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Availability under PAA senior secured hedged inventory facility </w:t>
            </w:r>
            <w:r>
              <w:rPr>
                <w:rFonts w:ascii="Times New Roman" w:cs="Times New Roman" w:eastAsia="Times New Roman" w:hAnsi="Times New Roman"/>
                <w:sz w:val="23"/>
                <w:szCs w:val="23"/>
                <w:color w:val="auto"/>
                <w:vertAlign w:val="superscript"/>
              </w:rPr>
              <w:t>(1)</w:t>
            </w: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Amounts outstanding under PAA commercial paper program</w:t>
            </w:r>
          </w:p>
        </w:tc>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47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7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700" w:type="dxa"/>
            <w:vAlign w:val="bottom"/>
            <w:vMerge w:val="restart"/>
          </w:tcPr>
          <w:p>
            <w:pPr>
              <w:jc w:val="right"/>
              <w:ind w:right="407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60" w:type="dxa"/>
            <w:vAlign w:val="bottom"/>
            <w:tcBorders>
              <w:bottom w:val="single" w:sz="8" w:color="010101"/>
            </w:tcBorders>
          </w:tcPr>
          <w:p>
            <w:pPr>
              <w:spacing w:after="0"/>
              <w:rPr>
                <w:sz w:val="11"/>
                <w:szCs w:val="11"/>
                <w:color w:val="auto"/>
              </w:rPr>
            </w:pPr>
          </w:p>
        </w:tc>
        <w:tc>
          <w:tcPr>
            <w:tcW w:w="47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right="760" w:hanging="652"/>
        <w:spacing w:after="0" w:line="229" w:lineRule="auto"/>
        <w:tabs>
          <w:tab w:leader="none" w:pos="648"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availability prior to giving effect to amounts outstanding under the PAA commercial paper program. Borrowings under the PAA commercial paper program reduce available capacity under the facility.</w:t>
      </w:r>
    </w:p>
    <w:p>
      <w:pPr>
        <w:spacing w:after="0" w:line="19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believe that we have and will continue to have the ability to access our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“Risk Factors” in Item 1A of our 2013 Annual Report on Form 10-K for further discussion regarding such risks that may impact our liquidity and capital resources. Usage of the credit facilities, which provide the backstop for the commercial paper program, is subject to ongoing compliance with covenants. As of March 31, 2014, we were in compliance with all such covenants.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ectPr>
          <w:pgSz w:w="11900" w:h="16838" w:orient="portrait"/>
          <w:cols w:equalWidth="0" w:num="1">
            <w:col w:w="11460"/>
          </w:cols>
          <w:pgMar w:left="240" w:top="121" w:right="199" w:bottom="0" w:gutter="0" w:footer="0" w:header="0"/>
        </w:sectPr>
      </w:pPr>
    </w:p>
    <w:bookmarkStart w:id="26" w:name="page27"/>
    <w:bookmarkEnd w:id="26"/>
    <w:p>
      <w:pPr>
        <w:spacing w:after="0" w:line="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a comprehensive discussion of the primary drivers of cash flow from operating activities, including the impact of varying market conditions and the timing of settlement of our derivative activities, see “Liquidity and Capital Resources-Cash Flow from Operating Activities” under Item 7 of our 2013 Annual Report on Form 10-K.</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first three months of 2014 was approximately $822 million, primarily resulting from earnings from our operations. Additionally, during the first three months of 2014, we decreased the amount of our inventory, primarily due to the sale of NGL and natural gas inventory related to high demand for product used for heating during the extended 2014 winter season. The net proceeds received from liquidation of such inventory were used to repay borrowings under our commercial paper program and favorably impacted cash flow from operating activities.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first three months of 2013 of approximately $979 million also resulted primarily from earnings from our operations. In addition, we decreased the amount of our inventory during the first quarter of 2013, primarily due to the sale of NGL inventory related to product demand caused by increases in (i) heating requirements during the 2013 winter season, (ii) export activity that reduced overall product availability in the market and (iii) petrochemical demand. The net proceeds received from liquidation of such inventory during the quarter were used to repay borrowings under our credit facilities and favorably impacted our cash flow from operating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Capital Expenditures</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addition to operating needs discussed above, we also use cash for acquisition activities and internal growth projects. We have made and will continue to make capital expenditures for acquisitions, expansion capital and maintenance capital.</w:t>
      </w:r>
    </w:p>
    <w:p>
      <w:pPr>
        <w:spacing w:after="0" w:line="16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2014 Capital Expansion Projects. </w:t>
      </w:r>
      <w:r>
        <w:rPr>
          <w:rFonts w:ascii="Times New Roman" w:cs="Times New Roman" w:eastAsia="Times New Roman" w:hAnsi="Times New Roman"/>
          <w:sz w:val="18"/>
          <w:szCs w:val="18"/>
          <w:color w:val="auto"/>
        </w:rPr>
        <w:t>See “—Acquisitions and Internal Growth Projects” for detail of our projected capital expenditures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2014. We expect the majority of funding for our 2014 capital program will be provided by borrowings under the commercial paper program, our credit facilities and cash flow in excess of partnership distributions, as well as through our access to the capital markets for equity and debt as we deem necessary.</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The price of acquisitions includes cash paid, assumed liabilities and net working capital items. Because of the non-cash items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total price of the acquisition and the timing of certain cash payments, the net cash paid may differ significantly from the total price of the acquisitions completed during the period. Historically, we have financed acquisitions primarily with cash generated by operations and the financing activities discussed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and Debt Financing Activities</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Our financing activities primarily relate to funding acquisitions, internal capital projects and refinancing our debt maturities, as well as short-term working capital and hedged inventory borrowings related to our NGL business and contango market activities. Our financing activities have primarily consisted of equity offerings, senior notes offerings and borrowings and repayments under the commercial paper program or the credit facilities, as well as payment of distributions to our unitholders and general partner.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Registration Statements. </w:t>
      </w:r>
      <w:r>
        <w:rPr>
          <w:rFonts w:ascii="Times New Roman" w:cs="Times New Roman" w:eastAsia="Times New Roman" w:hAnsi="Times New Roman"/>
          <w:sz w:val="18"/>
          <w:szCs w:val="18"/>
          <w:color w:val="auto"/>
        </w:rPr>
        <w:t>We periodically access the capital markets for both equity and debt financing. We have filed with the SEC a universal shelf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that, subject to effectiveness at the time of use, allows us to issue up to an aggregate of $2.0 billion of debt or equity securities (“Traditional Shelf”). All issuances of equity securities associated with our continuous offering program, as discussed further below, have been issued pursuant to the Traditional Shelf. At March 31, 2014, we had approximately $1.3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w:t>
      </w:r>
    </w:p>
    <w:p>
      <w:pPr>
        <w:spacing w:after="0" w:line="183"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Continuous Offering Program</w:t>
      </w:r>
      <w:r>
        <w:rPr>
          <w:rFonts w:ascii="Times New Roman" w:cs="Times New Roman" w:eastAsia="Times New Roman" w:hAnsi="Times New Roman"/>
          <w:sz w:val="18"/>
          <w:szCs w:val="18"/>
          <w:color w:val="auto"/>
        </w:rPr>
        <w:t>. During the three months ended March 31, 2014, we issued an aggregate of approximately 2.8 million common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continuous offering program, generating net proceeds of approximately $151 million, including our general partner’s proportionate capital contribution of approximately $3 million. The net proceeds from these sales were used for general partnership purposes.</w:t>
      </w:r>
    </w:p>
    <w:p>
      <w:pPr>
        <w:spacing w:after="0" w:line="174"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Credit Agreements, Commercial Paper Program and Indentures. </w:t>
      </w:r>
      <w:r>
        <w:rPr>
          <w:rFonts w:ascii="Times New Roman" w:cs="Times New Roman" w:eastAsia="Times New Roman" w:hAnsi="Times New Roman"/>
          <w:sz w:val="18"/>
          <w:szCs w:val="18"/>
          <w:color w:val="auto"/>
        </w:rPr>
        <w:t>Our credit agreements (which impact our ability to access our commercial paper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because they provide the backstop that supports our short-term credit ratings) and the indentures governing our senior notes contain cross-default provisions. A default under our credit agreements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March 31, 2014.</w:t>
      </w:r>
    </w:p>
    <w:p>
      <w:pPr>
        <w:spacing w:after="0" w:line="18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2014 and 2013, we had net repayments on our credit agreements (which include our revolving credit facility and hedged inventory facility) and commercial paper program of approximately $128 million and $380 million, respectively. The repayments during both periods were primarily driven by cash flow from operating activities, including sales of NGL inventory that was liquidated during the periods, as well as cash received from common units issued under our continuous offering program.</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April 2014, we completed the issuance of $700 million, 4.70% senior notes due 2044 at a public offering price of 99.734%. Interest payments are due on June 15 and December 15 of each year, commencing on December 15, 2014. We used the net proceeds from this offering of approximately $691 million to repay outstanding borrowings under our commercial paper program and for general partnership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Paid to Our Unitholders, General Partner and Noncontrolling Interests</w:t>
      </w:r>
    </w:p>
    <w:p>
      <w:pPr>
        <w:spacing w:after="0" w:line="22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Distributions to our unitholders and general partner. </w:t>
      </w:r>
      <w:r>
        <w:rPr>
          <w:rFonts w:ascii="Times New Roman" w:cs="Times New Roman" w:eastAsia="Times New Roman" w:hAnsi="Times New Roman"/>
          <w:sz w:val="18"/>
          <w:szCs w:val="18"/>
          <w:color w:val="auto"/>
        </w:rPr>
        <w:t>We distribute 100% of our available cash within 45 days after the end of each quarter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unitholders of record and to our general partner. Available cash is generally defined as all of our cash and cash equivalents on hand at the end of each quarter less reserves established in the discretion of our general partner for future requirements. On February 14, 2014, we paid a quarterly distribution of $0.6150 per limited partner unit, which represented a 9.3% increase over the distribution we paid in February 2013. Additionally, on May 15, 2014, we will pay a distribution of $0.6300 per limited partner unit, which represents a 9.6% increase over the distribution we paid in May 2013. See Note 8 to our condensed consolidated financial statements for details of distributions paid. Also, see Item 5. “Market for Registrant’s Common Units, Related Unitholder Matters and</w:t>
      </w:r>
    </w:p>
    <w:p>
      <w:pPr>
        <w:sectPr>
          <w:pgSz w:w="11900" w:h="16843" w:orient="portrait"/>
          <w:cols w:equalWidth="0" w:num="1">
            <w:col w:w="11420"/>
          </w:cols>
          <w:pgMar w:left="240" w:top="121" w:right="239" w:bottom="0" w:gutter="0" w:footer="0" w:header="0"/>
        </w:sectPr>
      </w:pPr>
    </w:p>
    <w:bookmarkStart w:id="27" w:name="page28"/>
    <w:bookmarkEnd w:id="27"/>
    <w:p>
      <w:pPr>
        <w:ind w:right="940"/>
        <w:spacing w:after="0" w:line="282" w:lineRule="auto"/>
        <w:rPr>
          <w:sz w:val="20"/>
          <w:szCs w:val="20"/>
          <w:color w:val="auto"/>
        </w:rPr>
      </w:pPr>
      <w:r>
        <w:rPr>
          <w:rFonts w:ascii="Times New Roman" w:cs="Times New Roman" w:eastAsia="Times New Roman" w:hAnsi="Times New Roman"/>
          <w:sz w:val="18"/>
          <w:szCs w:val="18"/>
          <w:color w:val="auto"/>
        </w:rPr>
        <w:t>Issuer Purchases of Equity Securities—Cash Distribution Policy” included in our 2013 Annual Report on Form 10-K for additional discussion on distributions.</w:t>
      </w:r>
    </w:p>
    <w:p>
      <w:pPr>
        <w:spacing w:after="0" w:line="160"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Distributions to noncontrolling interests. </w:t>
      </w:r>
      <w:r>
        <w:rPr>
          <w:rFonts w:ascii="Times New Roman" w:cs="Times New Roman" w:eastAsia="Times New Roman" w:hAnsi="Times New Roman"/>
          <w:sz w:val="18"/>
          <w:szCs w:val="18"/>
          <w:color w:val="auto"/>
        </w:rPr>
        <w:t>We paid approximately $1 million and $12 million for distributions to noncontrolling interests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2014 and 2013, respectively. The decrease in amounts paid is due to our completion of the PNG Merger on December 31, 2013.</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contingencies that may impact us, see Note 11 to our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In the ordinary course of doing business, we purchase crude oil and NGL from third parties under contracts, the majority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range in term from thirty-day evergreen to five years with a limited number of contracts extending up to approximately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8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our best estimate of the amount and timing of these payments as well as others due under the specified contractual obligations as of March 31, 2014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 and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0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Long-term debt, including related</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ind w:left="180"/>
              <w:spacing w:after="0" w:line="234" w:lineRule="exact"/>
              <w:rPr>
                <w:sz w:val="20"/>
                <w:szCs w:val="20"/>
                <w:color w:val="auto"/>
              </w:rPr>
            </w:pPr>
            <w:r>
              <w:rPr>
                <w:rFonts w:ascii="Times New Roman" w:cs="Times New Roman" w:eastAsia="Times New Roman" w:hAnsi="Times New Roman"/>
                <w:sz w:val="18"/>
                <w:szCs w:val="18"/>
                <w:color w:val="auto"/>
              </w:rPr>
              <w:t xml:space="preserve">interest payments </w:t>
            </w:r>
            <w:r>
              <w:rPr>
                <w:rFonts w:ascii="Times New Roman" w:cs="Times New Roman" w:eastAsia="Times New Roman" w:hAnsi="Times New Roman"/>
                <w:sz w:val="23"/>
                <w:szCs w:val="23"/>
                <w:color w:val="auto"/>
                <w:vertAlign w:val="superscript"/>
              </w:rPr>
              <w:t>(1)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7,350</w:t>
            </w:r>
          </w:p>
        </w:tc>
        <w:tc>
          <w:tcPr>
            <w:tcW w:w="2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10,571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Leases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obligations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Crude oil, natural gas, NGL and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ind w:left="180"/>
              <w:spacing w:after="0" w:line="234" w:lineRule="exact"/>
              <w:rPr>
                <w:sz w:val="20"/>
                <w:szCs w:val="20"/>
                <w:color w:val="auto"/>
              </w:rPr>
            </w:pPr>
            <w:r>
              <w:rPr>
                <w:rFonts w:ascii="Times New Roman" w:cs="Times New Roman" w:eastAsia="Times New Roman" w:hAnsi="Times New Roman"/>
                <w:sz w:val="18"/>
                <w:szCs w:val="18"/>
                <w:color w:val="auto"/>
              </w:rPr>
              <w:t xml:space="preserve">other purchases </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10,196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6,220</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5,599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3,999</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7,972</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36,466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20" w:hanging="652"/>
        <w:spacing w:after="0" w:line="239"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debt service payments, interest payments due on senior notes and the commitment fee on assumed available capacity under the PAA revolving credit facilities. Although there may be short-term borrowings under the PAA revolving credit facilities and commercial paper program, we historically repay and borrow at varying amounts. As such, we have included only the maximum commitment fee (as if no short-term borrowings were outstanding on the facilities or commercial paper program) in the amounts above.</w:t>
      </w:r>
    </w:p>
    <w:p>
      <w:pPr>
        <w:sectPr>
          <w:pgSz w:w="11900" w:h="16838" w:orient="portrait"/>
          <w:cols w:equalWidth="0" w:num="1">
            <w:col w:w="11420"/>
          </w:cols>
          <w:pgMar w:left="240" w:top="121" w:right="239" w:bottom="0" w:gutter="0" w:footer="0" w:header="0"/>
        </w:sect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 are primarily for (i) surface rentals, (ii) office rent, (iii) pipeline assets and (iv) trucks, trailers and railcars.</w:t>
      </w:r>
    </w:p>
    <w:p>
      <w:pPr>
        <w:spacing w:after="0" w:line="225" w:lineRule="exact"/>
        <w:rPr>
          <w:sz w:val="20"/>
          <w:szCs w:val="20"/>
          <w:color w:val="auto"/>
        </w:rPr>
      </w:pPr>
    </w:p>
    <w:p>
      <w:pPr>
        <w:ind w:left="20" w:right="360" w:hanging="11"/>
        <w:spacing w:after="0" w:line="266" w:lineRule="auto"/>
        <w:rPr>
          <w:sz w:val="20"/>
          <w:szCs w:val="20"/>
          <w:color w:val="auto"/>
        </w:rPr>
      </w:pPr>
      <w:r>
        <w:rPr>
          <w:rFonts w:ascii="Times New Roman" w:cs="Times New Roman" w:eastAsia="Times New Roman" w:hAnsi="Times New Roman"/>
          <w:sz w:val="18"/>
          <w:szCs w:val="18"/>
          <w:color w:val="auto"/>
        </w:rPr>
        <w:t>Includes (i) other long-term liabilities, (ii) storage and transportation agreements and (iii) commitments related to our capital expansion projects, including projected contributions for our share of the capital spending of our equity-method investments. Excludes a non-current liability of approximately $2 million related to derivative activity included in Crude oil, natural gas, NGL and other purchases.</w:t>
      </w:r>
    </w:p>
    <w:p>
      <w:pPr>
        <w:spacing w:after="0" w:line="176" w:lineRule="exact"/>
        <w:rPr>
          <w:sz w:val="20"/>
          <w:szCs w:val="20"/>
          <w:color w:val="auto"/>
        </w:rPr>
      </w:pPr>
    </w:p>
    <w:p>
      <w:pPr>
        <w:sectPr>
          <w:pgSz w:w="11900" w:h="16838" w:orient="portrait"/>
          <w:cols w:equalWidth="0" w:num="2">
            <w:col w:w="140" w:space="500"/>
            <w:col w:w="10780"/>
          </w:cols>
          <w:pgMar w:left="240" w:top="121" w:right="239" w:bottom="0" w:gutter="0" w:footer="0" w:header="0"/>
          <w:type w:val="continuous"/>
        </w:sectPr>
      </w:pPr>
    </w:p>
    <w:p>
      <w:pPr>
        <w:ind w:left="660" w:right="220" w:hanging="652"/>
        <w:spacing w:after="0" w:line="235" w:lineRule="auto"/>
        <w:tabs>
          <w:tab w:leader="none" w:pos="64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primarily based on estimated volumes and market prices based on average activity during March 2014.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8"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In connection with supply and logistics activities, we provide certain suppliers with irrevocable standby letters of credit to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obligation for the purchase of crude oil, NGL and natural gas. Additionally, we issue letters of credit to support insurance programs and construction activities. At March 31, 2014 and December 31, 2013, we had outstanding letters of credit of approximately $70 million and $41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no off-balance sheet arrangements as defined by Item 303 of Regulation S-K.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ectPr>
          <w:pgSz w:w="11900" w:h="16838" w:orient="portrait"/>
          <w:cols w:equalWidth="0" w:num="1">
            <w:col w:w="11420"/>
          </w:cols>
          <w:pgMar w:left="240" w:top="121" w:right="239" w:bottom="0" w:gutter="0" w:footer="0" w:header="0"/>
          <w:type w:val="continuous"/>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firstLine="454"/>
        <w:spacing w:after="0" w:line="282" w:lineRule="auto"/>
        <w:rPr>
          <w:sz w:val="20"/>
          <w:szCs w:val="20"/>
          <w:color w:val="auto"/>
        </w:rPr>
      </w:pPr>
      <w:r>
        <w:rPr>
          <w:rFonts w:ascii="Times New Roman" w:cs="Times New Roman" w:eastAsia="Times New Roman" w:hAnsi="Times New Roman"/>
          <w:sz w:val="18"/>
          <w:szCs w:val="18"/>
          <w:color w:val="auto"/>
        </w:rPr>
        <w:t>For additional discussion regarding our critical accounting policies and estimates, see “Critical Accounting Policies and Estimates” under Item 7 of our 2013 Annual Report on Form 10-K.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54"/>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940" w:hanging="284"/>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planned internal growth projects;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market structure, grade differentials and volatility (or lack thereof);</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or events that are not covered by an indemnity, insurance or existing reserves;</w:t>
      </w:r>
    </w:p>
    <w:p>
      <w:pPr>
        <w:spacing w:after="0" w:line="22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176"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or other event, including attacks on our electronic and computer systems;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access to capital;</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creditworthiness of, and performance by, our counterparties, including financial institutions and trading companies with which we do business;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 or combination opportunities;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shortages or cost increases of supplies, materials or labor;</w:t>
      </w:r>
    </w:p>
    <w:p>
      <w:pPr>
        <w:spacing w:after="0" w:line="225" w:lineRule="exact"/>
        <w:rPr>
          <w:rFonts w:ascii="Times New Roman" w:cs="Times New Roman" w:eastAsia="Times New Roman" w:hAnsi="Times New Roman"/>
          <w:sz w:val="18"/>
          <w:szCs w:val="18"/>
          <w:b w:val="1"/>
          <w:bCs w:val="1"/>
          <w:color w:val="auto"/>
        </w:rPr>
      </w:pPr>
    </w:p>
    <w:p>
      <w:pPr>
        <w:ind w:left="980" w:right="840" w:hanging="324"/>
        <w:spacing w:after="0" w:line="282" w:lineRule="auto"/>
        <w:tabs>
          <w:tab w:leader="none" w:pos="9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accounting standards and statements, and related interpretations;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non-utilization of our assets and facilities;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facilities, including our ability to satisfy our contractual obligations to our customers at our facilities;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demand for natural gas and natural gas storage services and rates;</w:t>
      </w:r>
    </w:p>
    <w:p>
      <w:pPr>
        <w:sectPr>
          <w:pgSz w:w="11900" w:h="16838" w:orient="portrait"/>
          <w:cols w:equalWidth="0" w:num="1">
            <w:col w:w="11400"/>
          </w:cols>
          <w:pgMar w:left="240" w:top="337" w:right="259" w:bottom="104" w:gutter="0" w:footer="0" w:header="0"/>
        </w:sectPr>
      </w:pPr>
    </w:p>
    <w:bookmarkStart w:id="29" w:name="page30"/>
    <w:bookmarkEnd w:id="29"/>
    <w:p>
      <w:pPr>
        <w:ind w:left="980" w:right="40" w:hanging="324"/>
        <w:spacing w:after="0" w:line="282" w:lineRule="auto"/>
        <w:tabs>
          <w:tab w:leader="none" w:pos="9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and the amplification of other risks caused by volatile financial markets, capital constraints and pervasive liquidity concerns; and</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62" w:lineRule="exact"/>
        <w:rPr>
          <w:sz w:val="20"/>
          <w:szCs w:val="20"/>
          <w:color w:val="auto"/>
        </w:rPr>
      </w:pPr>
    </w:p>
    <w:p>
      <w:pPr>
        <w:ind w:right="100" w:firstLine="454"/>
        <w:spacing w:after="0" w:line="266" w:lineRule="auto"/>
        <w:rPr>
          <w:sz w:val="20"/>
          <w:szCs w:val="20"/>
          <w:color w:val="auto"/>
        </w:rPr>
      </w:pPr>
      <w:r>
        <w:rPr>
          <w:rFonts w:ascii="Times New Roman" w:cs="Times New Roman" w:eastAsia="Times New Roman" w:hAnsi="Times New Roman"/>
          <w:sz w:val="18"/>
          <w:szCs w:val="18"/>
          <w:color w:val="auto"/>
        </w:rPr>
        <w:t>Other factors described herein, as well as factors that are unknown or unpredictable, could also have a material adverse effect on future results. Please read “Risk Factors” discussed in Item 1A of our 2013 Annual Report on Form 10-K. Except as required by applicable securities laws, we do not intend to update these forward-looking statements and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 derivative instruments to hedge commodity price risk associated with the following commodities:</w:t>
      </w:r>
    </w:p>
    <w:p>
      <w:pPr>
        <w:spacing w:after="0" w:line="223" w:lineRule="exact"/>
        <w:rPr>
          <w:sz w:val="20"/>
          <w:szCs w:val="20"/>
          <w:color w:val="auto"/>
        </w:rPr>
      </w:pPr>
    </w:p>
    <w:p>
      <w:pPr>
        <w:ind w:left="1260" w:hanging="280"/>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Crude oil and refined products</w:t>
      </w:r>
    </w:p>
    <w:p>
      <w:pPr>
        <w:spacing w:after="0" w:line="227" w:lineRule="exact"/>
        <w:rPr>
          <w:sz w:val="20"/>
          <w:szCs w:val="20"/>
          <w:color w:val="auto"/>
        </w:rPr>
      </w:pPr>
    </w:p>
    <w:p>
      <w:pPr>
        <w:ind w:left="1300"/>
        <w:spacing w:after="0" w:line="261" w:lineRule="auto"/>
        <w:rPr>
          <w:sz w:val="20"/>
          <w:szCs w:val="20"/>
          <w:color w:val="auto"/>
        </w:rPr>
      </w:pPr>
      <w:r>
        <w:rPr>
          <w:rFonts w:ascii="Times New Roman" w:cs="Times New Roman" w:eastAsia="Times New Roman" w:hAnsi="Times New Roman"/>
          <w:sz w:val="18"/>
          <w:szCs w:val="18"/>
          <w:color w:val="auto"/>
        </w:rPr>
        <w:t>We utilize crude oil and refined products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78" w:lineRule="exact"/>
        <w:rPr>
          <w:sz w:val="20"/>
          <w:szCs w:val="20"/>
          <w:color w:val="auto"/>
        </w:rPr>
      </w:pPr>
    </w:p>
    <w:p>
      <w:pPr>
        <w:ind w:left="1260" w:hanging="280"/>
        <w:spacing w:after="0"/>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Natural gas</w:t>
      </w:r>
    </w:p>
    <w:p>
      <w:pPr>
        <w:spacing w:after="0" w:line="227" w:lineRule="exact"/>
        <w:rPr>
          <w:sz w:val="20"/>
          <w:szCs w:val="20"/>
          <w:color w:val="auto"/>
        </w:rPr>
      </w:pPr>
    </w:p>
    <w:p>
      <w:pPr>
        <w:ind w:left="1300" w:right="180"/>
        <w:spacing w:after="0" w:line="266" w:lineRule="auto"/>
        <w:rPr>
          <w:sz w:val="20"/>
          <w:szCs w:val="20"/>
          <w:color w:val="auto"/>
        </w:rPr>
      </w:pPr>
      <w:r>
        <w:rPr>
          <w:rFonts w:ascii="Times New Roman" w:cs="Times New Roman" w:eastAsia="Times New Roman" w:hAnsi="Times New Roman"/>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260" w:hanging="280"/>
        <w:spacing w:after="0"/>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NGL</w:t>
      </w:r>
    </w:p>
    <w:p>
      <w:pPr>
        <w:spacing w:after="0" w:line="227" w:lineRule="exact"/>
        <w:rPr>
          <w:sz w:val="20"/>
          <w:szCs w:val="20"/>
          <w:color w:val="auto"/>
        </w:rPr>
      </w:pPr>
    </w:p>
    <w:p>
      <w:pPr>
        <w:ind w:left="1300" w:right="100"/>
        <w:spacing w:after="0" w:line="266" w:lineRule="auto"/>
        <w:rPr>
          <w:sz w:val="20"/>
          <w:szCs w:val="20"/>
          <w:color w:val="auto"/>
        </w:rPr>
      </w:pPr>
      <w:r>
        <w:rPr>
          <w:rFonts w:ascii="Times New Roman" w:cs="Times New Roman" w:eastAsia="Times New Roman" w:hAnsi="Times New Roman"/>
          <w:sz w:val="18"/>
          <w:szCs w:val="18"/>
          <w:color w:val="auto"/>
        </w:rPr>
        <w:t>We utilize NGL derivatives, primarily butane and propane derivatives, to hedge commodity price risk inherent in our Supply and Logistics segment. Our objectives for these derivatives include hedging anticipated purchases and sales. We manage these exposures with various instruments including exchange-traded and over-the-counter futures, forwards, swaps and options.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10 to our condensed consolidated financial statements for further discussion regarding our hedging strategies and objectives.</w:t>
      </w:r>
    </w:p>
    <w:p>
      <w:pPr>
        <w:spacing w:after="0" w:line="22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commodity derivatives and the change in fair value as of March 31, 2014 that would be expected from a 10% price increase or decrease is shown in the table below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160" w:type="dxa"/>
            <w:vAlign w:val="bottom"/>
          </w:tcPr>
          <w:p>
            <w:pPr>
              <w:spacing w:after="0"/>
              <w:rPr>
                <w:sz w:val="13"/>
                <w:szCs w:val="13"/>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0" w:type="dxa"/>
            <w:vAlign w:val="bottom"/>
          </w:tcPr>
          <w:p>
            <w:pPr>
              <w:spacing w:after="0"/>
              <w:rPr>
                <w:sz w:val="1"/>
                <w:szCs w:val="1"/>
                <w:color w:val="auto"/>
              </w:rPr>
            </w:pPr>
          </w:p>
        </w:tc>
      </w:tr>
      <w:tr>
        <w:trPr>
          <w:trHeight w:val="173"/>
        </w:trPr>
        <w:tc>
          <w:tcPr>
            <w:tcW w:w="6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Price Increase</w:t>
            </w:r>
          </w:p>
        </w:tc>
        <w:tc>
          <w:tcPr>
            <w:tcW w:w="160" w:type="dxa"/>
            <w:vAlign w:val="bottom"/>
          </w:tcPr>
          <w:p>
            <w:pPr>
              <w:spacing w:after="0"/>
              <w:rPr>
                <w:sz w:val="15"/>
                <w:szCs w:val="15"/>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Price Decrease</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related products</w:t>
            </w: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Natural gas</w:t>
            </w:r>
          </w:p>
        </w:tc>
        <w:tc>
          <w:tcPr>
            <w:tcW w:w="11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and other</w:t>
            </w:r>
          </w:p>
        </w:tc>
        <w:tc>
          <w:tcPr>
            <w:tcW w:w="1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fair value</w:t>
            </w: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use of variable rate debt and any forecasted issuances of fixed rate debt expose us to interest rate risk. Therefore, from time to time we use interest rate derivatives to hedge interest rate risk associated with anticipated debt issuances and, in certain cases, outstanding debt instruments. All of our senior notes are fixed rate notes and thus are not subject to interest rate risk. The majority of our variable rate debt at March 31, 2014, approximately $978 million, is subject to interest rate re-sets, which range from one week to three months. The average interest rate of approximately 0.3% is based upon rates in</w:t>
      </w:r>
    </w:p>
    <w:p>
      <w:pPr>
        <w:sectPr>
          <w:pgSz w:w="11900" w:h="16838" w:orient="portrait"/>
          <w:cols w:equalWidth="0" w:num="1">
            <w:col w:w="11400"/>
          </w:cols>
          <w:pgMar w:left="240" w:top="121" w:right="259" w:bottom="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effect during the first three months ended March 31, 2014. The fair value of our interest rate derivatives is an asset of approximately $6 million as of</w:t>
      </w:r>
    </w:p>
    <w:p>
      <w:pPr>
        <w:spacing w:after="0" w:line="27"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March 31, 2014. A 10% increase in the forward LIBOR curve as of March 31, 2014 would result in an increase of approximately $18 million to the fair value of our interest rate derivatives. A 10% decrease in the forward LIBOR curve as of March 31, 2014 would result in a decrease of approximately $18 million to the fair value of our interest rate derivatives. See Note 10 to our condensed consolidated financial statements for a discussion of our interest rate risk hedging activities.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Rate Risk</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is a liability of approximately $3 million as of March 31, 2014. A 10% increase in the exchange rate (USD-to-CAD) would result in a decrease of approximately $19 million to the fair value of our foreign currency derivatives. A 10% decrease in the exchange rate (USD-to-CAD) would result in an increase of approximately $19 million to the fair value of our foreign currency derivatives. See Note 10 to our condensed consolidated financial statements for a discussion of our currency exchange rate risk hedging.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information concerning our DCP, we are required to disclose certain changes in internal control over financial reporting. 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180" w:firstLine="45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under the caption “Litigation” in Note 11 to our condensed consolidated financial statements, and is incorporated herein by reference thereto.</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120" w:firstLine="454"/>
        <w:spacing w:after="0" w:line="266" w:lineRule="auto"/>
        <w:rPr>
          <w:sz w:val="20"/>
          <w:szCs w:val="20"/>
          <w:color w:val="auto"/>
        </w:rPr>
      </w:pPr>
      <w:r>
        <w:rPr>
          <w:rFonts w:ascii="Times New Roman" w:cs="Times New Roman" w:eastAsia="Times New Roman" w:hAnsi="Times New Roman"/>
          <w:sz w:val="18"/>
          <w:szCs w:val="18"/>
          <w:color w:val="auto"/>
        </w:rPr>
        <w:t>For a discussion regarding our risk factors, see Item 1A of our 2013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ectPr>
          <w:pgSz w:w="11900" w:h="16838" w:orient="portrait"/>
          <w:cols w:equalWidth="0" w:num="1">
            <w:col w:w="11420"/>
          </w:cols>
          <w:pgMar w:left="240" w:top="121" w:right="239" w:bottom="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right="920" w:firstLine="454"/>
        <w:spacing w:after="0" w:line="282" w:lineRule="auto"/>
        <w:rPr>
          <w:sz w:val="20"/>
          <w:szCs w:val="20"/>
          <w:color w:val="auto"/>
        </w:rPr>
      </w:pPr>
      <w:r>
        <w:rPr>
          <w:rFonts w:ascii="Times New Roman" w:cs="Times New Roman" w:eastAsia="Times New Roman" w:hAnsi="Times New Roman"/>
          <w:sz w:val="18"/>
          <w:szCs w:val="18"/>
          <w:color w:val="auto"/>
        </w:rPr>
        <w:t>The exhibits listed on the accompanying Exhibit Index are filed or incorporated by reference as part of this report, and such Exhibit Index is incorporated herein by reference.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20" w:firstLine="45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4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PLAINS ALL AMERICAN PIPELINE, L.P.</w:t>
            </w:r>
          </w:p>
        </w:tc>
        <w:tc>
          <w:tcPr>
            <w:tcW w:w="40" w:type="dxa"/>
            <w:vAlign w:val="bottom"/>
          </w:tcPr>
          <w:p>
            <w:pPr>
              <w:spacing w:after="0"/>
              <w:rPr>
                <w:sz w:val="20"/>
                <w:szCs w:val="20"/>
                <w:color w:val="auto"/>
              </w:rPr>
            </w:pPr>
          </w:p>
        </w:tc>
      </w:tr>
      <w:tr>
        <w:trPr>
          <w:trHeight w:val="414"/>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PAA GP LLC, its general partner</w:t>
            </w:r>
          </w:p>
        </w:tc>
        <w:tc>
          <w:tcPr>
            <w:tcW w:w="4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PLAINS AAP, L.P., its sole member</w:t>
            </w:r>
          </w:p>
        </w:tc>
        <w:tc>
          <w:tcPr>
            <w:tcW w:w="4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4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c>
          <w:tcPr>
            <w:tcW w:w="40" w:type="dxa"/>
            <w:vAlign w:val="bottom"/>
          </w:tcPr>
          <w:p>
            <w:pPr>
              <w:spacing w:after="0"/>
              <w:rPr>
                <w:sz w:val="20"/>
                <w:szCs w:val="20"/>
                <w:color w:val="auto"/>
              </w:rPr>
            </w:pPr>
          </w:p>
        </w:tc>
      </w:tr>
      <w:tr>
        <w:trPr>
          <w:trHeight w:val="43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9, 2014</w:t>
            </w:r>
          </w:p>
        </w:tc>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 Greg L. Armstrong</w:t>
            </w:r>
          </w:p>
        </w:tc>
        <w:tc>
          <w:tcPr>
            <w:tcW w:w="40" w:type="dxa"/>
            <w:vAlign w:val="bottom"/>
          </w:tcPr>
          <w:p>
            <w:pPr>
              <w:spacing w:after="0"/>
              <w:rPr>
                <w:sz w:val="24"/>
                <w:szCs w:val="24"/>
                <w:color w:val="auto"/>
              </w:rPr>
            </w:pPr>
          </w:p>
        </w:tc>
      </w:tr>
      <w:tr>
        <w:trPr>
          <w:trHeight w:val="189"/>
        </w:trPr>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 xml:space="preserve">Greg L. Armstrong, </w:t>
            </w:r>
            <w:r>
              <w:rPr>
                <w:rFonts w:ascii="Times New Roman" w:cs="Times New Roman" w:eastAsia="Times New Roman" w:hAnsi="Times New Roman"/>
                <w:sz w:val="18"/>
                <w:szCs w:val="18"/>
                <w:i w:val="1"/>
                <w:iCs w:val="1"/>
                <w:color w:val="auto"/>
                <w:w w:val="99"/>
              </w:rPr>
              <w:t>Chairman of the Board,</w:t>
            </w:r>
          </w:p>
        </w:tc>
        <w:tc>
          <w:tcPr>
            <w:tcW w:w="40" w:type="dxa"/>
            <w:vAlign w:val="bottom"/>
          </w:tcPr>
          <w:p>
            <w:pPr>
              <w:spacing w:after="0"/>
              <w:rPr>
                <w:sz w:val="16"/>
                <w:szCs w:val="16"/>
                <w:color w:val="auto"/>
              </w:rPr>
            </w:pPr>
          </w:p>
        </w:tc>
      </w:tr>
      <w:tr>
        <w:trPr>
          <w:trHeight w:val="216"/>
        </w:trPr>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 and Director</w:t>
            </w:r>
          </w:p>
        </w:tc>
        <w:tc>
          <w:tcPr>
            <w:tcW w:w="40" w:type="dxa"/>
            <w:vAlign w:val="bottom"/>
          </w:tcPr>
          <w:p>
            <w:pPr>
              <w:spacing w:after="0"/>
              <w:rPr>
                <w:sz w:val="18"/>
                <w:szCs w:val="18"/>
                <w:color w:val="auto"/>
              </w:rPr>
            </w:pPr>
          </w:p>
        </w:tc>
      </w:tr>
      <w:tr>
        <w:trPr>
          <w:trHeight w:val="236"/>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40" w:type="dxa"/>
            <w:vAlign w:val="bottom"/>
          </w:tcPr>
          <w:p>
            <w:pPr>
              <w:spacing w:after="0"/>
              <w:rPr>
                <w:sz w:val="20"/>
                <w:szCs w:val="20"/>
                <w:color w:val="auto"/>
              </w:rPr>
            </w:pPr>
          </w:p>
        </w:tc>
      </w:tr>
      <w:tr>
        <w:trPr>
          <w:trHeight w:val="648"/>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9, 2014</w:t>
            </w:r>
          </w:p>
        </w:tc>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 Al Swanson</w:t>
            </w:r>
          </w:p>
        </w:tc>
        <w:tc>
          <w:tcPr>
            <w:tcW w:w="40" w:type="dxa"/>
            <w:vAlign w:val="bottom"/>
          </w:tcPr>
          <w:p>
            <w:pPr>
              <w:spacing w:after="0"/>
              <w:rPr>
                <w:sz w:val="24"/>
                <w:szCs w:val="24"/>
                <w:color w:val="auto"/>
              </w:rPr>
            </w:pPr>
          </w:p>
        </w:tc>
      </w:tr>
      <w:tr>
        <w:trPr>
          <w:trHeight w:val="189"/>
        </w:trPr>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 xml:space="preserve">Al Swanson, </w:t>
            </w:r>
            <w:r>
              <w:rPr>
                <w:rFonts w:ascii="Times New Roman" w:cs="Times New Roman" w:eastAsia="Times New Roman" w:hAnsi="Times New Roman"/>
                <w:sz w:val="18"/>
                <w:szCs w:val="18"/>
                <w:i w:val="1"/>
                <w:iCs w:val="1"/>
                <w:color w:val="auto"/>
                <w:w w:val="99"/>
              </w:rPr>
              <w:t>Executive Vice President and</w:t>
            </w:r>
          </w:p>
        </w:tc>
        <w:tc>
          <w:tcPr>
            <w:tcW w:w="40" w:type="dxa"/>
            <w:vAlign w:val="bottom"/>
          </w:tcPr>
          <w:p>
            <w:pPr>
              <w:spacing w:after="0"/>
              <w:rPr>
                <w:sz w:val="16"/>
                <w:szCs w:val="16"/>
                <w:color w:val="auto"/>
              </w:rPr>
            </w:pPr>
          </w:p>
        </w:tc>
      </w:tr>
      <w:tr>
        <w:trPr>
          <w:trHeight w:val="216"/>
        </w:trPr>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0" w:type="dxa"/>
            <w:vAlign w:val="bottom"/>
          </w:tcPr>
          <w:p>
            <w:pPr>
              <w:spacing w:after="0"/>
              <w:rPr>
                <w:sz w:val="18"/>
                <w:szCs w:val="18"/>
                <w:color w:val="auto"/>
              </w:rPr>
            </w:pPr>
          </w:p>
        </w:tc>
      </w:tr>
      <w:tr>
        <w:trPr>
          <w:trHeight w:val="236"/>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c>
          <w:tcPr>
            <w:tcW w:w="40" w:type="dxa"/>
            <w:vAlign w:val="bottom"/>
          </w:tcPr>
          <w:p>
            <w:pPr>
              <w:spacing w:after="0"/>
              <w:rPr>
                <w:sz w:val="20"/>
                <w:szCs w:val="20"/>
                <w:color w:val="auto"/>
              </w:rPr>
            </w:pPr>
          </w:p>
        </w:tc>
      </w:tr>
      <w:tr>
        <w:trPr>
          <w:trHeight w:val="43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9, 2014</w:t>
            </w:r>
          </w:p>
        </w:tc>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 Chris Herbold</w:t>
            </w:r>
          </w:p>
        </w:tc>
        <w:tc>
          <w:tcPr>
            <w:tcW w:w="40" w:type="dxa"/>
            <w:vAlign w:val="bottom"/>
          </w:tcPr>
          <w:p>
            <w:pPr>
              <w:spacing w:after="0"/>
              <w:rPr>
                <w:sz w:val="24"/>
                <w:szCs w:val="24"/>
                <w:color w:val="auto"/>
              </w:rPr>
            </w:pPr>
          </w:p>
        </w:tc>
      </w:tr>
      <w:tr>
        <w:trPr>
          <w:trHeight w:val="189"/>
        </w:trPr>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 xml:space="preserve">Chris Herbold, </w:t>
            </w:r>
            <w:r>
              <w:rPr>
                <w:rFonts w:ascii="Times New Roman" w:cs="Times New Roman" w:eastAsia="Times New Roman" w:hAnsi="Times New Roman"/>
                <w:sz w:val="18"/>
                <w:szCs w:val="18"/>
                <w:i w:val="1"/>
                <w:iCs w:val="1"/>
                <w:color w:val="auto"/>
                <w:w w:val="99"/>
              </w:rPr>
              <w:t>Vice President- Accounting and</w:t>
            </w:r>
          </w:p>
        </w:tc>
        <w:tc>
          <w:tcPr>
            <w:tcW w:w="40" w:type="dxa"/>
            <w:vAlign w:val="bottom"/>
          </w:tcPr>
          <w:p>
            <w:pPr>
              <w:spacing w:after="0"/>
              <w:rPr>
                <w:sz w:val="16"/>
                <w:szCs w:val="16"/>
                <w:color w:val="auto"/>
              </w:rPr>
            </w:pPr>
          </w:p>
        </w:tc>
      </w:tr>
      <w:tr>
        <w:trPr>
          <w:trHeight w:val="216"/>
        </w:trPr>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c>
          <w:tcPr>
            <w:tcW w:w="40" w:type="dxa"/>
            <w:vAlign w:val="bottom"/>
          </w:tcPr>
          <w:p>
            <w:pPr>
              <w:spacing w:after="0"/>
              <w:rPr>
                <w:sz w:val="18"/>
                <w:szCs w:val="18"/>
                <w:color w:val="auto"/>
              </w:rPr>
            </w:pPr>
          </w:p>
        </w:tc>
      </w:tr>
      <w:tr>
        <w:trPr>
          <w:trHeight w:val="236"/>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4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6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48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6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9940" w:type="dxa"/>
            <w:vAlign w:val="bottom"/>
            <w:gridSpan w:val="3"/>
          </w:tcPr>
          <w:p>
            <w:pPr>
              <w:ind w:left="35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0" w:type="dxa"/>
            <w:vAlign w:val="bottom"/>
          </w:tcPr>
          <w:p>
            <w:pPr>
              <w:spacing w:after="0"/>
              <w:rPr>
                <w:sz w:val="24"/>
                <w:szCs w:val="24"/>
                <w:color w:val="auto"/>
              </w:rPr>
            </w:pP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Fourth Amended and Restated Agreement of Limited Partnership of Plains All American Pipeline, L.P. dated as of May 17, 2012</w:t>
            </w:r>
          </w:p>
        </w:tc>
        <w:tc>
          <w:tcPr>
            <w:tcW w:w="4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(incorporated by reference to Exhibit 3.1 to the Current Report on Form 8-K filed May 23, 2012).</w:t>
            </w:r>
          </w:p>
        </w:tc>
        <w:tc>
          <w:tcPr>
            <w:tcW w:w="40" w:type="dxa"/>
            <w:vAlign w:val="bottom"/>
          </w:tcPr>
          <w:p>
            <w:pPr>
              <w:spacing w:after="0"/>
              <w:rPr>
                <w:sz w:val="20"/>
                <w:szCs w:val="20"/>
                <w:color w:val="auto"/>
              </w:rPr>
            </w:pP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Amendment No. 1 dated October 1, 2012 to the Fourth Amended and Restated Agreement of Limited Partnership of Plains All</w:t>
            </w:r>
          </w:p>
        </w:tc>
        <w:tc>
          <w:tcPr>
            <w:tcW w:w="4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American Pipeline, L.P. (incorporated by reference to Exhibit 3.1 to the Current Report on Form 8-K filed October 2, 2012).</w:t>
            </w:r>
          </w:p>
        </w:tc>
        <w:tc>
          <w:tcPr>
            <w:tcW w:w="40" w:type="dxa"/>
            <w:vAlign w:val="bottom"/>
          </w:tcPr>
          <w:p>
            <w:pPr>
              <w:spacing w:after="0"/>
              <w:rPr>
                <w:sz w:val="20"/>
                <w:szCs w:val="20"/>
                <w:color w:val="auto"/>
              </w:rPr>
            </w:pP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Amendment No. 2 dated December 31, 2013 to Fourth Amended and Restated Agreement of Limited Partnership of Plains All</w:t>
            </w:r>
          </w:p>
        </w:tc>
        <w:tc>
          <w:tcPr>
            <w:tcW w:w="4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American Pipeline, L.P. (incorporated by reference to Exhibit 3.1 to the Current Report on Form 8-K filed December 31, 2013).</w:t>
            </w:r>
          </w:p>
        </w:tc>
        <w:tc>
          <w:tcPr>
            <w:tcW w:w="40" w:type="dxa"/>
            <w:vAlign w:val="bottom"/>
          </w:tcPr>
          <w:p>
            <w:pPr>
              <w:spacing w:after="0"/>
              <w:rPr>
                <w:sz w:val="20"/>
                <w:szCs w:val="20"/>
                <w:color w:val="auto"/>
              </w:rPr>
            </w:pP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Third Amended and Restated Agreement of Limited Partnership of Plains Marketing, L.P. dated as of April 1, 2004 (incorporated by</w:t>
            </w:r>
          </w:p>
        </w:tc>
        <w:tc>
          <w:tcPr>
            <w:tcW w:w="4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reference to Exhibit 3.2 to the Quarterly Report on Form 10-Q for the quarter ended March 31, 2004).</w:t>
            </w:r>
          </w:p>
        </w:tc>
        <w:tc>
          <w:tcPr>
            <w:tcW w:w="40" w:type="dxa"/>
            <w:vAlign w:val="bottom"/>
          </w:tcPr>
          <w:p>
            <w:pPr>
              <w:spacing w:after="0"/>
              <w:rPr>
                <w:sz w:val="20"/>
                <w:szCs w:val="20"/>
                <w:color w:val="auto"/>
              </w:rPr>
            </w:pP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Amendment No. 1 dated December 31, 2010 to the Third Amended and Restated Agreement of Limited Partnership of Plains</w:t>
            </w:r>
          </w:p>
        </w:tc>
        <w:tc>
          <w:tcPr>
            <w:tcW w:w="4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Marketing, L.P. (incorporated by reference to Exhibit 3.9 to the Annual Report on Form 10-K for the year ended December 31, 2010).</w:t>
            </w:r>
          </w:p>
        </w:tc>
        <w:tc>
          <w:tcPr>
            <w:tcW w:w="40" w:type="dxa"/>
            <w:vAlign w:val="bottom"/>
          </w:tcPr>
          <w:p>
            <w:pPr>
              <w:spacing w:after="0"/>
              <w:rPr>
                <w:sz w:val="20"/>
                <w:szCs w:val="20"/>
                <w:color w:val="auto"/>
              </w:rPr>
            </w:pP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Amendment No. 2 dated January 1, 2011 to the Third Amended and Restated Agreement of Limited Partnership of Plains</w:t>
            </w:r>
          </w:p>
        </w:tc>
        <w:tc>
          <w:tcPr>
            <w:tcW w:w="4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Marketing, L.P. (incorporated by reference to Exhibit 3.10 to the Annual Report on Form 10-K for the year ended December 31, 2010).</w:t>
            </w:r>
          </w:p>
        </w:tc>
        <w:tc>
          <w:tcPr>
            <w:tcW w:w="40" w:type="dxa"/>
            <w:vAlign w:val="bottom"/>
          </w:tcPr>
          <w:p>
            <w:pPr>
              <w:spacing w:after="0"/>
              <w:rPr>
                <w:sz w:val="20"/>
                <w:szCs w:val="20"/>
                <w:color w:val="auto"/>
              </w:rPr>
            </w:pP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Amendment No. 3 dated June 30, 2011 to the Third Amended and Restated Agreement of Limited Partnership of Plains Marketing, L.P.</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-3406140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-3406140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(incorporated by reference to Exhibit 3.7 to the Annual Report on Form 10-K for the year ended December 31, 2013).</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 No. 4 dated January 1, 2013 to the Third Amended and Restated Agreement of Limited Partnership of Plains</w:t>
            </w: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Marketing, L.P. (incorporated by reference to Exhibit 3.8 to the Annual Report on Form 10-K for the year ended December 31, 2013).</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Third Amended and Restated Agreement of Limited Partnership of Plains Pipeline, L.P. dated as of April 1, 2004 (incorporated by</w:t>
            </w: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reference to Exhibit 3.3 to the Quarterly Report on Form 10-Q for the quarter ended March 31, 2004).</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 No. 1 dated January 1, 2013 to the Third Amended and Restated Agreement of Limited Partnership of Plains Pipeline, L.P.</w:t>
            </w: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(incorporated by reference to Exhibit 3.10 to the Annual Report on Form 10-K for the year ended December 31, 2013).</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Sixth Amended and Restated Limited Liability Company Agreement of Plains All American GP LLC dated October 21, 2013</w:t>
            </w: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(incorporated by reference to Exhibit 3.2 to the Current Report on Form 8-K filed October 25, 2013).</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Seventh Amended and Restated Limited Partnership Agreement of Plains AAP, L.P. dated October 21, 2013 (incorporated by reference</w:t>
            </w: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Exhibit 3.1 to the Current Report on Form 8-K filed October 25, 2013).</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 No. 1 dated December 31, 2013 to Seventh Amended and Restated Limited Partnership Agreement of Plains AAP, L.P.</w:t>
            </w: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(incorporated by reference to Exhibit 3.2 to the Current Report on Form 8-K filed December 31, 2013).</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Certificate of Incorporation of PAA Finance Corp (f/k/a Pacific Energy Finance Corporation, successor-by-merger to PAA Finance</w:t>
            </w: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 (incorporated by reference to Exhibit 3.10 to the Annual Report on Form 10-K for the year ended December 31, 2006).</w:t>
            </w:r>
          </w:p>
        </w:tc>
      </w:tr>
      <w:tr>
        <w:trPr>
          <w:trHeight w:val="432"/>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46</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00" w:type="dxa"/>
            <w:vAlign w:val="bottom"/>
            <w:tcBorders>
              <w:bottom w:val="single" w:sz="8" w:color="010101"/>
            </w:tcBorders>
          </w:tcPr>
          <w:p>
            <w:pPr>
              <w:spacing w:after="0"/>
              <w:rPr>
                <w:sz w:val="11"/>
                <w:szCs w:val="11"/>
                <w:color w:val="auto"/>
              </w:rPr>
            </w:pPr>
          </w:p>
        </w:tc>
      </w:tr>
      <w:tr>
        <w:trPr>
          <w:trHeight w:val="523"/>
        </w:trPr>
        <w:tc>
          <w:tcPr>
            <w:tcW w:w="146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10000" w:type="dxa"/>
            <w:vAlign w:val="bottom"/>
          </w:tcPr>
          <w:p>
            <w:pPr>
              <w:spacing w:after="0"/>
              <w:rPr>
                <w:sz w:val="24"/>
                <w:szCs w:val="24"/>
                <w:color w:val="auto"/>
              </w:rPr>
            </w:pPr>
          </w:p>
        </w:tc>
      </w:tr>
      <w:tr>
        <w:trPr>
          <w:trHeight w:val="434"/>
        </w:trPr>
        <w:tc>
          <w:tcPr>
            <w:tcW w:w="6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3.15</w:t>
            </w:r>
          </w:p>
        </w:tc>
        <w:tc>
          <w:tcPr>
            <w:tcW w:w="600" w:type="dxa"/>
            <w:vAlign w:val="bottom"/>
            <w:tcBorders>
              <w:top w:val="single" w:sz="8" w:color="0000EE"/>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Bylaws of PAA Finance Corp (f/k/a Pacific Energy Finance Corporation, successor-by-merger to PAA Finance Corp.) (incorporated by</w:t>
            </w: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reference to Exhibit 3.11 to the Annual Report on Form 10-K for the year ended December 31, 2006).</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3.16</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Limited Liability Company Agreement of PAA GP LLC dated December 28, 2007 (incorporated by reference to Exhibit 3.3 to the</w:t>
            </w: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Report on Form 8-K filed January 4, 2008).</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Indenture dated September 25, 2002 among Plains All American Pipeline, L.P., PAA Finance Corp. and Wachovia Bank, National</w:t>
            </w:r>
          </w:p>
        </w:tc>
      </w:tr>
      <w:tr>
        <w:trPr>
          <w:trHeight w:val="216"/>
        </w:trPr>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Association, as trustee (incorporated by reference to Exhibit 4.1 to the Quarterly Report on Form 10-Q for the quarter ended</w:t>
            </w: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September 30, 2002).</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Fourth Supplemental Indenture (Series A and Series B 5.875% Senior Notes due 2016) dated August 12, 2004</w:t>
            </w:r>
          </w:p>
        </w:tc>
      </w:tr>
      <w:tr>
        <w:trPr>
          <w:trHeight w:val="216"/>
        </w:trPr>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among Plains All American Pipeline, L.P., PAA Finance Corp., the Subsidiary Guarantors named therein and Wachovia Bank, National</w:t>
            </w: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Association, as trustee (incorporated by reference to Exhibit 4.5 to the Registration Statement on Form S-4, File No. 333-121168).</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Fifth Supplemental Indenture (Series A and Series B 5.25% Senior Notes due 2015) dated May 27, 2005 among Plains All American</w:t>
            </w:r>
          </w:p>
        </w:tc>
      </w:tr>
      <w:tr>
        <w:trPr>
          <w:trHeight w:val="216"/>
        </w:trPr>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Pipeline, L.P., PAA Finance Corp., the Subsidiary Guarantors named therein and Wachovia Bank, National Association, as trustee</w:t>
            </w: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(incorporated by reference to Exhibit 4.1 to the Current Report on Form 8-K filed May 31, 2005).</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Sixth Supplemental Indenture (Series A and Series B 6.70% Senior Notes due 2036) dated May 12, 2006 among Plains All American</w:t>
            </w:r>
          </w:p>
        </w:tc>
      </w:tr>
      <w:tr>
        <w:trPr>
          <w:trHeight w:val="216"/>
        </w:trPr>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Pipeline, L.P., PAA Finance Corp., the Subsidiary Guarantors named therein and Wachovia Bank, National Association, as trustee</w:t>
            </w: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(incorporated by reference to Exhibit 4.1 to the Current Report on Form 8-K filed May 12, 2006).</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Ninth Supplemental Indenture (Series A and Series B 6.125% Senior Notes due 2017) dated October 30, 2006 among Plains All</w:t>
            </w:r>
          </w:p>
        </w:tc>
      </w:tr>
      <w:tr>
        <w:trPr>
          <w:trHeight w:val="216"/>
        </w:trPr>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American Pipeline, L.P., PAA Finance Corp., the Subsidiary Guarantors named therein and U.S. Bank National Association, as trustee</w:t>
            </w: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(incorporated by reference to Exhibit 4.1 to the Current Report on Form 8-K filed October 30, 2006).</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Tenth Supplemental Indenture (Series A and Series B 6.650% Senior Notes due 2037) dated October 30, 2006 among Plains All</w:t>
            </w:r>
          </w:p>
        </w:tc>
      </w:tr>
      <w:tr>
        <w:trPr>
          <w:trHeight w:val="216"/>
        </w:trPr>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American Pipeline, L.P., PAA Finance Corp., the Subsidiary Guarantors named therein and U.S. Bank National Association, as trustee</w:t>
            </w: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(incorporated by reference to Exhibit 4.2 to the Current Report on Form 8-K filed October 30, 2006).</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Thirteenth Supplemental Indenture (Series A and Series B 6.5% Senior Notes due 2018) dated April 23, 2008 among Plains All</w:t>
            </w:r>
          </w:p>
        </w:tc>
      </w:tr>
      <w:tr>
        <w:trPr>
          <w:trHeight w:val="216"/>
        </w:trPr>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American Pipeline, L.P., PAA Finance Corp., the Subsidiary Guarantors named therein and U.S. Bank National Association, as trustee</w:t>
            </w: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(incorporated by reference to Exhibit 4.1 to the Current Report on Form 8-K filed April 23, 2008).</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Fifteenth Supplemental Indenture (8.75% Senior Notes due 2019) dated April 20, 2009 among Plains All American Pipeline, L.P., PAA</w:t>
            </w:r>
          </w:p>
        </w:tc>
      </w:tr>
      <w:tr>
        <w:trPr>
          <w:trHeight w:val="216"/>
        </w:trPr>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Corp., the Subsidiary Guarantors named therein and U.S. Bank National Association, as trustee (incorporated by reference to</w:t>
            </w: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 4.1 to the Current Report on Form 8-K filed April 20, 2009).</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Seventeenth Supplemental Indenture (5.75% Senior Notes due 2020) dated September 4, 2009 among Plains All American Pipeline,</w:t>
            </w:r>
          </w:p>
        </w:tc>
      </w:tr>
      <w:tr>
        <w:trPr>
          <w:trHeight w:val="216"/>
        </w:trPr>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L.P., PAA Finance Corp., the Subsidiary Guarantors named therein and U.S. Bank National Association, as trustee (incorporated by</w:t>
            </w: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reference to Exhibit 4.1 to the Current Report on Form 8-K filed September 4, 2009).</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Eighteenth Supplemental Indenture (3.95% Senior Notes due 2015) dated July 14, 2010 among Plains All American Pipeline, L.P.,</w:t>
            </w:r>
          </w:p>
        </w:tc>
      </w:tr>
      <w:tr>
        <w:trPr>
          <w:trHeight w:val="216"/>
        </w:trPr>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PAA Finance Corp., the Subsidiary Guarantors named therein and U.S. Bank National Association, as trustee (incorporated by</w:t>
            </w: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reference to Exhibit 4.1 to the Current Report on Form 8-K filed July 13,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-6699250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-6699250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40" w:right="60" w:hanging="1606"/>
        <w:spacing w:after="0" w:line="266" w:lineRule="auto"/>
        <w:tabs>
          <w:tab w:leader="none" w:pos="102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 Nineteenth Supplemental Indenture (5.00% Senior Notes due 2021) dated January 14, 2011 among Plains All American Pipeline, L.P., PAA Finance Corp., the Subsidiary Guarantors named therein and U.S. Bank National Association, as trustee (incorporated by reference to Exhibit 4.1 to the Current Report on Form 8-K filed January 11, 2011).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58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Twentieth Supplemental Indenture (3.65% Senior Notes due 2022) dated March 22, 2012 among Plains All American Pipeline, L.P.,</w:t>
            </w:r>
          </w:p>
        </w:tc>
      </w:tr>
      <w:tr>
        <w:trPr>
          <w:trHeight w:val="216"/>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PAA Finance Corp and U.S. Bank National Association, as trustee (incorporated by reference to Exhibit 4.1 to the Current Report on</w:t>
            </w:r>
          </w:p>
        </w:tc>
      </w:tr>
      <w:tr>
        <w:trPr>
          <w:trHeight w:val="234"/>
        </w:trPr>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8-K filed March 26, 2012).</w:t>
            </w: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58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Twenty-First Supplemental Indenture (5.15% Senior Notes due 2042) dated March 22, 2012 among Plains All American Pipeline, L.P.,</w:t>
            </w:r>
          </w:p>
        </w:tc>
      </w:tr>
      <w:tr>
        <w:trPr>
          <w:trHeight w:val="216"/>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PAA Finance Corp and U.S. Bank National Association, as trustee (incorporated by reference to Exhibit 4.3 to the Current Report on</w:t>
            </w:r>
          </w:p>
        </w:tc>
      </w:tr>
      <w:tr>
        <w:trPr>
          <w:trHeight w:val="234"/>
        </w:trPr>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8-K filed March 26, 2012).</w:t>
            </w: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58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Twenty-Second Supplemental Indenture (2.85% Senior Notes due 2023) dated December 10, 2012, by and among Plains All American</w:t>
            </w:r>
          </w:p>
        </w:tc>
      </w:tr>
      <w:tr>
        <w:trPr>
          <w:trHeight w:val="216"/>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Pipeline, L.P., PAA Finance Corp., and U.S. Bank National Association, as trustee</w:t>
            </w:r>
          </w:p>
        </w:tc>
      </w:tr>
      <w:tr>
        <w:trPr>
          <w:trHeight w:val="234"/>
        </w:trPr>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(incorporated by reference to Exhibit 4.1 to the Current Report on Form 8-K filed December 12, 2012).</w:t>
            </w: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58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Twenty-Third Supplemental Indenture (4.30% Senior Notes due 2043) dated December 10, 2012, by and among Plains All American</w:t>
            </w:r>
          </w:p>
        </w:tc>
      </w:tr>
      <w:tr>
        <w:trPr>
          <w:trHeight w:val="216"/>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Pipeline, L.P., PAA Finance Corp., and U.S. Bank National Association, as trustee (incorporated by reference to Exhibit 4.3 to the</w:t>
            </w:r>
          </w:p>
        </w:tc>
      </w:tr>
      <w:tr>
        <w:trPr>
          <w:trHeight w:val="234"/>
        </w:trPr>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Report on Form 8-K filed December 12, 2012).</w:t>
            </w: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58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Twenty-Fourth Supplemental Indenture (3.85% Senior Notes due 2023) dated August 15, 2013, by and among Plains All American</w:t>
            </w:r>
          </w:p>
        </w:tc>
      </w:tr>
      <w:tr>
        <w:trPr>
          <w:trHeight w:val="216"/>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Pipeline, L.P., PAA Finance Corp., and U.S. Bank National Association, as trustee (incorporated by reference to Exhibit 4.1 to the</w:t>
            </w:r>
          </w:p>
        </w:tc>
      </w:tr>
      <w:tr>
        <w:trPr>
          <w:trHeight w:val="234"/>
        </w:trPr>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Report on Form 8-K filed August 15, 2013).</w:t>
            </w: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58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Twenty-Fifth Supplemental Indenture (4.70% Senior Notes due 2044) dated April 23, 2014, by and among Plains All American</w:t>
            </w:r>
          </w:p>
        </w:tc>
      </w:tr>
      <w:tr>
        <w:trPr>
          <w:trHeight w:val="216"/>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Pipeline, L.P., PAA Finance Corp., and U.S. Bank National Association, as trustee (incorporated by reference to Exhibit 4.1 to the</w:t>
            </w:r>
          </w:p>
        </w:tc>
      </w:tr>
      <w:tr>
        <w:trPr>
          <w:trHeight w:val="234"/>
        </w:trPr>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Report on Form 8-K filed April 29, 2014).</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Exchange Act Rules 13a-14(a) and 15d-14(a).</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Exchange Act Rules 13a-14(a) and 15d-14(a).</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1350</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1350</w:t>
            </w: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COMPUTATION OF RATIO OF EARNINGS TO FIXED CHARGES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20" w:type="dxa"/>
            <w:vAlign w:val="bottom"/>
            <w:gridSpan w:val="8"/>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gridSpan w:val="8"/>
            <w:vMerge w:val="continue"/>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EARNINGS </w:t>
            </w:r>
            <w:r>
              <w:rPr>
                <w:rFonts w:ascii="Times New Roman" w:cs="Times New Roman" w:eastAsia="Times New Roman" w:hAnsi="Times New Roman"/>
                <w:sz w:val="22"/>
                <w:szCs w:val="22"/>
                <w:b w:val="1"/>
                <w:bCs w:val="1"/>
                <w:color w:val="auto"/>
                <w:vertAlign w:val="superscript"/>
              </w:rPr>
              <w:t>(1)</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Pre-tax income from continuing operations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before noncontrolling interest and income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from equity investees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413</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1,143</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1,026</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510</w:t>
            </w:r>
          </w:p>
        </w:tc>
        <w:tc>
          <w:tcPr>
            <w:tcW w:w="2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 Fixed charges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 Distributed income of equity investees</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 Amortization of capitalized interest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Capitalized interest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Earnings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FIXED CHARGES </w:t>
            </w:r>
            <w:r>
              <w:rPr>
                <w:rFonts w:ascii="Times New Roman" w:cs="Times New Roman" w:eastAsia="Times New Roman" w:hAnsi="Times New Roman"/>
                <w:sz w:val="23"/>
                <w:szCs w:val="23"/>
                <w:b w:val="1"/>
                <w:bCs w:val="1"/>
                <w:color w:val="auto"/>
                <w:vertAlign w:val="superscript"/>
              </w:rPr>
              <w:t>(1)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Interest expensed and capitalized </w:t>
            </w:r>
            <w:r>
              <w:rPr>
                <w:rFonts w:ascii="Times New Roman" w:cs="Times New Roman" w:eastAsia="Times New Roman" w:hAnsi="Times New Roman"/>
                <w:sz w:val="23"/>
                <w:szCs w:val="23"/>
                <w:color w:val="auto"/>
                <w:vertAlign w:val="superscript"/>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c>
          <w:tcPr>
            <w:tcW w:w="2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debt expense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Portion of rent expense related to interest</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Charges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RATIO OF EARNINGS TO FIXED CHARGES</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5.03x</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4.41x</w:t>
            </w:r>
          </w:p>
        </w:tc>
        <w:tc>
          <w:tcPr>
            <w:tcW w:w="2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4.03x</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4.13x</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2.57x</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(3)</w:t>
            </w: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40" w:hanging="332"/>
        <w:spacing w:after="0" w:line="239" w:lineRule="auto"/>
        <w:tabs>
          <w:tab w:leader="none" w:pos="328"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198" w:lineRule="exact"/>
        <w:rPr>
          <w:rFonts w:ascii="Times New Roman" w:cs="Times New Roman" w:eastAsia="Times New Roman" w:hAnsi="Times New Roman"/>
          <w:sz w:val="23"/>
          <w:szCs w:val="23"/>
          <w:color w:val="auto"/>
          <w:vertAlign w:val="superscript"/>
        </w:rPr>
      </w:pPr>
    </w:p>
    <w:p>
      <w:pPr>
        <w:ind w:left="340" w:right="520" w:hanging="332"/>
        <w:spacing w:after="0" w:line="242" w:lineRule="auto"/>
        <w:tabs>
          <w:tab w:leader="none" w:pos="328"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interest costs attributable to borrowings for hedged inventory purchases of $2 million for the three months ended March 31, 2014 and $30 million, $12 million, $20 million, $17 million and $11 million for the years ended December 31, 2013, 2012, 2011, 2010 and 2009, respectively.</w:t>
      </w:r>
    </w:p>
    <w:p>
      <w:pPr>
        <w:spacing w:after="0" w:line="165" w:lineRule="exact"/>
        <w:rPr>
          <w:rFonts w:ascii="Times New Roman" w:cs="Times New Roman" w:eastAsia="Times New Roman" w:hAnsi="Times New Roman"/>
          <w:sz w:val="22"/>
          <w:szCs w:val="22"/>
          <w:color w:val="auto"/>
          <w:vertAlign w:val="superscript"/>
        </w:rPr>
      </w:pPr>
    </w:p>
    <w:p>
      <w:pPr>
        <w:ind w:left="320" w:hanging="312"/>
        <w:spacing w:after="0"/>
        <w:tabs>
          <w:tab w:leader="none" w:pos="32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All American Pipeline, L.P.;</w:t>
      </w:r>
    </w:p>
    <w:p>
      <w:pPr>
        <w:spacing w:after="0" w:line="225" w:lineRule="exact"/>
        <w:rPr>
          <w:rFonts w:ascii="Times New Roman" w:cs="Times New Roman" w:eastAsia="Times New Roman" w:hAnsi="Times New Roman"/>
          <w:sz w:val="18"/>
          <w:szCs w:val="18"/>
          <w:color w:val="auto"/>
        </w:rPr>
      </w:pPr>
    </w:p>
    <w:p>
      <w:pPr>
        <w:ind w:right="60" w:firstLine="656"/>
        <w:spacing w:after="0" w:line="282" w:lineRule="auto"/>
        <w:tabs>
          <w:tab w:leader="none" w:pos="8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8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100" w:firstLine="656"/>
        <w:spacing w:after="0" w:line="266" w:lineRule="auto"/>
        <w:tabs>
          <w:tab w:leader="none" w:pos="12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20" w:firstLine="656"/>
        <w:spacing w:after="0" w:line="266" w:lineRule="auto"/>
        <w:tabs>
          <w:tab w:leader="none" w:pos="13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400" w:firstLine="656"/>
        <w:spacing w:after="0" w:line="282" w:lineRule="auto"/>
        <w:tabs>
          <w:tab w:leader="none" w:pos="130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80" w:firstLine="656"/>
        <w:spacing w:after="0" w:line="266" w:lineRule="auto"/>
        <w:tabs>
          <w:tab w:leader="none" w:pos="13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640" w:firstLine="656"/>
        <w:spacing w:after="0" w:line="282" w:lineRule="auto"/>
        <w:tabs>
          <w:tab w:leader="none" w:pos="12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20" w:firstLine="656"/>
        <w:spacing w:after="0" w:line="282" w:lineRule="auto"/>
        <w:tabs>
          <w:tab w:leader="none" w:pos="130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Greg L. Armstrong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All American Pipeline, L.P.;</w:t>
      </w:r>
    </w:p>
    <w:p>
      <w:pPr>
        <w:spacing w:after="0" w:line="225" w:lineRule="exact"/>
        <w:rPr>
          <w:rFonts w:ascii="Times New Roman" w:cs="Times New Roman" w:eastAsia="Times New Roman" w:hAnsi="Times New Roman"/>
          <w:sz w:val="18"/>
          <w:szCs w:val="18"/>
          <w:color w:val="auto"/>
        </w:rPr>
      </w:pPr>
    </w:p>
    <w:p>
      <w:pPr>
        <w:ind w:right="60" w:firstLine="656"/>
        <w:spacing w:after="0" w:line="282" w:lineRule="auto"/>
        <w:tabs>
          <w:tab w:leader="none" w:pos="87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87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100" w:firstLine="656"/>
        <w:spacing w:after="0" w:line="266" w:lineRule="auto"/>
        <w:tabs>
          <w:tab w:leader="none" w:pos="12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20" w:firstLine="656"/>
        <w:spacing w:after="0" w:line="266" w:lineRule="auto"/>
        <w:tabs>
          <w:tab w:leader="none" w:pos="130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400" w:firstLine="656"/>
        <w:spacing w:after="0" w:line="282" w:lineRule="auto"/>
        <w:tabs>
          <w:tab w:leader="none" w:pos="130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80" w:firstLine="656"/>
        <w:spacing w:after="0" w:line="266" w:lineRule="auto"/>
        <w:tabs>
          <w:tab w:leader="none" w:pos="130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640" w:firstLine="656"/>
        <w:spacing w:after="0" w:line="282" w:lineRule="auto"/>
        <w:tabs>
          <w:tab w:leader="none" w:pos="12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20" w:firstLine="656"/>
        <w:spacing w:after="0" w:line="282" w:lineRule="auto"/>
        <w:tabs>
          <w:tab w:leader="none" w:pos="13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 Swanson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 L. Armstrong, Chief Executive Officer of Plains All American Pipeline, L.P. (the “Company”), hereby certify that:</w:t>
      </w:r>
    </w:p>
    <w:p>
      <w:pPr>
        <w:spacing w:after="0" w:line="225" w:lineRule="exact"/>
        <w:rPr>
          <w:sz w:val="20"/>
          <w:szCs w:val="20"/>
          <w:color w:val="auto"/>
        </w:rPr>
      </w:pPr>
    </w:p>
    <w:p>
      <w:pPr>
        <w:ind w:right="240" w:firstLine="656"/>
        <w:spacing w:after="0" w:line="266" w:lineRule="auto"/>
        <w:tabs>
          <w:tab w:leader="none" w:pos="13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March 31, 2014 and filed with the Securities and Exchange Commission on the date hereof (the “Report”) by the Company fully complies with the requirements of Section 13(a) or 15(d) of the Securities Exchange Act of 1934, as amended; and</w:t>
      </w:r>
    </w:p>
    <w:p>
      <w:pPr>
        <w:spacing w:after="0" w:line="176"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Greg L. Armstrong</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 May 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240" w:firstLine="656"/>
        <w:spacing w:after="0" w:line="266" w:lineRule="auto"/>
        <w:tabs>
          <w:tab w:leader="none" w:pos="13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March 31, 2014 and filed with the Securities and Exchange Commission on the date hereof (the “Report”) by the Company fully complies with the requirements of Section 13(a) or 15(d) of the Securities Exchange Act of 1934, as amended; and</w:t>
      </w:r>
    </w:p>
    <w:p>
      <w:pPr>
        <w:spacing w:after="0" w:line="176"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Al Swanson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 May 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x"/>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lowerRoman"/>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2"/>
    </w:lvl>
  </w:abstractNum>
  <w:abstractNum w:abstractNumId="15">
    <w:nsid w:val="737B8DDC"/>
    <w:multiLevelType w:val="hybridMultilevel"/>
    <w:lvl w:ilvl="0">
      <w:lvlJc w:val="left"/>
      <w:lvlText w:val="(%1)"/>
      <w:numFmt w:val="decimal"/>
      <w:start w:val="3"/>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lowerRoman"/>
      <w:start w:val="2"/>
    </w:lvl>
  </w:abstractNum>
  <w:abstractNum w:abstractNumId="19">
    <w:nsid w:val="3006C83E"/>
    <w:multiLevelType w:val="hybridMultilevel"/>
    <w:lvl w:ilvl="0">
      <w:lvlJc w:val="left"/>
      <w:lvlText w:val="(%1)"/>
      <w:numFmt w:val="decimal"/>
      <w:start w:val="3"/>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4"/>
    </w:lvl>
    <w:lvl w:ilvl="1">
      <w:lvlJc w:val="left"/>
      <w:lvlText w:val="(%2)"/>
      <w:numFmt w:val="decimal"/>
      <w:start w:val="5"/>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lowerRoman"/>
      <w:start w:val="5"/>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4"/>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5"/>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lowerRoman"/>
      <w:start w:val="1"/>
    </w:lvl>
  </w:abstractNum>
  <w:abstractNum w:abstractNumId="46">
    <w:nsid w:val="6DE91B1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2020-01-27T10:57:13Z</dcterms:created>
  <dcterms:modified xsi:type="dcterms:W3CDTF">2020-01-27T10:57:13Z</dcterms:modified>
</cp:coreProperties>
</file>